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110D" w14:textId="7F863173" w:rsidR="00704256" w:rsidRPr="00AF6E8B" w:rsidRDefault="00CD0BD3" w:rsidP="00704256">
      <w:pPr>
        <w:rPr>
          <w:rFonts w:cs="Arial"/>
          <w:color w:val="002060"/>
          <w:sz w:val="20"/>
          <w:szCs w:val="20"/>
        </w:rPr>
      </w:pPr>
      <w:r w:rsidRPr="00AF6E8B">
        <w:rPr>
          <w:rFonts w:cs="Arial"/>
          <w:noProof/>
          <w:sz w:val="20"/>
          <w:szCs w:val="20"/>
          <w:lang w:val="en-US" w:eastAsia="ja-JP"/>
        </w:rPr>
        <w:drawing>
          <wp:anchor distT="0" distB="0" distL="114300" distR="114300" simplePos="0" relativeHeight="251658241" behindDoc="0" locked="0" layoutInCell="1" allowOverlap="1" wp14:anchorId="1780308F" wp14:editId="0FD87ED3">
            <wp:simplePos x="0" y="0"/>
            <wp:positionH relativeFrom="column">
              <wp:posOffset>5593080</wp:posOffset>
            </wp:positionH>
            <wp:positionV relativeFrom="paragraph">
              <wp:posOffset>0</wp:posOffset>
            </wp:positionV>
            <wp:extent cx="481965" cy="957580"/>
            <wp:effectExtent l="0" t="0" r="0" b="0"/>
            <wp:wrapSquare wrapText="bothSides"/>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256" w:rsidRPr="00AF6E8B">
        <w:rPr>
          <w:rFonts w:cs="Arial"/>
          <w:color w:val="002060"/>
          <w:sz w:val="20"/>
          <w:szCs w:val="20"/>
        </w:rPr>
        <w:t>UNITED NATIONS DEVELOPMENT PROGRAMME</w:t>
      </w:r>
    </w:p>
    <w:p w14:paraId="71C1EA0C" w14:textId="77777777" w:rsidR="00704256" w:rsidRPr="00AF6E8B" w:rsidRDefault="00704256" w:rsidP="00704256">
      <w:pPr>
        <w:rPr>
          <w:rFonts w:cs="Arial"/>
          <w:color w:val="002060"/>
        </w:rPr>
      </w:pPr>
    </w:p>
    <w:p w14:paraId="373CD5C1" w14:textId="77777777" w:rsidR="00704256" w:rsidRPr="00AF6E8B" w:rsidRDefault="00704256" w:rsidP="00704256">
      <w:pPr>
        <w:jc w:val="center"/>
        <w:rPr>
          <w:rFonts w:cs="Arial"/>
          <w:b/>
          <w:color w:val="002060"/>
          <w:sz w:val="20"/>
          <w:szCs w:val="20"/>
          <w:u w:val="single"/>
        </w:rPr>
      </w:pPr>
      <w:r w:rsidRPr="00AF6E8B">
        <w:rPr>
          <w:rFonts w:cs="Arial"/>
          <w:b/>
          <w:color w:val="002060"/>
          <w:sz w:val="20"/>
          <w:szCs w:val="20"/>
          <w:u w:val="single"/>
        </w:rPr>
        <w:t>PROJECT DOCUMENT</w:t>
      </w:r>
    </w:p>
    <w:p w14:paraId="33E12FA5" w14:textId="77777777" w:rsidR="00704256" w:rsidRPr="008867FA" w:rsidRDefault="00704256" w:rsidP="00704256">
      <w:pPr>
        <w:jc w:val="center"/>
        <w:rPr>
          <w:rFonts w:cs="Arial"/>
          <w:b/>
          <w:i/>
          <w:color w:val="002060"/>
          <w:sz w:val="20"/>
          <w:szCs w:val="20"/>
          <w:u w:val="single"/>
        </w:rPr>
      </w:pPr>
      <w:r>
        <w:rPr>
          <w:rFonts w:cs="Arial"/>
          <w:b/>
          <w:i/>
          <w:color w:val="002060"/>
          <w:sz w:val="20"/>
          <w:szCs w:val="20"/>
          <w:u w:val="single"/>
        </w:rPr>
        <w:t>Guinea-Bissau</w:t>
      </w:r>
    </w:p>
    <w:p w14:paraId="60EDA14F" w14:textId="77777777" w:rsidR="00704256" w:rsidRPr="00DB520F" w:rsidRDefault="00704256" w:rsidP="00704256">
      <w:pPr>
        <w:pStyle w:val="Header"/>
        <w:rPr>
          <w:b/>
          <w:szCs w:val="22"/>
        </w:rPr>
      </w:pPr>
    </w:p>
    <w:p w14:paraId="175241C6" w14:textId="77777777" w:rsidR="00704256" w:rsidRDefault="00704256" w:rsidP="00337A1D">
      <w:pPr>
        <w:rPr>
          <w:b/>
        </w:rPr>
      </w:pPr>
    </w:p>
    <w:p w14:paraId="49B1F5E3" w14:textId="61A0B99F" w:rsidR="00AD6966" w:rsidRPr="00250747" w:rsidRDefault="000776E9" w:rsidP="00250747">
      <w:pPr>
        <w:rPr>
          <w:b/>
          <w:bCs/>
          <w:color w:val="0070C0"/>
        </w:rPr>
      </w:pPr>
      <w:r w:rsidRPr="001112A4">
        <w:rPr>
          <w:b/>
        </w:rPr>
        <w:t>Project Title</w:t>
      </w:r>
      <w:r w:rsidRPr="0021109F">
        <w:rPr>
          <w:b/>
        </w:rPr>
        <w:t>:</w:t>
      </w:r>
      <w:r w:rsidR="00B45D1E">
        <w:t xml:space="preserve"> </w:t>
      </w:r>
      <w:r w:rsidR="0021109F" w:rsidRPr="00250747">
        <w:rPr>
          <w:b/>
          <w:bCs/>
          <w:color w:val="0070C0"/>
          <w:szCs w:val="22"/>
        </w:rPr>
        <w:t>Building Resilience through</w:t>
      </w:r>
      <w:r w:rsidR="0021109F" w:rsidRPr="0021109F">
        <w:rPr>
          <w:b/>
          <w:bCs/>
          <w:color w:val="0070C0"/>
          <w:szCs w:val="22"/>
        </w:rPr>
        <w:t> </w:t>
      </w:r>
      <w:r w:rsidR="0021109F" w:rsidRPr="00250747">
        <w:rPr>
          <w:b/>
          <w:bCs/>
          <w:color w:val="0070C0"/>
          <w:szCs w:val="22"/>
        </w:rPr>
        <w:t>Powering Tourism in Guinea-Bissau</w:t>
      </w:r>
      <w:r w:rsidR="00250747">
        <w:rPr>
          <w:b/>
          <w:bCs/>
          <w:color w:val="0070C0"/>
          <w:szCs w:val="22"/>
        </w:rPr>
        <w:t>-Preparatory Phase</w:t>
      </w:r>
    </w:p>
    <w:p w14:paraId="4B32DEB4" w14:textId="77777777" w:rsidR="003731DF" w:rsidRDefault="003731DF" w:rsidP="00337A1D">
      <w:pPr>
        <w:rPr>
          <w:b/>
        </w:rPr>
      </w:pPr>
      <w:r w:rsidRPr="00326679">
        <w:rPr>
          <w:b/>
        </w:rPr>
        <w:t>Project</w:t>
      </w:r>
      <w:r>
        <w:rPr>
          <w:b/>
        </w:rPr>
        <w:t xml:space="preserve"> Number</w:t>
      </w:r>
      <w:r w:rsidRPr="00326679">
        <w:rPr>
          <w:b/>
        </w:rPr>
        <w:t>:</w:t>
      </w:r>
    </w:p>
    <w:p w14:paraId="7996860A" w14:textId="77777777" w:rsidR="000776E9" w:rsidRDefault="000776E9" w:rsidP="00337A1D">
      <w:pPr>
        <w:rPr>
          <w:b/>
        </w:rPr>
      </w:pPr>
      <w:r w:rsidRPr="001112A4">
        <w:rPr>
          <w:b/>
        </w:rPr>
        <w:t>Implementing Partner:</w:t>
      </w:r>
      <w:r w:rsidR="008867FA">
        <w:rPr>
          <w:b/>
        </w:rPr>
        <w:t xml:space="preserve"> </w:t>
      </w:r>
      <w:r w:rsidR="008867FA" w:rsidRPr="008867FA">
        <w:rPr>
          <w:bCs/>
        </w:rPr>
        <w:t>United Nations Development Programme</w:t>
      </w:r>
    </w:p>
    <w:p w14:paraId="1EA127FE" w14:textId="7CF938DD" w:rsidR="00FA4BF8" w:rsidRDefault="00FA4BF8" w:rsidP="00337A1D">
      <w:r w:rsidRPr="00326679">
        <w:rPr>
          <w:b/>
        </w:rPr>
        <w:t>Start Date:</w:t>
      </w:r>
      <w:r w:rsidR="008867FA">
        <w:rPr>
          <w:b/>
        </w:rPr>
        <w:t xml:space="preserve"> </w:t>
      </w:r>
      <w:r w:rsidR="0021109F">
        <w:rPr>
          <w:bCs/>
        </w:rPr>
        <w:t>January</w:t>
      </w:r>
      <w:r w:rsidR="0050022A">
        <w:rPr>
          <w:bCs/>
        </w:rPr>
        <w:t xml:space="preserve"> </w:t>
      </w:r>
      <w:r w:rsidR="008867FA" w:rsidRPr="008867FA">
        <w:rPr>
          <w:bCs/>
        </w:rPr>
        <w:t>202</w:t>
      </w:r>
      <w:r w:rsidR="0021109F">
        <w:rPr>
          <w:bCs/>
        </w:rPr>
        <w:t>2</w:t>
      </w:r>
      <w:r>
        <w:tab/>
      </w:r>
      <w:r w:rsidR="0050022A" w:rsidRPr="00F73989">
        <w:rPr>
          <w:b/>
          <w:bCs/>
        </w:rPr>
        <w:t>E</w:t>
      </w:r>
      <w:r w:rsidRPr="00326679">
        <w:rPr>
          <w:b/>
        </w:rPr>
        <w:t>nd Date:</w:t>
      </w:r>
      <w:r>
        <w:t xml:space="preserve"> </w:t>
      </w:r>
      <w:r w:rsidR="0021109F">
        <w:t>December</w:t>
      </w:r>
      <w:r w:rsidR="0050022A">
        <w:t xml:space="preserve"> </w:t>
      </w:r>
      <w:r w:rsidR="008867FA">
        <w:t>202</w:t>
      </w:r>
      <w:r w:rsidR="0050022A">
        <w:t>2</w:t>
      </w:r>
      <w:r w:rsidR="008867FA">
        <w:t xml:space="preserve"> </w:t>
      </w:r>
      <w:r>
        <w:tab/>
      </w:r>
      <w:r w:rsidR="008867FA">
        <w:t xml:space="preserve">   </w:t>
      </w:r>
      <w:r w:rsidRPr="00326679">
        <w:rPr>
          <w:b/>
        </w:rPr>
        <w:t>PAC Meeting date:</w:t>
      </w:r>
      <w:r>
        <w:t xml:space="preserve"> </w:t>
      </w:r>
      <w:r>
        <w:tab/>
      </w:r>
    </w:p>
    <w:p w14:paraId="27880694" w14:textId="77777777" w:rsidR="000776E9" w:rsidRDefault="000776E9" w:rsidP="000776E9">
      <w:pPr>
        <w:spacing w:after="0"/>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AD6966" w14:paraId="178A4ADC" w14:textId="77777777" w:rsidTr="4C0F1B78">
        <w:trPr>
          <w:trHeight w:val="361"/>
        </w:trPr>
        <w:tc>
          <w:tcPr>
            <w:tcW w:w="9740" w:type="dxa"/>
            <w:shd w:val="clear" w:color="auto" w:fill="auto"/>
            <w:vAlign w:val="center"/>
          </w:tcPr>
          <w:p w14:paraId="2871244C" w14:textId="77777777" w:rsidR="000776E9" w:rsidRPr="000776E9" w:rsidRDefault="000776E9" w:rsidP="00337A1D">
            <w:pPr>
              <w:spacing w:after="0"/>
              <w:jc w:val="center"/>
              <w:rPr>
                <w:b/>
              </w:rPr>
            </w:pPr>
            <w:r w:rsidRPr="000776E9">
              <w:rPr>
                <w:b/>
              </w:rPr>
              <w:t>Brief Description</w:t>
            </w:r>
          </w:p>
        </w:tc>
      </w:tr>
      <w:tr w:rsidR="00AD6966" w14:paraId="3F101901" w14:textId="77777777" w:rsidTr="4C0F1B78">
        <w:trPr>
          <w:trHeight w:val="3564"/>
        </w:trPr>
        <w:tc>
          <w:tcPr>
            <w:tcW w:w="9740" w:type="dxa"/>
            <w:shd w:val="clear" w:color="auto" w:fill="auto"/>
          </w:tcPr>
          <w:p w14:paraId="38BFF2D2" w14:textId="58E9A584" w:rsidR="006C4130" w:rsidRPr="006C4130" w:rsidRDefault="006C4130" w:rsidP="006C4130">
            <w:pPr>
              <w:spacing w:before="60" w:after="0"/>
              <w:rPr>
                <w:sz w:val="18"/>
                <w:szCs w:val="18"/>
              </w:rPr>
            </w:pPr>
            <w:r w:rsidRPr="006C4130">
              <w:rPr>
                <w:sz w:val="18"/>
                <w:szCs w:val="18"/>
              </w:rPr>
              <w:t xml:space="preserve">The project is </w:t>
            </w:r>
            <w:r w:rsidR="005C5574">
              <w:rPr>
                <w:sz w:val="18"/>
                <w:szCs w:val="18"/>
              </w:rPr>
              <w:t xml:space="preserve">designed as a preparatory phase for </w:t>
            </w:r>
            <w:r w:rsidR="002A3015">
              <w:rPr>
                <w:sz w:val="18"/>
                <w:szCs w:val="18"/>
              </w:rPr>
              <w:t xml:space="preserve">building resilience through empowering tourism. </w:t>
            </w:r>
            <w:r w:rsidR="002B401A">
              <w:rPr>
                <w:sz w:val="18"/>
                <w:szCs w:val="18"/>
              </w:rPr>
              <w:t xml:space="preserve">During the preparatory phase </w:t>
            </w:r>
            <w:r w:rsidR="001F0DF7">
              <w:rPr>
                <w:sz w:val="18"/>
                <w:szCs w:val="18"/>
              </w:rPr>
              <w:t xml:space="preserve">UNDP will undertake the </w:t>
            </w:r>
            <w:r w:rsidR="002B401A">
              <w:rPr>
                <w:sz w:val="18"/>
                <w:szCs w:val="18"/>
              </w:rPr>
              <w:t>necessary scoping, feasibility studies, research</w:t>
            </w:r>
            <w:r w:rsidR="001F0DF7">
              <w:rPr>
                <w:sz w:val="18"/>
                <w:szCs w:val="18"/>
              </w:rPr>
              <w:t>,</w:t>
            </w:r>
            <w:r w:rsidR="00AA6E2E">
              <w:rPr>
                <w:sz w:val="18"/>
                <w:szCs w:val="18"/>
              </w:rPr>
              <w:t xml:space="preserve"> resource mobilization and partnership building will be undertaken and </w:t>
            </w:r>
            <w:r w:rsidR="001F0DF7">
              <w:rPr>
                <w:sz w:val="18"/>
                <w:szCs w:val="18"/>
              </w:rPr>
              <w:t xml:space="preserve">provide </w:t>
            </w:r>
            <w:r w:rsidR="002B401A">
              <w:rPr>
                <w:sz w:val="18"/>
                <w:szCs w:val="18"/>
              </w:rPr>
              <w:t xml:space="preserve">capacity building to main </w:t>
            </w:r>
            <w:r w:rsidR="00CA6F89">
              <w:rPr>
                <w:sz w:val="18"/>
                <w:szCs w:val="18"/>
              </w:rPr>
              <w:t xml:space="preserve">government partners to ensure the successful implementation of the larger project. </w:t>
            </w:r>
            <w:r w:rsidR="00B47F3A">
              <w:rPr>
                <w:sz w:val="18"/>
                <w:szCs w:val="18"/>
              </w:rPr>
              <w:t>T</w:t>
            </w:r>
            <w:r w:rsidR="005C5574">
              <w:rPr>
                <w:sz w:val="18"/>
                <w:szCs w:val="18"/>
              </w:rPr>
              <w:t xml:space="preserve">he </w:t>
            </w:r>
            <w:r w:rsidR="00B47F3A">
              <w:rPr>
                <w:sz w:val="18"/>
                <w:szCs w:val="18"/>
              </w:rPr>
              <w:t>building resilience through empowering tourism</w:t>
            </w:r>
            <w:r w:rsidR="00B47F3A" w:rsidRPr="006C4130">
              <w:rPr>
                <w:sz w:val="18"/>
                <w:szCs w:val="18"/>
              </w:rPr>
              <w:t xml:space="preserve"> </w:t>
            </w:r>
            <w:r w:rsidR="00B47F3A">
              <w:rPr>
                <w:sz w:val="18"/>
                <w:szCs w:val="18"/>
              </w:rPr>
              <w:t xml:space="preserve">project is </w:t>
            </w:r>
            <w:r w:rsidRPr="006C4130">
              <w:rPr>
                <w:sz w:val="18"/>
                <w:szCs w:val="18"/>
              </w:rPr>
              <w:t>set out to build resilience, enhance economic diversification and generate livelihoods opportunities through promoting sustainable eco-tourism industry in Guinea Bissau and establish a replicable and cost-effective methodology for ecotourism investment to catalyse provision of reliable and affordable renewable energy to local communities in coastal areas</w:t>
            </w:r>
            <w:proofErr w:type="gramStart"/>
            <w:r w:rsidRPr="006C4130">
              <w:rPr>
                <w:sz w:val="18"/>
                <w:szCs w:val="18"/>
              </w:rPr>
              <w:t>.  </w:t>
            </w:r>
            <w:proofErr w:type="gramEnd"/>
            <w:r w:rsidRPr="006C4130">
              <w:rPr>
                <w:sz w:val="18"/>
                <w:szCs w:val="18"/>
              </w:rPr>
              <w:t>The project combines needed upstream interventions, such as developing policy and legal framework as well as action and zoning plans, and piloting downstream interventions, such piloting renewable energy microprojects (including solar based mini grids), providing vocational training and capacity development and supporting entrepreneurial activities in local communities and providing seed funding for ecotourism related start-ups. For coastal areas, investment in ecotourism – an electricity intensive sector across multiple dimensions – offers the potential to establish a group of productive enterprises as mini-grid anchor clients, to increase demand and diversify load, and to reduce investment risk</w:t>
            </w:r>
            <w:proofErr w:type="gramStart"/>
            <w:r w:rsidRPr="006C4130">
              <w:rPr>
                <w:sz w:val="18"/>
                <w:szCs w:val="18"/>
              </w:rPr>
              <w:t xml:space="preserve">.  </w:t>
            </w:r>
            <w:proofErr w:type="gramEnd"/>
            <w:r w:rsidRPr="006C4130">
              <w:rPr>
                <w:sz w:val="18"/>
                <w:szCs w:val="18"/>
              </w:rPr>
              <w:t>Women are important productive-use customers for mini-grids because of their high entrepreneurship rates, particularly in the tourism sector. The project adds sector-specific dimensions to broader UNDP area-based development interventions in two geographic target areas, the </w:t>
            </w:r>
            <w:proofErr w:type="spellStart"/>
            <w:r w:rsidRPr="006C4130">
              <w:rPr>
                <w:sz w:val="18"/>
                <w:szCs w:val="18"/>
              </w:rPr>
              <w:t>Cacheu</w:t>
            </w:r>
            <w:proofErr w:type="spellEnd"/>
            <w:r w:rsidRPr="006C4130">
              <w:rPr>
                <w:sz w:val="18"/>
                <w:szCs w:val="18"/>
              </w:rPr>
              <w:t> region, an historic centre of the slave trade on the northern border with Senegal, and </w:t>
            </w:r>
            <w:proofErr w:type="spellStart"/>
            <w:r w:rsidRPr="006C4130">
              <w:rPr>
                <w:sz w:val="18"/>
                <w:szCs w:val="18"/>
              </w:rPr>
              <w:t>Bolama-Bijagos</w:t>
            </w:r>
            <w:proofErr w:type="spellEnd"/>
            <w:r w:rsidRPr="006C4130">
              <w:rPr>
                <w:sz w:val="18"/>
                <w:szCs w:val="18"/>
              </w:rPr>
              <w:t> archipelago a UNESCO Biosphere Reserve (</w:t>
            </w:r>
            <w:proofErr w:type="spellStart"/>
            <w:r w:rsidRPr="006C4130">
              <w:rPr>
                <w:sz w:val="18"/>
                <w:szCs w:val="18"/>
              </w:rPr>
              <w:t>Bijagós</w:t>
            </w:r>
            <w:proofErr w:type="spellEnd"/>
            <w:r w:rsidRPr="006C4130">
              <w:rPr>
                <w:sz w:val="18"/>
                <w:szCs w:val="18"/>
              </w:rPr>
              <w:t> Archipelago Biosphere Reserve). The project is expected to be transformational – to deliver results at scale – in two dimensions: </w:t>
            </w:r>
          </w:p>
          <w:p w14:paraId="36D32A4C" w14:textId="77777777" w:rsidR="006C4130" w:rsidRPr="00B47F3A" w:rsidRDefault="006C4130" w:rsidP="00B47F3A">
            <w:pPr>
              <w:pStyle w:val="ListParagraph"/>
              <w:numPr>
                <w:ilvl w:val="0"/>
                <w:numId w:val="38"/>
              </w:numPr>
              <w:spacing w:before="60" w:after="0"/>
              <w:rPr>
                <w:sz w:val="18"/>
                <w:szCs w:val="18"/>
              </w:rPr>
            </w:pPr>
            <w:r w:rsidRPr="00B47F3A">
              <w:rPr>
                <w:sz w:val="18"/>
                <w:szCs w:val="18"/>
              </w:rPr>
              <w:t>First, it will support development of the nascent eco-tourism sector in Guinea Bissau, identified by Government as a key potential contributor to inclusive growth and economic diversification</w:t>
            </w:r>
            <w:proofErr w:type="gramStart"/>
            <w:r w:rsidRPr="00B47F3A">
              <w:rPr>
                <w:sz w:val="18"/>
                <w:szCs w:val="18"/>
              </w:rPr>
              <w:t xml:space="preserve">.  </w:t>
            </w:r>
            <w:proofErr w:type="gramEnd"/>
            <w:r w:rsidRPr="00B47F3A">
              <w:rPr>
                <w:sz w:val="18"/>
                <w:szCs w:val="18"/>
              </w:rPr>
              <w:t>SIDS analysis and experience will be critical to defining the role that sustainable tourism can play in meeting multiple SDGs. </w:t>
            </w:r>
          </w:p>
          <w:p w14:paraId="5E0A6E70" w14:textId="1DB0DFFB" w:rsidR="006C4130" w:rsidRPr="006C4130" w:rsidRDefault="006C4130" w:rsidP="00B47F3A">
            <w:pPr>
              <w:spacing w:before="60" w:after="0"/>
              <w:ind w:firstLine="50"/>
              <w:rPr>
                <w:sz w:val="18"/>
                <w:szCs w:val="18"/>
              </w:rPr>
            </w:pPr>
          </w:p>
          <w:p w14:paraId="513BADCE" w14:textId="77777777" w:rsidR="006C4130" w:rsidRPr="00B47F3A" w:rsidRDefault="006C4130" w:rsidP="00B47F3A">
            <w:pPr>
              <w:pStyle w:val="ListParagraph"/>
              <w:numPr>
                <w:ilvl w:val="0"/>
                <w:numId w:val="38"/>
              </w:numPr>
              <w:spacing w:before="60" w:after="0"/>
              <w:rPr>
                <w:sz w:val="18"/>
                <w:szCs w:val="18"/>
              </w:rPr>
            </w:pPr>
            <w:r w:rsidRPr="00B47F3A">
              <w:rPr>
                <w:sz w:val="18"/>
                <w:szCs w:val="18"/>
              </w:rPr>
              <w:t>Second, it will establish a model for linking development of gender-responsive ecotourism to provision of reliable renewable energy to local communities</w:t>
            </w:r>
            <w:proofErr w:type="gramStart"/>
            <w:r w:rsidRPr="00B47F3A">
              <w:rPr>
                <w:sz w:val="18"/>
                <w:szCs w:val="18"/>
              </w:rPr>
              <w:t>.  </w:t>
            </w:r>
            <w:proofErr w:type="gramEnd"/>
            <w:r w:rsidRPr="00B47F3A">
              <w:rPr>
                <w:sz w:val="18"/>
                <w:szCs w:val="18"/>
              </w:rPr>
              <w:t>SDG7 (clean and affordable energy) is a fundamental enabler of the broader set of SDGs; electricity is an essential ingredient for lifting people out of poverty, improving health, boosting educational levels, reducing gender inequities, and enabling sustainable economic development. </w:t>
            </w:r>
          </w:p>
          <w:p w14:paraId="79879FFC" w14:textId="77777777" w:rsidR="006C4130" w:rsidRPr="006C4130" w:rsidRDefault="006C4130" w:rsidP="006C4130">
            <w:pPr>
              <w:spacing w:before="60" w:after="0"/>
              <w:rPr>
                <w:sz w:val="18"/>
                <w:szCs w:val="18"/>
              </w:rPr>
            </w:pPr>
            <w:r w:rsidRPr="006C4130">
              <w:rPr>
                <w:sz w:val="18"/>
                <w:szCs w:val="18"/>
              </w:rPr>
              <w:t>The project is designed to achieve the following three outcomes:</w:t>
            </w:r>
          </w:p>
          <w:p w14:paraId="631172D1" w14:textId="77777777" w:rsidR="006C4130" w:rsidRPr="00B47F3A" w:rsidRDefault="006C4130" w:rsidP="00B47F3A">
            <w:pPr>
              <w:pStyle w:val="ListParagraph"/>
              <w:numPr>
                <w:ilvl w:val="0"/>
                <w:numId w:val="39"/>
              </w:numPr>
              <w:spacing w:before="60" w:after="0"/>
              <w:rPr>
                <w:sz w:val="18"/>
                <w:szCs w:val="18"/>
              </w:rPr>
            </w:pPr>
            <w:r w:rsidRPr="00B47F3A">
              <w:rPr>
                <w:sz w:val="18"/>
                <w:szCs w:val="18"/>
              </w:rPr>
              <w:t>Capacities and policy frameworks in place to promote, facilitate and monitor sustainable gender-responsive ecotourism development </w:t>
            </w:r>
          </w:p>
          <w:p w14:paraId="2F6EA7E6" w14:textId="77777777" w:rsidR="006C4130" w:rsidRPr="00B47F3A" w:rsidRDefault="006C4130" w:rsidP="00B47F3A">
            <w:pPr>
              <w:pStyle w:val="ListParagraph"/>
              <w:numPr>
                <w:ilvl w:val="0"/>
                <w:numId w:val="39"/>
              </w:numPr>
              <w:spacing w:before="60" w:after="0"/>
              <w:rPr>
                <w:sz w:val="18"/>
                <w:szCs w:val="18"/>
              </w:rPr>
            </w:pPr>
            <w:r w:rsidRPr="00B47F3A">
              <w:rPr>
                <w:sz w:val="18"/>
                <w:szCs w:val="18"/>
              </w:rPr>
              <w:t>Inclusive and participatory processes establish local planning, investment, and revenue frameworks</w:t>
            </w:r>
          </w:p>
          <w:p w14:paraId="432BF294" w14:textId="77777777" w:rsidR="006C4130" w:rsidRPr="00B47F3A" w:rsidRDefault="006C4130" w:rsidP="00B47F3A">
            <w:pPr>
              <w:pStyle w:val="ListParagraph"/>
              <w:numPr>
                <w:ilvl w:val="0"/>
                <w:numId w:val="39"/>
              </w:numPr>
              <w:spacing w:before="60" w:after="0"/>
              <w:rPr>
                <w:sz w:val="18"/>
                <w:szCs w:val="18"/>
              </w:rPr>
            </w:pPr>
            <w:r w:rsidRPr="00B47F3A">
              <w:rPr>
                <w:sz w:val="18"/>
                <w:szCs w:val="18"/>
              </w:rPr>
              <w:t xml:space="preserve">Targeted investments in renewable green energy and sustainable ecotourism increases proportion of population with primary reliance on ecotourism for livelihoods generation, clean </w:t>
            </w:r>
            <w:proofErr w:type="gramStart"/>
            <w:r w:rsidRPr="00B47F3A">
              <w:rPr>
                <w:sz w:val="18"/>
                <w:szCs w:val="18"/>
              </w:rPr>
              <w:t>fuels</w:t>
            </w:r>
            <w:proofErr w:type="gramEnd"/>
            <w:r w:rsidRPr="00B47F3A">
              <w:rPr>
                <w:sz w:val="18"/>
                <w:szCs w:val="18"/>
              </w:rPr>
              <w:t xml:space="preserve"> and technology, while preserving biodiversity and protecting environmental assets </w:t>
            </w:r>
          </w:p>
          <w:p w14:paraId="0B2900CB" w14:textId="4B46DB3C" w:rsidR="00300948" w:rsidRPr="00A3369E" w:rsidRDefault="006C4130" w:rsidP="00A3369E">
            <w:pPr>
              <w:pStyle w:val="ListParagraph"/>
              <w:numPr>
                <w:ilvl w:val="0"/>
                <w:numId w:val="39"/>
              </w:numPr>
              <w:spacing w:before="60" w:after="0"/>
              <w:rPr>
                <w:sz w:val="18"/>
                <w:szCs w:val="18"/>
              </w:rPr>
            </w:pPr>
            <w:r w:rsidRPr="00B47F3A">
              <w:rPr>
                <w:sz w:val="18"/>
                <w:szCs w:val="18"/>
              </w:rPr>
              <w:t>The project will pay particular attention to women and girls as a target group, mainstreaming issues of Gender Equality and Women’s Empowerment (GEWE) throughout its work to articulate tourism development to SDG achievement, and via a grant programme targeted at improving productivity of women entrepreneurs and women-led enterprises, giving them lead roles in community user groups for renewable energy provision.</w:t>
            </w:r>
          </w:p>
        </w:tc>
      </w:tr>
    </w:tbl>
    <w:p w14:paraId="679C0A1C" w14:textId="056CE85F" w:rsidR="00AD6966" w:rsidRDefault="00CD0BD3" w:rsidP="000776E9">
      <w:r>
        <w:rPr>
          <w:noProof/>
          <w:lang w:val="en-US" w:eastAsia="ja-JP"/>
        </w:rPr>
        <mc:AlternateContent>
          <mc:Choice Requires="wps">
            <w:drawing>
              <wp:anchor distT="0" distB="0" distL="114300" distR="114300" simplePos="0" relativeHeight="251658240" behindDoc="0" locked="0" layoutInCell="1" allowOverlap="1" wp14:anchorId="2BD3A7C1" wp14:editId="64CF3E6E">
                <wp:simplePos x="0" y="0"/>
                <wp:positionH relativeFrom="column">
                  <wp:posOffset>-33020</wp:posOffset>
                </wp:positionH>
                <wp:positionV relativeFrom="paragraph">
                  <wp:posOffset>195580</wp:posOffset>
                </wp:positionV>
                <wp:extent cx="3201035" cy="1250950"/>
                <wp:effectExtent l="0" t="0" r="18415" b="25400"/>
                <wp:wrapNone/>
                <wp:docPr id="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250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D03DBF" w14:textId="77777777" w:rsidR="0083291C" w:rsidRPr="00C73993" w:rsidRDefault="0083291C"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p>
                          <w:p w14:paraId="2BDD6E4D" w14:textId="7D788DBF" w:rsidR="0083291C" w:rsidRPr="00FE5BB1" w:rsidRDefault="0083291C">
                            <w:pPr>
                              <w:rPr>
                                <w:sz w:val="16"/>
                                <w:szCs w:val="16"/>
                              </w:rPr>
                            </w:pPr>
                            <w:r w:rsidRPr="00FE5BB1">
                              <w:rPr>
                                <w:sz w:val="16"/>
                                <w:szCs w:val="16"/>
                              </w:rPr>
                              <w:t xml:space="preserve">Outcome 1, </w:t>
                            </w:r>
                          </w:p>
                          <w:p w14:paraId="68DD565D" w14:textId="77777777" w:rsidR="0083291C" w:rsidRDefault="0083291C">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w:t>
                            </w:r>
                          </w:p>
                          <w:p w14:paraId="58779A37" w14:textId="77777777" w:rsidR="0083291C" w:rsidRPr="00FE5BB1" w:rsidRDefault="0083291C" w:rsidP="00FE5BB1">
                            <w:pPr>
                              <w:rPr>
                                <w:sz w:val="16"/>
                                <w:szCs w:val="16"/>
                              </w:rPr>
                            </w:pPr>
                            <w:r>
                              <w:rPr>
                                <w:sz w:val="16"/>
                                <w:szCs w:val="16"/>
                              </w:rPr>
                              <w:t>Gender Marker: Gen 2</w:t>
                            </w:r>
                          </w:p>
                          <w:p w14:paraId="7F641355" w14:textId="77777777" w:rsidR="0083291C" w:rsidRPr="00C73993" w:rsidRDefault="0083291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3A7C1" id="_x0000_t202" coordsize="21600,21600" o:spt="202" path="m,l,21600r21600,l21600,xe">
                <v:stroke joinstyle="miter"/>
                <v:path gradientshapeok="t" o:connecttype="rect"/>
              </v:shapetype>
              <v:shape id="Text Box 119" o:spid="_x0000_s1026" type="#_x0000_t202" style="position:absolute;left:0;text-align:left;margin-left:-2.6pt;margin-top:15.4pt;width:252.05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">
                <v:textbox>
                  <w:txbxContent>
                    <w:p w14:paraId="0CD03DBF" w14:textId="77777777" w:rsidR="0083291C" w:rsidRPr="00C73993" w:rsidRDefault="0083291C" w:rsidP="00C73993">
                      <w:pPr>
                        <w:jc w:val="left"/>
                        <w:rPr>
                          <w:sz w:val="20"/>
                          <w:szCs w:val="20"/>
                        </w:rPr>
                      </w:pPr>
                      <w:r w:rsidRPr="00C73993">
                        <w:rPr>
                          <w:sz w:val="20"/>
                          <w:szCs w:val="20"/>
                        </w:rPr>
                        <w:t>Contributing Outcome</w:t>
                      </w:r>
                      <w:r>
                        <w:rPr>
                          <w:sz w:val="20"/>
                          <w:szCs w:val="20"/>
                        </w:rPr>
                        <w:t xml:space="preserve"> (UNDAF/CPD, RPD or GPD)</w:t>
                      </w:r>
                      <w:r w:rsidRPr="00C73993">
                        <w:rPr>
                          <w:sz w:val="20"/>
                          <w:szCs w:val="20"/>
                        </w:rPr>
                        <w:t>:</w:t>
                      </w:r>
                    </w:p>
                    <w:p w14:paraId="2BDD6E4D" w14:textId="7D788DBF" w:rsidR="0083291C" w:rsidRPr="00FE5BB1" w:rsidRDefault="0083291C">
                      <w:pPr>
                        <w:rPr>
                          <w:sz w:val="16"/>
                          <w:szCs w:val="16"/>
                        </w:rPr>
                      </w:pPr>
                      <w:r w:rsidRPr="00FE5BB1">
                        <w:rPr>
                          <w:sz w:val="16"/>
                          <w:szCs w:val="16"/>
                        </w:rPr>
                        <w:t xml:space="preserve">Outcome 1, </w:t>
                      </w:r>
                    </w:p>
                    <w:p w14:paraId="68DD565D" w14:textId="77777777" w:rsidR="0083291C" w:rsidRDefault="0083291C">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sz w:val="20"/>
                          <w:szCs w:val="20"/>
                          <w:vertAlign w:val="superscript"/>
                        </w:rPr>
                        <w:t>2</w:t>
                      </w:r>
                      <w:r>
                        <w:rPr>
                          <w:sz w:val="20"/>
                          <w:szCs w:val="20"/>
                        </w:rPr>
                        <w:t>:</w:t>
                      </w:r>
                    </w:p>
                    <w:p w14:paraId="58779A37" w14:textId="77777777" w:rsidR="0083291C" w:rsidRPr="00FE5BB1" w:rsidRDefault="0083291C" w:rsidP="00FE5BB1">
                      <w:pPr>
                        <w:rPr>
                          <w:sz w:val="16"/>
                          <w:szCs w:val="16"/>
                        </w:rPr>
                      </w:pPr>
                      <w:r>
                        <w:rPr>
                          <w:sz w:val="16"/>
                          <w:szCs w:val="16"/>
                        </w:rPr>
                        <w:t>Gender Marker: Gen 2</w:t>
                      </w:r>
                    </w:p>
                    <w:p w14:paraId="7F641355" w14:textId="77777777" w:rsidR="0083291C" w:rsidRPr="00C73993" w:rsidRDefault="0083291C">
                      <w:pPr>
                        <w:rPr>
                          <w:sz w:val="20"/>
                          <w:szCs w:val="20"/>
                        </w:rPr>
                      </w:pPr>
                    </w:p>
                  </w:txbxContent>
                </v:textbox>
              </v:shape>
            </w:pict>
          </mc:Fallback>
        </mc:AlternateContent>
      </w:r>
      <w:r w:rsidR="000776E9">
        <w:tab/>
      </w:r>
      <w:r w:rsidR="000776E9">
        <w:rPr>
          <w:b/>
        </w:rPr>
        <w:tab/>
      </w:r>
    </w:p>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61"/>
        <w:gridCol w:w="1339"/>
      </w:tblGrid>
      <w:tr w:rsidR="00AD6966" w:rsidRPr="00D460CE" w14:paraId="4E87E79B" w14:textId="77777777" w:rsidTr="00300948">
        <w:trPr>
          <w:jc w:val="right"/>
        </w:trPr>
        <w:tc>
          <w:tcPr>
            <w:tcW w:w="1780" w:type="dxa"/>
            <w:shd w:val="clear" w:color="auto" w:fill="auto"/>
          </w:tcPr>
          <w:p w14:paraId="683CD0B3" w14:textId="77777777" w:rsidR="000776E9" w:rsidRPr="003069DF" w:rsidRDefault="000776E9" w:rsidP="002678BD">
            <w:pPr>
              <w:spacing w:before="60"/>
              <w:jc w:val="left"/>
              <w:rPr>
                <w:b/>
                <w:sz w:val="20"/>
                <w:szCs w:val="20"/>
              </w:rPr>
            </w:pPr>
            <w:r w:rsidRPr="003069DF">
              <w:rPr>
                <w:b/>
                <w:sz w:val="20"/>
                <w:szCs w:val="20"/>
              </w:rPr>
              <w:t>Total resources required:</w:t>
            </w:r>
          </w:p>
        </w:tc>
        <w:tc>
          <w:tcPr>
            <w:tcW w:w="2800" w:type="dxa"/>
            <w:gridSpan w:val="2"/>
            <w:shd w:val="clear" w:color="auto" w:fill="auto"/>
            <w:vAlign w:val="center"/>
          </w:tcPr>
          <w:p w14:paraId="001F5EE3" w14:textId="3C1D15D1" w:rsidR="000776E9" w:rsidRPr="00300948" w:rsidRDefault="000776E9" w:rsidP="003069DF">
            <w:pPr>
              <w:jc w:val="right"/>
              <w:rPr>
                <w:sz w:val="20"/>
                <w:szCs w:val="20"/>
              </w:rPr>
            </w:pPr>
          </w:p>
        </w:tc>
      </w:tr>
      <w:tr w:rsidR="00AD6966" w:rsidRPr="00D460CE" w14:paraId="69782AA2" w14:textId="77777777" w:rsidTr="00300948">
        <w:trPr>
          <w:jc w:val="right"/>
        </w:trPr>
        <w:tc>
          <w:tcPr>
            <w:tcW w:w="1780" w:type="dxa"/>
            <w:vMerge w:val="restart"/>
            <w:shd w:val="clear" w:color="auto" w:fill="auto"/>
          </w:tcPr>
          <w:p w14:paraId="4ECD078A" w14:textId="77777777" w:rsidR="000776E9" w:rsidRPr="003069DF" w:rsidRDefault="000776E9" w:rsidP="002678BD">
            <w:pPr>
              <w:spacing w:before="60"/>
              <w:jc w:val="left"/>
              <w:rPr>
                <w:b/>
                <w:sz w:val="20"/>
                <w:szCs w:val="20"/>
              </w:rPr>
            </w:pPr>
            <w:r w:rsidRPr="003069DF">
              <w:rPr>
                <w:b/>
                <w:sz w:val="20"/>
                <w:szCs w:val="20"/>
              </w:rPr>
              <w:t>Total resources</w:t>
            </w:r>
            <w:r w:rsidR="00914264" w:rsidRPr="003069DF">
              <w:rPr>
                <w:b/>
                <w:sz w:val="20"/>
                <w:szCs w:val="20"/>
              </w:rPr>
              <w:t xml:space="preserve"> allocated</w:t>
            </w:r>
            <w:r w:rsidRPr="003069DF">
              <w:rPr>
                <w:b/>
                <w:sz w:val="20"/>
                <w:szCs w:val="20"/>
              </w:rPr>
              <w:t>:</w:t>
            </w:r>
          </w:p>
        </w:tc>
        <w:tc>
          <w:tcPr>
            <w:tcW w:w="2800" w:type="dxa"/>
            <w:gridSpan w:val="2"/>
            <w:shd w:val="clear" w:color="auto" w:fill="auto"/>
            <w:vAlign w:val="center"/>
          </w:tcPr>
          <w:p w14:paraId="2AA72661" w14:textId="77777777" w:rsidR="000776E9" w:rsidRPr="00D460CE" w:rsidRDefault="000776E9" w:rsidP="003069DF">
            <w:pPr>
              <w:jc w:val="right"/>
            </w:pPr>
          </w:p>
        </w:tc>
      </w:tr>
      <w:tr w:rsidR="004D4E35" w:rsidRPr="00D460CE" w14:paraId="69AB124A" w14:textId="77777777" w:rsidTr="00300948">
        <w:trPr>
          <w:jc w:val="right"/>
        </w:trPr>
        <w:tc>
          <w:tcPr>
            <w:tcW w:w="1780" w:type="dxa"/>
            <w:vMerge/>
            <w:shd w:val="clear" w:color="auto" w:fill="auto"/>
          </w:tcPr>
          <w:p w14:paraId="4208690F" w14:textId="77777777" w:rsidR="004D4E35" w:rsidRPr="003069DF" w:rsidRDefault="004D4E35" w:rsidP="00870978">
            <w:pPr>
              <w:rPr>
                <w:sz w:val="20"/>
                <w:szCs w:val="20"/>
              </w:rPr>
            </w:pPr>
          </w:p>
        </w:tc>
        <w:tc>
          <w:tcPr>
            <w:tcW w:w="1461" w:type="dxa"/>
            <w:shd w:val="clear" w:color="auto" w:fill="auto"/>
            <w:vAlign w:val="center"/>
          </w:tcPr>
          <w:p w14:paraId="57B346FB" w14:textId="77777777" w:rsidR="004D4E35" w:rsidRPr="00914264" w:rsidRDefault="004D4E35" w:rsidP="003069DF">
            <w:pPr>
              <w:spacing w:after="0"/>
              <w:jc w:val="right"/>
              <w:rPr>
                <w:b/>
                <w:sz w:val="20"/>
                <w:szCs w:val="20"/>
              </w:rPr>
            </w:pPr>
            <w:r>
              <w:rPr>
                <w:b/>
                <w:sz w:val="20"/>
                <w:szCs w:val="20"/>
              </w:rPr>
              <w:t>UNDP TRAC:</w:t>
            </w:r>
          </w:p>
        </w:tc>
        <w:tc>
          <w:tcPr>
            <w:tcW w:w="1339" w:type="dxa"/>
            <w:shd w:val="clear" w:color="auto" w:fill="auto"/>
            <w:vAlign w:val="center"/>
          </w:tcPr>
          <w:p w14:paraId="13B6DF8E" w14:textId="7874BE9E" w:rsidR="004D4E35" w:rsidRPr="00C426FF" w:rsidRDefault="00CD0146" w:rsidP="00300948">
            <w:pPr>
              <w:spacing w:after="0"/>
              <w:jc w:val="right"/>
              <w:rPr>
                <w:sz w:val="20"/>
                <w:szCs w:val="20"/>
              </w:rPr>
            </w:pPr>
            <w:r>
              <w:rPr>
                <w:sz w:val="20"/>
                <w:szCs w:val="20"/>
              </w:rPr>
              <w:t>422,650.00</w:t>
            </w:r>
          </w:p>
        </w:tc>
      </w:tr>
      <w:tr w:rsidR="004D4E35" w:rsidRPr="00D460CE" w14:paraId="78C94F63" w14:textId="77777777" w:rsidTr="00300948">
        <w:trPr>
          <w:jc w:val="right"/>
        </w:trPr>
        <w:tc>
          <w:tcPr>
            <w:tcW w:w="1780" w:type="dxa"/>
            <w:vMerge/>
            <w:shd w:val="clear" w:color="auto" w:fill="auto"/>
          </w:tcPr>
          <w:p w14:paraId="62E99A91" w14:textId="77777777" w:rsidR="004D4E35" w:rsidRPr="003069DF" w:rsidRDefault="004D4E35" w:rsidP="007C5423">
            <w:pPr>
              <w:rPr>
                <w:sz w:val="20"/>
                <w:szCs w:val="20"/>
              </w:rPr>
            </w:pPr>
          </w:p>
        </w:tc>
        <w:tc>
          <w:tcPr>
            <w:tcW w:w="1461" w:type="dxa"/>
            <w:shd w:val="clear" w:color="auto" w:fill="auto"/>
            <w:vAlign w:val="center"/>
          </w:tcPr>
          <w:p w14:paraId="36DB85EB" w14:textId="6080BAC5" w:rsidR="004D4E35" w:rsidRPr="00914264" w:rsidRDefault="004D4E35" w:rsidP="003069DF">
            <w:pPr>
              <w:spacing w:after="0"/>
              <w:jc w:val="right"/>
              <w:rPr>
                <w:b/>
                <w:sz w:val="20"/>
                <w:szCs w:val="20"/>
              </w:rPr>
            </w:pPr>
          </w:p>
        </w:tc>
        <w:tc>
          <w:tcPr>
            <w:tcW w:w="1339" w:type="dxa"/>
            <w:shd w:val="clear" w:color="auto" w:fill="auto"/>
            <w:vAlign w:val="center"/>
          </w:tcPr>
          <w:p w14:paraId="1EAD48A9" w14:textId="42DAD741" w:rsidR="004D4E35" w:rsidRPr="00C426FF" w:rsidRDefault="004D4E35" w:rsidP="00300948">
            <w:pPr>
              <w:spacing w:after="0"/>
              <w:jc w:val="right"/>
              <w:rPr>
                <w:sz w:val="20"/>
                <w:szCs w:val="20"/>
              </w:rPr>
            </w:pPr>
          </w:p>
        </w:tc>
      </w:tr>
      <w:tr w:rsidR="004D4E35" w:rsidRPr="00D460CE" w14:paraId="1E7C6A0E" w14:textId="77777777" w:rsidTr="00300948">
        <w:trPr>
          <w:jc w:val="right"/>
        </w:trPr>
        <w:tc>
          <w:tcPr>
            <w:tcW w:w="1780" w:type="dxa"/>
            <w:vMerge/>
            <w:shd w:val="clear" w:color="auto" w:fill="auto"/>
          </w:tcPr>
          <w:p w14:paraId="5DF77A8E" w14:textId="77777777" w:rsidR="004D4E35" w:rsidRPr="003069DF" w:rsidRDefault="004D4E35" w:rsidP="007C5423">
            <w:pPr>
              <w:rPr>
                <w:sz w:val="20"/>
                <w:szCs w:val="20"/>
              </w:rPr>
            </w:pPr>
          </w:p>
        </w:tc>
        <w:tc>
          <w:tcPr>
            <w:tcW w:w="1461" w:type="dxa"/>
            <w:shd w:val="clear" w:color="auto" w:fill="auto"/>
            <w:vAlign w:val="center"/>
          </w:tcPr>
          <w:p w14:paraId="7A258182" w14:textId="77777777" w:rsidR="004D4E35" w:rsidRPr="00914264" w:rsidRDefault="004D4E35" w:rsidP="003069DF">
            <w:pPr>
              <w:spacing w:after="0"/>
              <w:jc w:val="right"/>
              <w:rPr>
                <w:b/>
                <w:sz w:val="20"/>
                <w:szCs w:val="20"/>
              </w:rPr>
            </w:pPr>
            <w:r w:rsidRPr="00914264">
              <w:rPr>
                <w:b/>
                <w:sz w:val="20"/>
                <w:szCs w:val="20"/>
              </w:rPr>
              <w:t>Government:</w:t>
            </w:r>
          </w:p>
        </w:tc>
        <w:tc>
          <w:tcPr>
            <w:tcW w:w="1339" w:type="dxa"/>
            <w:shd w:val="clear" w:color="auto" w:fill="auto"/>
            <w:vAlign w:val="center"/>
          </w:tcPr>
          <w:p w14:paraId="0BE655F6" w14:textId="667D1160" w:rsidR="004D4E35" w:rsidRPr="00C426FF" w:rsidRDefault="00300948" w:rsidP="00300948">
            <w:pPr>
              <w:spacing w:after="0"/>
              <w:jc w:val="right"/>
              <w:rPr>
                <w:sz w:val="20"/>
                <w:szCs w:val="20"/>
              </w:rPr>
            </w:pPr>
            <w:r>
              <w:rPr>
                <w:sz w:val="20"/>
                <w:szCs w:val="20"/>
              </w:rPr>
              <w:t>0</w:t>
            </w:r>
          </w:p>
        </w:tc>
      </w:tr>
      <w:tr w:rsidR="003069DF" w:rsidRPr="00D460CE" w14:paraId="2EFE3565" w14:textId="77777777" w:rsidTr="00300948">
        <w:trPr>
          <w:trHeight w:val="314"/>
          <w:jc w:val="right"/>
        </w:trPr>
        <w:tc>
          <w:tcPr>
            <w:tcW w:w="1780" w:type="dxa"/>
            <w:shd w:val="clear" w:color="auto" w:fill="auto"/>
            <w:vAlign w:val="center"/>
          </w:tcPr>
          <w:p w14:paraId="4970D72B" w14:textId="77777777" w:rsidR="003069DF" w:rsidRPr="003069DF" w:rsidRDefault="003069DF" w:rsidP="003069DF">
            <w:pPr>
              <w:spacing w:after="0"/>
              <w:jc w:val="left"/>
              <w:rPr>
                <w:sz w:val="20"/>
                <w:szCs w:val="20"/>
              </w:rPr>
            </w:pPr>
            <w:r w:rsidRPr="003069DF">
              <w:rPr>
                <w:b/>
                <w:sz w:val="20"/>
                <w:szCs w:val="20"/>
              </w:rPr>
              <w:t>Unfunded:</w:t>
            </w:r>
          </w:p>
        </w:tc>
        <w:tc>
          <w:tcPr>
            <w:tcW w:w="2800" w:type="dxa"/>
            <w:gridSpan w:val="2"/>
            <w:shd w:val="clear" w:color="auto" w:fill="auto"/>
            <w:vAlign w:val="center"/>
          </w:tcPr>
          <w:p w14:paraId="08FB627E" w14:textId="3B786C21" w:rsidR="003069DF" w:rsidRPr="00C426FF" w:rsidRDefault="00300948" w:rsidP="003069DF">
            <w:pPr>
              <w:spacing w:after="0"/>
              <w:jc w:val="right"/>
              <w:rPr>
                <w:sz w:val="18"/>
                <w:szCs w:val="18"/>
              </w:rPr>
            </w:pPr>
            <w:r>
              <w:rPr>
                <w:sz w:val="18"/>
                <w:szCs w:val="18"/>
              </w:rPr>
              <w:t>0</w:t>
            </w:r>
          </w:p>
        </w:tc>
      </w:tr>
    </w:tbl>
    <w:p w14:paraId="69533151" w14:textId="77777777" w:rsidR="00901C7D" w:rsidRDefault="00901C7D" w:rsidP="000776E9">
      <w:pPr>
        <w:spacing w:after="0"/>
      </w:pPr>
    </w:p>
    <w:p w14:paraId="3797D129" w14:textId="09F64116" w:rsidR="00901C7D" w:rsidRDefault="00901C7D" w:rsidP="00766B89">
      <w:pPr>
        <w:tabs>
          <w:tab w:val="left" w:pos="960"/>
        </w:tabs>
        <w:spacing w:before="120" w:after="0"/>
      </w:pPr>
      <w:r>
        <w:t>Agreed by (signatures)</w:t>
      </w:r>
      <w:r w:rsidR="00AA0710">
        <w:rPr>
          <w:rStyle w:val="FootnoteReference"/>
        </w:rPr>
        <w:footnoteReference w:id="2"/>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460"/>
        <w:gridCol w:w="2937"/>
      </w:tblGrid>
      <w:tr w:rsidR="00901C7D" w14:paraId="41EF3229" w14:textId="77777777" w:rsidTr="2F216552">
        <w:tc>
          <w:tcPr>
            <w:tcW w:w="3195" w:type="dxa"/>
            <w:shd w:val="clear" w:color="auto" w:fill="auto"/>
          </w:tcPr>
          <w:p w14:paraId="563FD87A" w14:textId="17344F6C" w:rsidR="00901C7D" w:rsidRDefault="00901C7D" w:rsidP="00666B7D">
            <w:pPr>
              <w:spacing w:after="0"/>
              <w:jc w:val="center"/>
            </w:pPr>
            <w:r>
              <w:t>Government</w:t>
            </w:r>
            <w:r w:rsidR="00B775C4">
              <w:t xml:space="preserve"> – Health</w:t>
            </w:r>
          </w:p>
        </w:tc>
        <w:tc>
          <w:tcPr>
            <w:tcW w:w="3460" w:type="dxa"/>
            <w:shd w:val="clear" w:color="auto" w:fill="auto"/>
          </w:tcPr>
          <w:p w14:paraId="6A609E34" w14:textId="09D08902" w:rsidR="00901C7D" w:rsidRDefault="00EA576A" w:rsidP="00666B7D">
            <w:pPr>
              <w:spacing w:after="0"/>
              <w:jc w:val="center"/>
            </w:pPr>
            <w:r w:rsidRPr="00CD0BD3">
              <w:t xml:space="preserve">Government </w:t>
            </w:r>
            <w:r w:rsidR="00B775C4">
              <w:t>– Social Protection</w:t>
            </w:r>
          </w:p>
        </w:tc>
        <w:tc>
          <w:tcPr>
            <w:tcW w:w="2937" w:type="dxa"/>
            <w:shd w:val="clear" w:color="auto" w:fill="auto"/>
          </w:tcPr>
          <w:p w14:paraId="17A22196" w14:textId="1688185D" w:rsidR="00901C7D" w:rsidRDefault="00EA576A" w:rsidP="00666B7D">
            <w:pPr>
              <w:spacing w:after="0"/>
              <w:jc w:val="center"/>
            </w:pPr>
            <w:r>
              <w:t>UNDP</w:t>
            </w:r>
          </w:p>
        </w:tc>
      </w:tr>
      <w:tr w:rsidR="00901C7D" w14:paraId="59850F3E" w14:textId="77777777" w:rsidTr="2F216552">
        <w:trPr>
          <w:trHeight w:val="1412"/>
        </w:trPr>
        <w:tc>
          <w:tcPr>
            <w:tcW w:w="3195" w:type="dxa"/>
            <w:shd w:val="clear" w:color="auto" w:fill="auto"/>
          </w:tcPr>
          <w:p w14:paraId="1064315B" w14:textId="77777777" w:rsidR="00901C7D" w:rsidRPr="00666B7D" w:rsidRDefault="00901C7D" w:rsidP="003C0FEB">
            <w:pPr>
              <w:spacing w:after="0"/>
              <w:jc w:val="left"/>
              <w:rPr>
                <w:sz w:val="20"/>
                <w:szCs w:val="20"/>
              </w:rPr>
            </w:pPr>
          </w:p>
          <w:p w14:paraId="09B7C94C" w14:textId="77777777" w:rsidR="007D05FC" w:rsidRPr="00666B7D" w:rsidRDefault="007D05FC" w:rsidP="003C0FEB">
            <w:pPr>
              <w:spacing w:after="0"/>
              <w:jc w:val="left"/>
              <w:rPr>
                <w:sz w:val="20"/>
                <w:szCs w:val="20"/>
              </w:rPr>
            </w:pPr>
            <w:r w:rsidRPr="00666B7D">
              <w:rPr>
                <w:sz w:val="20"/>
                <w:szCs w:val="20"/>
              </w:rPr>
              <w:t>Print Name:</w:t>
            </w:r>
          </w:p>
        </w:tc>
        <w:tc>
          <w:tcPr>
            <w:tcW w:w="3460" w:type="dxa"/>
            <w:shd w:val="clear" w:color="auto" w:fill="auto"/>
          </w:tcPr>
          <w:p w14:paraId="571D45AB" w14:textId="77777777" w:rsidR="00F73989" w:rsidRDefault="00F73989" w:rsidP="003C0FEB">
            <w:pPr>
              <w:spacing w:after="0"/>
              <w:jc w:val="left"/>
              <w:rPr>
                <w:sz w:val="20"/>
                <w:szCs w:val="20"/>
              </w:rPr>
            </w:pPr>
          </w:p>
          <w:p w14:paraId="58136FA7" w14:textId="0DD59E0E" w:rsidR="007D05FC" w:rsidRPr="00666B7D" w:rsidRDefault="007D05FC" w:rsidP="003C0FEB">
            <w:pPr>
              <w:spacing w:after="0"/>
              <w:jc w:val="left"/>
              <w:rPr>
                <w:sz w:val="20"/>
                <w:szCs w:val="20"/>
              </w:rPr>
            </w:pPr>
            <w:r w:rsidRPr="00666B7D">
              <w:rPr>
                <w:sz w:val="20"/>
                <w:szCs w:val="20"/>
              </w:rPr>
              <w:t>Print Name:</w:t>
            </w:r>
          </w:p>
        </w:tc>
        <w:tc>
          <w:tcPr>
            <w:tcW w:w="2937" w:type="dxa"/>
            <w:shd w:val="clear" w:color="auto" w:fill="auto"/>
          </w:tcPr>
          <w:p w14:paraId="681E567C" w14:textId="77777777" w:rsidR="007D05FC" w:rsidRPr="00666B7D" w:rsidRDefault="007D05FC" w:rsidP="003C0FEB">
            <w:pPr>
              <w:spacing w:after="0"/>
              <w:jc w:val="left"/>
              <w:rPr>
                <w:sz w:val="20"/>
                <w:szCs w:val="20"/>
              </w:rPr>
            </w:pPr>
          </w:p>
          <w:p w14:paraId="6EE8B247" w14:textId="1EF2C83C" w:rsidR="007D05FC" w:rsidRPr="00666B7D" w:rsidRDefault="00CD0BD3" w:rsidP="003C0FEB">
            <w:pPr>
              <w:spacing w:after="0"/>
              <w:jc w:val="left"/>
              <w:rPr>
                <w:sz w:val="20"/>
                <w:szCs w:val="20"/>
              </w:rPr>
            </w:pPr>
            <w:r>
              <w:rPr>
                <w:sz w:val="20"/>
                <w:szCs w:val="20"/>
              </w:rPr>
              <w:t xml:space="preserve">Resident </w:t>
            </w:r>
            <w:r w:rsidR="009F5A06">
              <w:rPr>
                <w:sz w:val="20"/>
                <w:szCs w:val="20"/>
              </w:rPr>
              <w:t>Representative</w:t>
            </w:r>
          </w:p>
          <w:p w14:paraId="700C48D3" w14:textId="77777777" w:rsidR="007D05FC" w:rsidRPr="00666B7D" w:rsidRDefault="007D05FC" w:rsidP="003C0FEB">
            <w:pPr>
              <w:spacing w:after="0"/>
              <w:jc w:val="left"/>
              <w:rPr>
                <w:sz w:val="20"/>
                <w:szCs w:val="20"/>
              </w:rPr>
            </w:pPr>
          </w:p>
          <w:p w14:paraId="2252AA62" w14:textId="77777777" w:rsidR="007D05FC" w:rsidRPr="00666B7D" w:rsidRDefault="007D05FC" w:rsidP="003C0FEB">
            <w:pPr>
              <w:spacing w:after="0"/>
              <w:jc w:val="left"/>
              <w:rPr>
                <w:sz w:val="20"/>
                <w:szCs w:val="20"/>
              </w:rPr>
            </w:pPr>
          </w:p>
          <w:p w14:paraId="585F4273" w14:textId="5E2CC793" w:rsidR="007D05FC" w:rsidRPr="00666B7D" w:rsidRDefault="037C71C3" w:rsidP="2F216552">
            <w:pPr>
              <w:spacing w:after="0" w:line="259" w:lineRule="auto"/>
              <w:jc w:val="left"/>
              <w:rPr>
                <w:sz w:val="20"/>
                <w:szCs w:val="20"/>
              </w:rPr>
            </w:pPr>
            <w:r w:rsidRPr="2F216552">
              <w:rPr>
                <w:sz w:val="20"/>
                <w:szCs w:val="20"/>
              </w:rPr>
              <w:t>Tjark Marten Egenhoff</w:t>
            </w:r>
          </w:p>
        </w:tc>
      </w:tr>
      <w:tr w:rsidR="00901C7D" w14:paraId="30DA6BEC" w14:textId="77777777" w:rsidTr="2F216552">
        <w:tc>
          <w:tcPr>
            <w:tcW w:w="3195" w:type="dxa"/>
            <w:shd w:val="clear" w:color="auto" w:fill="auto"/>
          </w:tcPr>
          <w:p w14:paraId="60A692B7" w14:textId="77777777" w:rsidR="00901C7D" w:rsidRDefault="00901C7D" w:rsidP="00666B7D">
            <w:pPr>
              <w:spacing w:after="0"/>
              <w:jc w:val="left"/>
            </w:pPr>
            <w:r>
              <w:t xml:space="preserve">Date: </w:t>
            </w:r>
          </w:p>
        </w:tc>
        <w:tc>
          <w:tcPr>
            <w:tcW w:w="3460" w:type="dxa"/>
            <w:shd w:val="clear" w:color="auto" w:fill="auto"/>
          </w:tcPr>
          <w:p w14:paraId="71576479" w14:textId="77777777" w:rsidR="00901C7D" w:rsidRDefault="00901C7D" w:rsidP="00666B7D">
            <w:pPr>
              <w:spacing w:after="0"/>
              <w:jc w:val="left"/>
            </w:pPr>
            <w:r>
              <w:t xml:space="preserve">Date: </w:t>
            </w:r>
          </w:p>
        </w:tc>
        <w:tc>
          <w:tcPr>
            <w:tcW w:w="2937" w:type="dxa"/>
            <w:shd w:val="clear" w:color="auto" w:fill="auto"/>
          </w:tcPr>
          <w:p w14:paraId="40B668AC" w14:textId="77777777" w:rsidR="00901C7D" w:rsidRDefault="00901C7D" w:rsidP="00666B7D">
            <w:pPr>
              <w:spacing w:after="0"/>
              <w:jc w:val="left"/>
            </w:pPr>
            <w:r>
              <w:t>Date:</w:t>
            </w:r>
          </w:p>
        </w:tc>
      </w:tr>
    </w:tbl>
    <w:p w14:paraId="466B039E" w14:textId="77777777" w:rsidR="008F1069" w:rsidRDefault="009B63D7" w:rsidP="005610D7">
      <w:pPr>
        <w:pStyle w:val="Heading1"/>
        <w:numPr>
          <w:ilvl w:val="0"/>
          <w:numId w:val="7"/>
        </w:numPr>
      </w:pPr>
      <w:r>
        <w:br w:type="page"/>
      </w:r>
      <w:r w:rsidR="006D58B9">
        <w:t xml:space="preserve">Development </w:t>
      </w:r>
      <w:r w:rsidR="0038628D">
        <w:t>Challenge</w:t>
      </w:r>
      <w:r w:rsidR="00BC3596">
        <w:t xml:space="preserve"> </w:t>
      </w:r>
    </w:p>
    <w:p w14:paraId="01F97BAD" w14:textId="60D37CB2" w:rsidR="0050022A" w:rsidRPr="0057030B" w:rsidRDefault="0050022A" w:rsidP="3B696D63">
      <w:pPr>
        <w:rPr>
          <w:b/>
          <w:bCs/>
        </w:rPr>
      </w:pPr>
      <w:r w:rsidRPr="3B696D63">
        <w:rPr>
          <w:b/>
          <w:bCs/>
        </w:rPr>
        <w:t>Situation Analysis</w:t>
      </w:r>
    </w:p>
    <w:p w14:paraId="3A68BBBB" w14:textId="77777777" w:rsidR="00E91A5A" w:rsidRDefault="00E91A5A" w:rsidP="00E91A5A">
      <w:pPr>
        <w:spacing w:after="160" w:line="259" w:lineRule="auto"/>
        <w:contextualSpacing/>
        <w:rPr>
          <w:rFonts w:eastAsia="Calibri" w:cs="Arial"/>
          <w:szCs w:val="22"/>
        </w:rPr>
      </w:pPr>
      <w:r w:rsidRPr="00822231">
        <w:rPr>
          <w:rFonts w:eastAsia="Calibri" w:cs="Arial"/>
          <w:szCs w:val="22"/>
        </w:rPr>
        <w:t>Achieving the Sustainable Development Goals (SDG) in Guinea-Bissau presents formidable challenges</w:t>
      </w:r>
      <w:proofErr w:type="gramStart"/>
      <w:r w:rsidRPr="00822231">
        <w:rPr>
          <w:rFonts w:eastAsia="Calibri" w:cs="Arial"/>
          <w:szCs w:val="22"/>
        </w:rPr>
        <w:t xml:space="preserve">.  </w:t>
      </w:r>
      <w:proofErr w:type="gramEnd"/>
      <w:r w:rsidRPr="00822231">
        <w:rPr>
          <w:rFonts w:eastAsia="Calibri" w:cs="Arial"/>
          <w:szCs w:val="22"/>
        </w:rPr>
        <w:t>The UNDP Human Development Report of 2020 ranked Guinea Bissau close to the bottom of the global human development index, 175th out of 189 countries, and 174th out of 195 countries in the latest SDG index.</w:t>
      </w:r>
    </w:p>
    <w:p w14:paraId="5EF6C987" w14:textId="77777777" w:rsidR="00E91A5A" w:rsidRPr="00822231" w:rsidRDefault="00E91A5A" w:rsidP="00E91A5A">
      <w:pPr>
        <w:spacing w:after="160" w:line="259" w:lineRule="auto"/>
        <w:contextualSpacing/>
        <w:rPr>
          <w:rFonts w:eastAsia="Calibri" w:cs="Arial"/>
          <w:szCs w:val="22"/>
        </w:rPr>
      </w:pPr>
    </w:p>
    <w:p w14:paraId="3C9E1CA8" w14:textId="30DBDA31" w:rsidR="00E91A5A" w:rsidRPr="00083530" w:rsidRDefault="00E91A5A" w:rsidP="00E91A5A">
      <w:pPr>
        <w:spacing w:after="160" w:line="259" w:lineRule="auto"/>
        <w:contextualSpacing/>
        <w:rPr>
          <w:rFonts w:eastAsia="Calibri" w:cs="Arial"/>
          <w:color w:val="1C1B1C"/>
          <w:szCs w:val="22"/>
          <w:shd w:val="clear" w:color="auto" w:fill="FFFFFF"/>
        </w:rPr>
      </w:pPr>
      <w:r w:rsidRPr="00822231">
        <w:rPr>
          <w:rFonts w:eastAsia="Calibri" w:cs="Arial"/>
          <w:iCs/>
          <w:szCs w:val="22"/>
        </w:rPr>
        <w:t xml:space="preserve">Like many SIDS, Guinea Bissau is </w:t>
      </w:r>
      <w:r w:rsidRPr="00083530">
        <w:rPr>
          <w:rFonts w:eastAsia="Calibri" w:cs="Arial"/>
          <w:color w:val="0A0A0A"/>
          <w:spacing w:val="4"/>
          <w:szCs w:val="22"/>
        </w:rPr>
        <w:t>economically reliant on a single key sector</w:t>
      </w:r>
      <w:r w:rsidRPr="00083530">
        <w:rPr>
          <w:rFonts w:eastAsia="Calibri" w:cs="Arial"/>
          <w:color w:val="0A0A0A"/>
          <w:spacing w:val="4"/>
          <w:szCs w:val="22"/>
        </w:rPr>
        <w:t xml:space="preserve">. </w:t>
      </w:r>
      <w:r w:rsidRPr="00083530">
        <w:rPr>
          <w:rFonts w:eastAsia="Calibri" w:cs="Arial"/>
          <w:color w:val="0A0A0A"/>
          <w:spacing w:val="4"/>
          <w:szCs w:val="22"/>
        </w:rPr>
        <w:t>Raw cashew nuts make up more than 90% of total goods exports</w:t>
      </w:r>
      <w:r>
        <w:rPr>
          <w:rFonts w:eastAsia="Calibri" w:cs="Arial"/>
          <w:color w:val="0A0A0A"/>
          <w:spacing w:val="4"/>
          <w:szCs w:val="22"/>
        </w:rPr>
        <w:t xml:space="preserve">, </w:t>
      </w:r>
      <w:r w:rsidRPr="00B91228">
        <w:rPr>
          <w:rFonts w:eastAsia="Calibri" w:cs="Arial"/>
          <w:color w:val="0A0A0A"/>
          <w:spacing w:val="4"/>
          <w:szCs w:val="22"/>
        </w:rPr>
        <w:t xml:space="preserve">around 80% employment (mostly smallholder framing and seasonal daily </w:t>
      </w:r>
      <w:proofErr w:type="spellStart"/>
      <w:r w:rsidRPr="00B91228">
        <w:rPr>
          <w:rFonts w:eastAsia="Calibri" w:cs="Arial"/>
          <w:color w:val="0A0A0A"/>
          <w:spacing w:val="4"/>
          <w:szCs w:val="22"/>
        </w:rPr>
        <w:t>labor</w:t>
      </w:r>
      <w:proofErr w:type="spellEnd"/>
      <w:r w:rsidRPr="00B91228">
        <w:rPr>
          <w:rFonts w:eastAsia="Calibri" w:cs="Arial"/>
          <w:color w:val="0A0A0A"/>
          <w:spacing w:val="4"/>
          <w:szCs w:val="22"/>
        </w:rPr>
        <w:t xml:space="preserve">) and 13% of government’s </w:t>
      </w:r>
      <w:r w:rsidRPr="00C15B07">
        <w:rPr>
          <w:rFonts w:eastAsia="Calibri" w:cs="Arial"/>
          <w:color w:val="0A0A0A"/>
          <w:spacing w:val="4"/>
          <w:szCs w:val="22"/>
        </w:rPr>
        <w:t>revenue</w:t>
      </w:r>
      <w:r>
        <w:rPr>
          <w:rFonts w:eastAsia="Calibri" w:cs="Arial"/>
          <w:color w:val="0A0A0A"/>
          <w:spacing w:val="4"/>
          <w:szCs w:val="22"/>
        </w:rPr>
        <w:t xml:space="preserve"> and</w:t>
      </w:r>
      <w:r w:rsidRPr="00083530">
        <w:rPr>
          <w:rFonts w:eastAsia="Calibri" w:cs="Arial"/>
          <w:color w:val="0A0A0A"/>
          <w:spacing w:val="4"/>
          <w:szCs w:val="22"/>
        </w:rPr>
        <w:t xml:space="preserve"> </w:t>
      </w:r>
      <w:r w:rsidRPr="00083530">
        <w:rPr>
          <w:rFonts w:eastAsia="Calibri" w:cs="Arial"/>
          <w:color w:val="1C1B1C"/>
          <w:szCs w:val="22"/>
          <w:shd w:val="clear" w:color="auto" w:fill="FFFFFF"/>
        </w:rPr>
        <w:t>leaves nearly two-thirds of the population vulnerable to trade shocks. Diversification is urgently required to increase resilience</w:t>
      </w:r>
      <w:proofErr w:type="gramStart"/>
      <w:r w:rsidRPr="00083530">
        <w:rPr>
          <w:rFonts w:eastAsia="Calibri" w:cs="Arial"/>
          <w:color w:val="1C1B1C"/>
          <w:szCs w:val="22"/>
          <w:shd w:val="clear" w:color="auto" w:fill="FFFFFF"/>
        </w:rPr>
        <w:t xml:space="preserve">.  </w:t>
      </w:r>
      <w:proofErr w:type="gramEnd"/>
    </w:p>
    <w:p w14:paraId="18BE1FFE" w14:textId="77777777" w:rsidR="00E91A5A" w:rsidRPr="00083530" w:rsidRDefault="00E91A5A" w:rsidP="00E91A5A">
      <w:pPr>
        <w:spacing w:after="160" w:line="259" w:lineRule="auto"/>
        <w:contextualSpacing/>
        <w:rPr>
          <w:rFonts w:eastAsia="Calibri" w:cs="Arial"/>
          <w:color w:val="1C1B1C"/>
          <w:szCs w:val="22"/>
          <w:shd w:val="clear" w:color="auto" w:fill="FFFFFF"/>
        </w:rPr>
      </w:pPr>
    </w:p>
    <w:p w14:paraId="50DE0746" w14:textId="77777777" w:rsidR="00E91A5A" w:rsidRPr="00822231" w:rsidRDefault="00E91A5A" w:rsidP="00E91A5A">
      <w:pPr>
        <w:spacing w:after="160" w:line="259" w:lineRule="auto"/>
        <w:contextualSpacing/>
        <w:rPr>
          <w:rFonts w:eastAsia="Calibri" w:cs="Arial"/>
          <w:szCs w:val="22"/>
        </w:rPr>
      </w:pPr>
      <w:r w:rsidRPr="00822231">
        <w:rPr>
          <w:rFonts w:eastAsia="Calibri" w:cs="Arial"/>
          <w:szCs w:val="22"/>
        </w:rPr>
        <w:t>The majority of the population and the economy in both areas are dependent on natural resources, particularly agriculture and fisheries</w:t>
      </w:r>
      <w:r w:rsidRPr="00822231">
        <w:rPr>
          <w:rFonts w:eastAsia="Calibri" w:cs="Arial"/>
          <w:szCs w:val="22"/>
          <w:vertAlign w:val="superscript"/>
        </w:rPr>
        <w:footnoteReference w:id="3"/>
      </w:r>
      <w:r w:rsidRPr="00822231">
        <w:rPr>
          <w:rFonts w:eastAsia="Calibri" w:cs="Arial"/>
          <w:szCs w:val="22"/>
        </w:rPr>
        <w:t xml:space="preserve">, for subsistence as well as income, and both sectors face immediate threats from climate change, particularly sea-level </w:t>
      </w:r>
      <w:proofErr w:type="gramStart"/>
      <w:r w:rsidRPr="00822231">
        <w:rPr>
          <w:rFonts w:eastAsia="Calibri" w:cs="Arial"/>
          <w:szCs w:val="22"/>
        </w:rPr>
        <w:t>rise</w:t>
      </w:r>
      <w:proofErr w:type="gramEnd"/>
      <w:r w:rsidRPr="00822231">
        <w:rPr>
          <w:rFonts w:eastAsia="Calibri" w:cs="Arial"/>
          <w:szCs w:val="22"/>
        </w:rPr>
        <w:t xml:space="preserve"> and desertification.  Increased flooding and saltwater intrusion are affecting coastal areas in the south, and water scarcity and droughts are affecting the north of the country.</w:t>
      </w:r>
    </w:p>
    <w:p w14:paraId="70C9E484" w14:textId="77777777" w:rsidR="00E91A5A" w:rsidRPr="00822231" w:rsidRDefault="00E91A5A" w:rsidP="00E91A5A">
      <w:pPr>
        <w:spacing w:after="160" w:line="259" w:lineRule="auto"/>
        <w:contextualSpacing/>
        <w:rPr>
          <w:rFonts w:eastAsia="Calibri" w:cs="Arial"/>
          <w:szCs w:val="22"/>
        </w:rPr>
      </w:pPr>
    </w:p>
    <w:p w14:paraId="0C507EDD" w14:textId="77777777" w:rsidR="00E91A5A" w:rsidRPr="00822231" w:rsidRDefault="00E91A5A" w:rsidP="00E91A5A">
      <w:pPr>
        <w:spacing w:after="160" w:line="259" w:lineRule="auto"/>
        <w:contextualSpacing/>
        <w:rPr>
          <w:rFonts w:eastAsia="Calibri" w:cs="Arial"/>
          <w:iCs/>
          <w:szCs w:val="22"/>
        </w:rPr>
      </w:pPr>
      <w:r w:rsidRPr="00822231">
        <w:rPr>
          <w:rFonts w:eastAsia="Calibri" w:cs="Arial"/>
          <w:iCs/>
          <w:szCs w:val="22"/>
        </w:rPr>
        <w:t xml:space="preserve">The Region of </w:t>
      </w:r>
      <w:proofErr w:type="spellStart"/>
      <w:r w:rsidRPr="00822231">
        <w:rPr>
          <w:rFonts w:eastAsia="Calibri" w:cs="Arial"/>
          <w:iCs/>
          <w:szCs w:val="22"/>
        </w:rPr>
        <w:t>Bolama-Bijagós</w:t>
      </w:r>
      <w:proofErr w:type="spellEnd"/>
      <w:r w:rsidRPr="00822231">
        <w:rPr>
          <w:rFonts w:eastAsia="Calibri" w:cs="Arial"/>
          <w:iCs/>
          <w:szCs w:val="22"/>
        </w:rPr>
        <w:t xml:space="preserve">, encompassed mainly by the Archipelago of </w:t>
      </w:r>
      <w:proofErr w:type="spellStart"/>
      <w:r w:rsidRPr="00822231">
        <w:rPr>
          <w:rFonts w:eastAsia="Calibri" w:cs="Arial"/>
          <w:iCs/>
          <w:szCs w:val="22"/>
        </w:rPr>
        <w:t>Bijagós</w:t>
      </w:r>
      <w:proofErr w:type="spellEnd"/>
      <w:r w:rsidRPr="00822231">
        <w:rPr>
          <w:rFonts w:eastAsia="Calibri" w:cs="Arial"/>
          <w:iCs/>
          <w:szCs w:val="22"/>
        </w:rPr>
        <w:t xml:space="preserve"> (a UNESCO Eco Biosphere Reserve), is in a particularly vulnerable situation combining the abovementioned aspects. UN-Habitat supported the State Secretariat for Planning and Regional Integration in the establishment of a Regional Strategic and Spatial Development Plan – the </w:t>
      </w:r>
      <w:proofErr w:type="spellStart"/>
      <w:r w:rsidRPr="00822231">
        <w:rPr>
          <w:rFonts w:eastAsia="Calibri" w:cs="Arial"/>
          <w:iCs/>
          <w:szCs w:val="22"/>
        </w:rPr>
        <w:t>Bijagós</w:t>
      </w:r>
      <w:proofErr w:type="spellEnd"/>
      <w:r w:rsidRPr="00822231">
        <w:rPr>
          <w:rFonts w:eastAsia="Calibri" w:cs="Arial"/>
          <w:iCs/>
          <w:szCs w:val="22"/>
        </w:rPr>
        <w:t xml:space="preserve"> 2030 (</w:t>
      </w:r>
      <w:proofErr w:type="spellStart"/>
      <w:r w:rsidRPr="00822231">
        <w:rPr>
          <w:rFonts w:eastAsia="Calibri" w:cs="Arial"/>
          <w:iCs/>
          <w:szCs w:val="22"/>
        </w:rPr>
        <w:t>Etibêne</w:t>
      </w:r>
      <w:proofErr w:type="spellEnd"/>
      <w:r w:rsidRPr="00822231">
        <w:rPr>
          <w:rFonts w:eastAsia="Calibri" w:cs="Arial"/>
          <w:iCs/>
          <w:szCs w:val="22"/>
        </w:rPr>
        <w:t xml:space="preserve"> </w:t>
      </w:r>
      <w:proofErr w:type="spellStart"/>
      <w:r w:rsidRPr="00822231">
        <w:rPr>
          <w:rFonts w:eastAsia="Calibri" w:cs="Arial"/>
          <w:iCs/>
          <w:szCs w:val="22"/>
        </w:rPr>
        <w:t>Kossok</w:t>
      </w:r>
      <w:proofErr w:type="spellEnd"/>
      <w:r w:rsidRPr="00822231">
        <w:rPr>
          <w:rFonts w:eastAsia="Calibri" w:cs="Arial"/>
          <w:iCs/>
          <w:szCs w:val="22"/>
        </w:rPr>
        <w:t>!), which included a highly-participative process of analysis of the main constraints and potentials of the region. The analysis has revealed that the majority of the islands suffer from overreliance on agriculture and fishery, as well as are highly exposed to environmental degradation and climate-related disasters (see image below).</w:t>
      </w:r>
    </w:p>
    <w:p w14:paraId="071F8EC6" w14:textId="77777777" w:rsidR="00E91A5A" w:rsidRPr="00822231" w:rsidRDefault="00E91A5A" w:rsidP="00E91A5A">
      <w:pPr>
        <w:spacing w:after="160" w:line="259" w:lineRule="auto"/>
        <w:contextualSpacing/>
        <w:rPr>
          <w:rFonts w:eastAsia="Calibri" w:cs="Arial"/>
          <w:iCs/>
          <w:szCs w:val="22"/>
        </w:rPr>
      </w:pPr>
    </w:p>
    <w:p w14:paraId="60B4F507" w14:textId="77777777" w:rsidR="00E91A5A" w:rsidRPr="00822231" w:rsidRDefault="00E91A5A" w:rsidP="00E91A5A">
      <w:pPr>
        <w:spacing w:after="160" w:line="259" w:lineRule="auto"/>
        <w:contextualSpacing/>
        <w:rPr>
          <w:rFonts w:eastAsia="Calibri" w:cs="Arial"/>
          <w:iCs/>
          <w:szCs w:val="22"/>
        </w:rPr>
      </w:pPr>
      <w:r w:rsidRPr="00083530">
        <w:rPr>
          <w:rFonts w:eastAsia="Calibri" w:cs="Arial"/>
          <w:noProof/>
          <w:szCs w:val="22"/>
          <w:lang w:val="en-US"/>
        </w:rPr>
        <w:drawing>
          <wp:inline distT="0" distB="0" distL="0" distR="0" wp14:anchorId="63350F21" wp14:editId="05924101">
            <wp:extent cx="5981700" cy="3708400"/>
            <wp:effectExtent l="0" t="0" r="0" b="6350"/>
            <wp:docPr id="1" name="Picture 19"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 ma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1700" cy="3708400"/>
                    </a:xfrm>
                    <a:prstGeom prst="rect">
                      <a:avLst/>
                    </a:prstGeom>
                    <a:noFill/>
                    <a:ln>
                      <a:noFill/>
                    </a:ln>
                  </pic:spPr>
                </pic:pic>
              </a:graphicData>
            </a:graphic>
          </wp:inline>
        </w:drawing>
      </w:r>
    </w:p>
    <w:p w14:paraId="1929091A" w14:textId="77777777" w:rsidR="00E91A5A" w:rsidRPr="00822231" w:rsidRDefault="00E91A5A" w:rsidP="00E91A5A">
      <w:pPr>
        <w:spacing w:after="160" w:line="259" w:lineRule="auto"/>
        <w:contextualSpacing/>
        <w:rPr>
          <w:rFonts w:eastAsia="Calibri" w:cs="Arial"/>
          <w:iCs/>
          <w:szCs w:val="22"/>
        </w:rPr>
      </w:pPr>
    </w:p>
    <w:p w14:paraId="564EF213" w14:textId="4BD127F3" w:rsidR="00E91A5A" w:rsidRPr="00083530" w:rsidRDefault="00E91A5A" w:rsidP="00E91A5A">
      <w:pPr>
        <w:spacing w:after="160" w:line="259" w:lineRule="auto"/>
        <w:contextualSpacing/>
        <w:rPr>
          <w:rFonts w:eastAsia="Calibri" w:cs="Arial"/>
          <w:szCs w:val="22"/>
        </w:rPr>
      </w:pPr>
      <w:r w:rsidRPr="00822231">
        <w:rPr>
          <w:rFonts w:cs="Arial"/>
          <w:szCs w:val="22"/>
        </w:rPr>
        <w:t xml:space="preserve">A UNDP </w:t>
      </w:r>
      <w:r w:rsidRPr="00822231">
        <w:rPr>
          <w:rFonts w:eastAsia="Calibri" w:cs="Arial"/>
          <w:szCs w:val="22"/>
        </w:rPr>
        <w:t>COVID-19 Socio Economic Impact Assessment in Guinea-Bissau</w:t>
      </w:r>
      <w:r w:rsidRPr="00822231">
        <w:rPr>
          <w:rFonts w:eastAsia="Calibri" w:cs="Arial"/>
          <w:szCs w:val="22"/>
          <w:vertAlign w:val="superscript"/>
        </w:rPr>
        <w:footnoteReference w:id="4"/>
      </w:r>
      <w:r w:rsidRPr="00822231">
        <w:rPr>
          <w:rFonts w:eastAsia="Calibri" w:cs="Arial"/>
          <w:szCs w:val="22"/>
        </w:rPr>
        <w:t>, published in June 2020, attests to the particular impact of the crisis on the poorest and most vulnerable segments of the population</w:t>
      </w:r>
      <w:r w:rsidR="00923D2E" w:rsidRPr="00822231">
        <w:rPr>
          <w:rFonts w:eastAsia="Calibri" w:cs="Arial"/>
          <w:szCs w:val="22"/>
        </w:rPr>
        <w:t xml:space="preserve">. </w:t>
      </w:r>
      <w:r w:rsidRPr="00822231">
        <w:rPr>
          <w:rFonts w:eastAsia="Calibri" w:cs="Arial"/>
          <w:szCs w:val="22"/>
        </w:rPr>
        <w:t xml:space="preserve">Key sectors such as agriculture, transport and tourism suffered the most. </w:t>
      </w:r>
      <w:r w:rsidRPr="00822231">
        <w:rPr>
          <w:rFonts w:cs="Arial"/>
          <w:szCs w:val="22"/>
        </w:rPr>
        <w:t>The impact of the COVID-19 pandemic in Guinea Bissau has exposed as well as exacerbated existing structural weaknesses and vulnerabilities, particularly in regard to economic growth, governance, infrastructure, and limited health and social protection provision.</w:t>
      </w:r>
      <w:r w:rsidRPr="00083530">
        <w:rPr>
          <w:rFonts w:eastAsia="Calibri" w:cs="Arial"/>
          <w:szCs w:val="22"/>
        </w:rPr>
        <w:t xml:space="preserve"> </w:t>
      </w:r>
    </w:p>
    <w:p w14:paraId="2DA9B59E" w14:textId="77777777" w:rsidR="00E91A5A" w:rsidRPr="00083530" w:rsidRDefault="00E91A5A" w:rsidP="00E91A5A">
      <w:pPr>
        <w:spacing w:after="160" w:line="259" w:lineRule="auto"/>
        <w:contextualSpacing/>
        <w:rPr>
          <w:rFonts w:eastAsia="Calibri" w:cs="Arial"/>
          <w:szCs w:val="22"/>
        </w:rPr>
      </w:pPr>
    </w:p>
    <w:p w14:paraId="62A94BC2" w14:textId="47B62E07" w:rsidR="00E91A5A" w:rsidRDefault="00E91A5A" w:rsidP="00E91A5A">
      <w:pPr>
        <w:spacing w:after="160" w:line="259" w:lineRule="auto"/>
        <w:contextualSpacing/>
        <w:rPr>
          <w:rFonts w:eastAsia="Calibri" w:cs="Arial"/>
          <w:szCs w:val="22"/>
        </w:rPr>
      </w:pPr>
      <w:r w:rsidRPr="00083530">
        <w:rPr>
          <w:rFonts w:eastAsia="Calibri" w:cs="Arial"/>
          <w:szCs w:val="22"/>
        </w:rPr>
        <w:t>Far from hitting the population homogeneously, the COVID-19 pandemic has disproportionately impacted women and children among other vulnerable members of the population, due to their high vulnerability to shocks. Although both men and women suffer from poverty, women are often burdened with household responsibilities alongside the need to earn an income</w:t>
      </w:r>
      <w:r w:rsidR="002510C6" w:rsidRPr="00083530">
        <w:rPr>
          <w:rFonts w:eastAsia="Calibri" w:cs="Arial"/>
          <w:szCs w:val="22"/>
        </w:rPr>
        <w:t xml:space="preserve">. </w:t>
      </w:r>
      <w:r w:rsidRPr="00083530">
        <w:rPr>
          <w:rFonts w:eastAsia="Calibri" w:cs="Arial"/>
          <w:szCs w:val="22"/>
        </w:rPr>
        <w:t>Latest WDI show that in 2020 female labour participation rate stood at 66% of female working-age population, yet only 15% of employed females are wages and/or salaried workers and around 85% are self-employed, compared to 69% of employed males are self-employed and an average of 77% for the population as a whole (both males and females combined). According to an AfDB and UN-WOMEN study</w:t>
      </w:r>
      <w:r w:rsidRPr="00083530">
        <w:rPr>
          <w:rFonts w:eastAsia="Calibri" w:cs="Arial"/>
          <w:szCs w:val="22"/>
          <w:vertAlign w:val="superscript"/>
        </w:rPr>
        <w:footnoteReference w:id="5"/>
      </w:r>
      <w:r w:rsidRPr="00083530">
        <w:rPr>
          <w:rFonts w:eastAsia="Calibri" w:cs="Arial"/>
          <w:szCs w:val="22"/>
        </w:rPr>
        <w:t xml:space="preserve">, it is estimated that the share of the rural population below the poverty line is 76%, and the share of women engaged in agricultural work is 80%. </w:t>
      </w:r>
    </w:p>
    <w:p w14:paraId="13CC37C2" w14:textId="77777777" w:rsidR="00E91A5A" w:rsidRPr="00083530" w:rsidRDefault="00E91A5A" w:rsidP="00E91A5A">
      <w:pPr>
        <w:spacing w:after="160" w:line="259" w:lineRule="auto"/>
        <w:contextualSpacing/>
        <w:rPr>
          <w:rFonts w:eastAsia="Calibri" w:cs="Arial"/>
          <w:szCs w:val="22"/>
        </w:rPr>
      </w:pPr>
    </w:p>
    <w:p w14:paraId="5CB05481" w14:textId="53B967FF" w:rsidR="00E91A5A" w:rsidRPr="00083530" w:rsidRDefault="00E91A5A" w:rsidP="00481E7B">
      <w:pPr>
        <w:spacing w:after="160" w:line="259" w:lineRule="auto"/>
        <w:contextualSpacing/>
        <w:rPr>
          <w:rFonts w:eastAsia="Calibri" w:cs="Arial"/>
          <w:szCs w:val="22"/>
        </w:rPr>
      </w:pPr>
      <w:r w:rsidRPr="00083530">
        <w:rPr>
          <w:rFonts w:eastAsia="Calibri" w:cs="Arial"/>
          <w:szCs w:val="22"/>
        </w:rPr>
        <w:t>The need to ‘build back better’ from the COVID-19 pandemic has provided additional stimulus for transformation in Guinea-Bissau. In response to the pandemic the government launched “</w:t>
      </w:r>
      <w:r w:rsidRPr="00083530">
        <w:rPr>
          <w:rFonts w:eastAsia="Calibri" w:cs="Arial"/>
          <w:i/>
          <w:iCs/>
          <w:szCs w:val="22"/>
        </w:rPr>
        <w:t xml:space="preserve">The Strategy for Development, </w:t>
      </w:r>
      <w:r w:rsidR="00481E7B" w:rsidRPr="00083530">
        <w:rPr>
          <w:rFonts w:eastAsia="Calibri" w:cs="Arial"/>
          <w:i/>
          <w:iCs/>
          <w:szCs w:val="22"/>
        </w:rPr>
        <w:t>Employment,</w:t>
      </w:r>
      <w:r w:rsidRPr="00083530">
        <w:rPr>
          <w:rFonts w:eastAsia="Calibri" w:cs="Arial"/>
          <w:i/>
          <w:iCs/>
          <w:szCs w:val="22"/>
        </w:rPr>
        <w:t xml:space="preserve"> and Industrial Promotion 2020-2024,</w:t>
      </w:r>
      <w:r w:rsidRPr="00083530">
        <w:rPr>
          <w:rFonts w:eastAsia="Calibri" w:cs="Arial"/>
          <w:szCs w:val="22"/>
        </w:rPr>
        <w:t xml:space="preserve"> (E-DEFI, also known as </w:t>
      </w:r>
      <w:r w:rsidRPr="00083530">
        <w:rPr>
          <w:rFonts w:eastAsia="Calibri" w:cs="Arial"/>
          <w:i/>
          <w:iCs/>
          <w:szCs w:val="22"/>
        </w:rPr>
        <w:t xml:space="preserve">Hora </w:t>
      </w:r>
      <w:proofErr w:type="spellStart"/>
      <w:r w:rsidRPr="00083530">
        <w:rPr>
          <w:rFonts w:eastAsia="Calibri" w:cs="Arial"/>
          <w:i/>
          <w:iCs/>
          <w:szCs w:val="22"/>
        </w:rPr>
        <w:t>Tchiga</w:t>
      </w:r>
      <w:proofErr w:type="spellEnd"/>
      <w:r w:rsidRPr="00083530">
        <w:rPr>
          <w:rFonts w:eastAsia="Calibri" w:cs="Arial"/>
          <w:szCs w:val="22"/>
        </w:rPr>
        <w:t>). The strategy constitutes a home-grown, nationally owned expression of the Government’s desire to transform the crisis caused by the COVID-19 pandemic into an opportunity, as well as restructuring an under-developed economy.</w:t>
      </w:r>
      <w:r w:rsidRPr="00792C4A">
        <w:rPr>
          <w:rFonts w:eastAsia="Calibri" w:cs="Arial"/>
          <w:spacing w:val="-8"/>
          <w:szCs w:val="22"/>
        </w:rPr>
        <w:t xml:space="preserve"> </w:t>
      </w:r>
      <w:r w:rsidRPr="005F31CF">
        <w:rPr>
          <w:rFonts w:eastAsia="Calibri" w:cs="Arial"/>
          <w:spacing w:val="-8"/>
          <w:szCs w:val="22"/>
        </w:rPr>
        <w:t>The</w:t>
      </w:r>
      <w:r>
        <w:rPr>
          <w:rFonts w:eastAsia="Calibri" w:cs="Arial"/>
          <w:spacing w:val="-8"/>
          <w:szCs w:val="22"/>
        </w:rPr>
        <w:t xml:space="preserve"> </w:t>
      </w:r>
      <w:r w:rsidRPr="00083530">
        <w:rPr>
          <w:rFonts w:eastAsia="Calibri" w:cs="Arial"/>
          <w:szCs w:val="22"/>
        </w:rPr>
        <w:t>E-DEFI</w:t>
      </w:r>
      <w:r w:rsidRPr="005F31CF">
        <w:rPr>
          <w:rFonts w:eastAsia="Calibri" w:cs="Arial"/>
          <w:spacing w:val="-8"/>
          <w:szCs w:val="22"/>
        </w:rPr>
        <w:t xml:space="preserve"> 2020-2024 (Hora </w:t>
      </w:r>
      <w:proofErr w:type="spellStart"/>
      <w:r w:rsidRPr="005F31CF">
        <w:rPr>
          <w:rFonts w:eastAsia="Calibri" w:cs="Arial"/>
          <w:spacing w:val="-8"/>
          <w:szCs w:val="22"/>
        </w:rPr>
        <w:t>Tchiga</w:t>
      </w:r>
      <w:proofErr w:type="spellEnd"/>
      <w:r w:rsidRPr="005F31CF">
        <w:rPr>
          <w:rFonts w:eastAsia="Calibri" w:cs="Arial"/>
          <w:spacing w:val="-8"/>
          <w:szCs w:val="22"/>
        </w:rPr>
        <w:t>) takes advantage of the opportunities presented by COVID-19 related recovery to push for sustainable and inclusive development.</w:t>
      </w:r>
      <w:r w:rsidR="00481E7B">
        <w:rPr>
          <w:rFonts w:eastAsia="Calibri" w:cs="Arial"/>
          <w:spacing w:val="-8"/>
          <w:szCs w:val="22"/>
        </w:rPr>
        <w:t xml:space="preserve"> </w:t>
      </w:r>
      <w:r w:rsidRPr="00083530">
        <w:rPr>
          <w:rFonts w:eastAsia="Calibri" w:cs="Arial"/>
          <w:szCs w:val="22"/>
        </w:rPr>
        <w:t xml:space="preserve">The NDP aligns closely with, and builds on </w:t>
      </w:r>
      <w:r w:rsidRPr="00083530">
        <w:rPr>
          <w:rFonts w:eastAsia="Calibri" w:cs="Arial"/>
          <w:i/>
          <w:iCs/>
          <w:szCs w:val="22"/>
        </w:rPr>
        <w:t xml:space="preserve">Hora </w:t>
      </w:r>
      <w:proofErr w:type="spellStart"/>
      <w:r w:rsidRPr="00083530">
        <w:rPr>
          <w:rFonts w:eastAsia="Calibri" w:cs="Arial"/>
          <w:i/>
          <w:iCs/>
          <w:szCs w:val="22"/>
        </w:rPr>
        <w:t>Tchiga</w:t>
      </w:r>
      <w:proofErr w:type="spellEnd"/>
      <w:r w:rsidRPr="00083530">
        <w:rPr>
          <w:rFonts w:eastAsia="Calibri" w:cs="Arial"/>
          <w:szCs w:val="22"/>
        </w:rPr>
        <w:t>, the approved financing programme of the Government aimed at mobilizing financial resources to respond to the immediate needs of the COVID-19 pandemic, as well as taking short- and medium-term actions to mitigate the effects of the pandemic on the economy</w:t>
      </w:r>
      <w:r w:rsidR="00481E7B" w:rsidRPr="00083530">
        <w:rPr>
          <w:rFonts w:eastAsia="Calibri" w:cs="Arial"/>
          <w:szCs w:val="22"/>
        </w:rPr>
        <w:t xml:space="preserve">. </w:t>
      </w:r>
    </w:p>
    <w:p w14:paraId="73A6BE9D" w14:textId="77777777" w:rsidR="00E91A5A" w:rsidRPr="005F31CF" w:rsidRDefault="00E91A5A" w:rsidP="00E91A5A">
      <w:pPr>
        <w:spacing w:before="240" w:line="259" w:lineRule="auto"/>
        <w:rPr>
          <w:rFonts w:eastAsia="Calibri" w:cs="Arial"/>
          <w:spacing w:val="-8"/>
          <w:szCs w:val="22"/>
        </w:rPr>
      </w:pPr>
      <w:r w:rsidRPr="005F31CF">
        <w:rPr>
          <w:rFonts w:eastAsia="Calibri" w:cs="Arial"/>
          <w:spacing w:val="-8"/>
          <w:szCs w:val="22"/>
        </w:rPr>
        <w:t xml:space="preserve">The 2020-2023 National Development Plan (NDP) puts forward six strategic priority areas: 1) Consolidation of democracy, rule of law and reform/modernization of public institutions; 2) Economic reform and promotion of growth and employment; 3) Development of  productive economic sectors and infrastructure; 4) Enhancement of human capital and improvement of living conditions; 5) Revitalization of foreign policy, promotion of regional integration and </w:t>
      </w:r>
      <w:proofErr w:type="spellStart"/>
      <w:r w:rsidRPr="005F31CF">
        <w:rPr>
          <w:rFonts w:eastAsia="Calibri" w:cs="Arial"/>
          <w:spacing w:val="-8"/>
          <w:szCs w:val="22"/>
        </w:rPr>
        <w:t>valorization</w:t>
      </w:r>
      <w:proofErr w:type="spellEnd"/>
      <w:r w:rsidRPr="005F31CF">
        <w:rPr>
          <w:rFonts w:eastAsia="Calibri" w:cs="Arial"/>
          <w:spacing w:val="-8"/>
          <w:szCs w:val="22"/>
        </w:rPr>
        <w:t xml:space="preserve"> of the diaspora; and 6) Preservation of biodiversity, combat climate change and enhancement of natural capital. </w:t>
      </w:r>
    </w:p>
    <w:p w14:paraId="5EEB8080" w14:textId="77777777" w:rsidR="00E91A5A" w:rsidRPr="00083530" w:rsidRDefault="00E91A5A" w:rsidP="00E91A5A">
      <w:pPr>
        <w:spacing w:after="160" w:line="259" w:lineRule="auto"/>
        <w:contextualSpacing/>
        <w:rPr>
          <w:rFonts w:eastAsia="Calibri" w:cs="Arial"/>
          <w:szCs w:val="22"/>
        </w:rPr>
      </w:pPr>
      <w:r w:rsidRPr="005F31CF">
        <w:rPr>
          <w:rFonts w:eastAsia="Calibri" w:cs="Arial"/>
          <w:spacing w:val="-8"/>
          <w:szCs w:val="22"/>
        </w:rPr>
        <w:t>The 2022-2026 UNSDCF identifies three outcomes to help achieve the national strategy namely i) improve democratic governance, peace, and rule of law; ii) achieve structural economic transformation driven by enhanced productive capacity, value addition, blue economy and inclusive green growth while capitalizing on SIDS characteristics; and iii) increased and equitable access and use of essential quality social services.</w:t>
      </w:r>
    </w:p>
    <w:p w14:paraId="0BAD84E5" w14:textId="77777777" w:rsidR="00E91A5A" w:rsidRPr="00B91228" w:rsidRDefault="00E91A5A" w:rsidP="00E91A5A">
      <w:pPr>
        <w:spacing w:after="160" w:line="259" w:lineRule="auto"/>
        <w:contextualSpacing/>
        <w:rPr>
          <w:rFonts w:eastAsia="Calibri" w:cs="Arial"/>
          <w:i/>
          <w:iCs/>
          <w:szCs w:val="22"/>
        </w:rPr>
      </w:pPr>
      <w:r w:rsidRPr="00B91228">
        <w:rPr>
          <w:rFonts w:eastAsia="Calibri" w:cs="Arial"/>
          <w:i/>
          <w:iCs/>
          <w:szCs w:val="22"/>
        </w:rPr>
        <w:t xml:space="preserve">While there is a need to move up the value chain and enhance domestic value-added, akin to most SIDS, inherent characteristics, particularly size, increase the cost of doing business and inhibit development of economies of scale. A more viable model is to focus on high value-added niche products and services, leveraging cultural and natural diversity, developing sustainable economic ecosystems, boosting quality, and effectively utilizing marketing and branding to target possibly higher-end markets. This model is better suited for preserving ecosystems and natural resources. Further, a shared cluster development approach, whereby supporting services and industries are shared among several value chains rather than </w:t>
      </w:r>
      <w:proofErr w:type="spellStart"/>
      <w:r w:rsidRPr="00B91228">
        <w:rPr>
          <w:rFonts w:eastAsia="Calibri" w:cs="Arial"/>
          <w:i/>
          <w:iCs/>
          <w:szCs w:val="22"/>
        </w:rPr>
        <w:t>centered</w:t>
      </w:r>
      <w:proofErr w:type="spellEnd"/>
      <w:r w:rsidRPr="00B91228">
        <w:rPr>
          <w:rFonts w:eastAsia="Calibri" w:cs="Arial"/>
          <w:i/>
          <w:iCs/>
          <w:szCs w:val="22"/>
        </w:rPr>
        <w:t xml:space="preserve"> around the cashew production, as in the conventional approach, is more suitable.</w:t>
      </w:r>
    </w:p>
    <w:p w14:paraId="1AD0093B" w14:textId="77777777" w:rsidR="00E91A5A" w:rsidRPr="00083530" w:rsidRDefault="00E91A5A" w:rsidP="00E91A5A">
      <w:pPr>
        <w:spacing w:after="160" w:line="259" w:lineRule="auto"/>
        <w:contextualSpacing/>
        <w:rPr>
          <w:rFonts w:eastAsia="Calibri" w:cs="Arial"/>
          <w:spacing w:val="-8"/>
          <w:szCs w:val="22"/>
        </w:rPr>
      </w:pPr>
    </w:p>
    <w:p w14:paraId="39FECD36" w14:textId="77777777" w:rsidR="00E91A5A" w:rsidRPr="00083530" w:rsidRDefault="00E91A5A" w:rsidP="00E91A5A">
      <w:pPr>
        <w:spacing w:after="160" w:line="259" w:lineRule="auto"/>
        <w:contextualSpacing/>
        <w:rPr>
          <w:rFonts w:eastAsia="Calibri" w:cs="Arial"/>
          <w:szCs w:val="22"/>
        </w:rPr>
      </w:pPr>
      <w:bookmarkStart w:id="0" w:name="_Hlk80370098"/>
      <w:r>
        <w:rPr>
          <w:rFonts w:eastAsia="Calibri" w:cs="Arial"/>
          <w:szCs w:val="22"/>
        </w:rPr>
        <w:t xml:space="preserve">Tourism has the potential to contribute to exports of services targeting high-end markets, particularly in the EU, while capitalizing on the country’s close proximity to these markets and its rich ecosystem. </w:t>
      </w:r>
      <w:r w:rsidRPr="00083530">
        <w:rPr>
          <w:rFonts w:eastAsia="Calibri" w:cs="Arial"/>
          <w:szCs w:val="22"/>
        </w:rPr>
        <w:t xml:space="preserve">Tourism has </w:t>
      </w:r>
      <w:r>
        <w:rPr>
          <w:rFonts w:eastAsia="Calibri" w:cs="Arial"/>
          <w:szCs w:val="22"/>
        </w:rPr>
        <w:t xml:space="preserve">also </w:t>
      </w:r>
      <w:r w:rsidRPr="00083530">
        <w:rPr>
          <w:rFonts w:eastAsia="Calibri" w:cs="Arial"/>
          <w:szCs w:val="22"/>
        </w:rPr>
        <w:t xml:space="preserve">a great potential to accelerate progress across the Sustainable Development Goals </w:t>
      </w:r>
      <w:bookmarkEnd w:id="0"/>
      <w:r w:rsidRPr="00083530">
        <w:rPr>
          <w:rFonts w:eastAsia="Calibri" w:cs="Arial"/>
          <w:szCs w:val="22"/>
        </w:rPr>
        <w:t>(SDGs). As noted by UNDP Administrator Achim Steiner, “</w:t>
      </w:r>
      <w:r w:rsidRPr="00083530">
        <w:rPr>
          <w:rFonts w:eastAsia="Calibri" w:cs="Arial"/>
          <w:i/>
          <w:iCs/>
          <w:szCs w:val="22"/>
        </w:rPr>
        <w:t xml:space="preserve">If well managed, the sector can generate quality jobs for durable growth, reduce poverty and offer incentives for environmental conservation – a triple-win to help countries transition towards more inclusive, resilient economies. </w:t>
      </w:r>
    </w:p>
    <w:p w14:paraId="7F1373F8" w14:textId="77777777" w:rsidR="00E91A5A" w:rsidRPr="00083530" w:rsidRDefault="00E91A5A" w:rsidP="00E91A5A">
      <w:pPr>
        <w:spacing w:after="160" w:line="259" w:lineRule="auto"/>
        <w:contextualSpacing/>
        <w:rPr>
          <w:rFonts w:cs="Arial"/>
          <w:spacing w:val="4"/>
          <w:szCs w:val="22"/>
          <w:lang w:eastAsia="en-GB"/>
        </w:rPr>
      </w:pPr>
      <w:r w:rsidRPr="00083530">
        <w:rPr>
          <w:rFonts w:cs="Arial"/>
          <w:spacing w:val="4"/>
          <w:szCs w:val="22"/>
          <w:lang w:eastAsia="en-GB"/>
        </w:rPr>
        <w:t>Guinea-Bissau has considerable tourism potential in terms of natural as well as cultural heritage. Current visitor numbers are low: Guinea Bissau issued 52,671 tourist visas in 2019, the last full year pre the global COVID pandemic a slight fall on the 54,951 tourist visas issued in 2018</w:t>
      </w:r>
      <w:proofErr w:type="gramStart"/>
      <w:r w:rsidRPr="00083530">
        <w:rPr>
          <w:rFonts w:cs="Arial"/>
          <w:spacing w:val="4"/>
          <w:szCs w:val="22"/>
          <w:lang w:eastAsia="en-GB"/>
        </w:rPr>
        <w:t xml:space="preserve">.  </w:t>
      </w:r>
      <w:proofErr w:type="gramEnd"/>
      <w:r w:rsidRPr="00083530">
        <w:rPr>
          <w:rFonts w:cs="Arial"/>
          <w:spacing w:val="4"/>
          <w:szCs w:val="22"/>
          <w:lang w:eastAsia="en-GB"/>
        </w:rPr>
        <w:t>While travel connections, infrastructure and hospitality skills remain poor, and the impact of the COVID pandemic on global mobility is uncertain, there is clear scope to build a market for eco-friendly adventure tourism that can stimulate further sector development toward the mainstream market</w:t>
      </w:r>
      <w:proofErr w:type="gramStart"/>
      <w:r w:rsidRPr="00083530">
        <w:rPr>
          <w:rFonts w:cs="Arial"/>
          <w:spacing w:val="4"/>
          <w:szCs w:val="22"/>
          <w:lang w:eastAsia="en-GB"/>
        </w:rPr>
        <w:t xml:space="preserve">.  </w:t>
      </w:r>
      <w:proofErr w:type="gramEnd"/>
    </w:p>
    <w:p w14:paraId="2854EBC1" w14:textId="77777777" w:rsidR="00E91A5A" w:rsidRPr="00083530" w:rsidRDefault="00E91A5A" w:rsidP="00E91A5A">
      <w:pPr>
        <w:spacing w:after="160" w:line="259" w:lineRule="auto"/>
        <w:contextualSpacing/>
        <w:rPr>
          <w:rFonts w:cs="Arial"/>
          <w:spacing w:val="4"/>
          <w:szCs w:val="22"/>
          <w:lang w:eastAsia="en-GB"/>
        </w:rPr>
      </w:pPr>
    </w:p>
    <w:p w14:paraId="5CE50BED" w14:textId="77777777" w:rsidR="00E91A5A" w:rsidRPr="00822231" w:rsidRDefault="00E91A5A" w:rsidP="00E91A5A">
      <w:pPr>
        <w:spacing w:after="160" w:line="259" w:lineRule="auto"/>
        <w:contextualSpacing/>
        <w:rPr>
          <w:rFonts w:cs="Arial"/>
          <w:szCs w:val="22"/>
        </w:rPr>
      </w:pPr>
      <w:r w:rsidRPr="00083530">
        <w:rPr>
          <w:rFonts w:cs="Arial"/>
          <w:spacing w:val="4"/>
          <w:szCs w:val="22"/>
          <w:lang w:eastAsia="en-GB"/>
        </w:rPr>
        <w:t xml:space="preserve">A focus on tourism is supported by the findings of the </w:t>
      </w:r>
      <w:r w:rsidRPr="00822231">
        <w:rPr>
          <w:rFonts w:cs="Arial"/>
          <w:szCs w:val="22"/>
        </w:rPr>
        <w:t>UNDP COVID 19 Socio-Economic Impact Assessment (SEIA), which identified the blue economy as a potential key to recovery and a greener and more sustainable and inclusive development pathway for the country</w:t>
      </w:r>
      <w:proofErr w:type="gramStart"/>
      <w:r w:rsidRPr="00822231">
        <w:rPr>
          <w:rFonts w:cs="Arial"/>
          <w:szCs w:val="22"/>
        </w:rPr>
        <w:t xml:space="preserve">.  </w:t>
      </w:r>
      <w:proofErr w:type="gramEnd"/>
      <w:r w:rsidRPr="00822231">
        <w:rPr>
          <w:rFonts w:cs="Arial"/>
          <w:szCs w:val="22"/>
        </w:rPr>
        <w:t xml:space="preserve">It is also in line with SIDS analysis and experience, and recommendations of the Samoa Pathway and African Union Blue Economy Strategy Implementation </w:t>
      </w:r>
      <w:bookmarkStart w:id="1" w:name="_Hlk78439576"/>
      <w:r w:rsidRPr="00822231">
        <w:rPr>
          <w:rFonts w:cs="Arial"/>
          <w:szCs w:val="22"/>
        </w:rPr>
        <w:t>Plan</w:t>
      </w:r>
      <w:bookmarkEnd w:id="1"/>
      <w:r w:rsidRPr="00822231">
        <w:rPr>
          <w:rFonts w:cs="Arial"/>
          <w:szCs w:val="22"/>
          <w:vertAlign w:val="superscript"/>
        </w:rPr>
        <w:footnoteReference w:id="6"/>
      </w:r>
      <w:r w:rsidRPr="00822231">
        <w:rPr>
          <w:rFonts w:cs="Arial"/>
          <w:szCs w:val="22"/>
        </w:rPr>
        <w:t>.</w:t>
      </w:r>
    </w:p>
    <w:p w14:paraId="5A076182" w14:textId="77777777" w:rsidR="00E91A5A" w:rsidRPr="00822231" w:rsidRDefault="00E91A5A" w:rsidP="00E91A5A">
      <w:pPr>
        <w:spacing w:after="160" w:line="259" w:lineRule="auto"/>
        <w:contextualSpacing/>
        <w:rPr>
          <w:rFonts w:cs="Arial"/>
          <w:szCs w:val="22"/>
        </w:rPr>
      </w:pPr>
    </w:p>
    <w:p w14:paraId="68348CF8" w14:textId="77777777" w:rsidR="00E91A5A" w:rsidRPr="00B91228" w:rsidRDefault="00E91A5A" w:rsidP="00E91A5A">
      <w:pPr>
        <w:pStyle w:val="CommentText"/>
        <w:rPr>
          <w:rFonts w:cs="Arial"/>
          <w:szCs w:val="22"/>
        </w:rPr>
      </w:pPr>
      <w:r w:rsidRPr="00822231">
        <w:rPr>
          <w:rFonts w:cs="Arial"/>
          <w:szCs w:val="22"/>
        </w:rPr>
        <w:t xml:space="preserve">The </w:t>
      </w:r>
      <w:proofErr w:type="spellStart"/>
      <w:r w:rsidRPr="00822231">
        <w:rPr>
          <w:rFonts w:cs="Arial"/>
          <w:szCs w:val="22"/>
        </w:rPr>
        <w:t>Bijagós</w:t>
      </w:r>
      <w:proofErr w:type="spellEnd"/>
      <w:r w:rsidRPr="00822231">
        <w:rPr>
          <w:rFonts w:cs="Arial"/>
          <w:szCs w:val="22"/>
        </w:rPr>
        <w:t xml:space="preserve"> 2030 provides a local framework that guides the development of the region built on a collaborative process by several local actors, localising both international agendas (e.g. the Samoa Pathway, Agenda 2030</w:t>
      </w:r>
      <w:r>
        <w:rPr>
          <w:rFonts w:cs="Arial"/>
          <w:szCs w:val="22"/>
        </w:rPr>
        <w:t xml:space="preserve">, UNDP strategic Plan 2022-2026, </w:t>
      </w:r>
      <w:r w:rsidRPr="00B91228">
        <w:rPr>
          <w:rFonts w:cs="Arial"/>
          <w:szCs w:val="22"/>
        </w:rPr>
        <w:t>Outcome 1 “Structural transformation accelerated, particularly green, inclusive and digital transitions” and Outcome 2 “No-one left behind, centring on equitable access to opportunities and a rights-based approach to human agency and human development”, UNDP Africa Promise strategic impact areas</w:t>
      </w:r>
      <w:r>
        <w:rPr>
          <w:rFonts w:cs="Arial"/>
          <w:szCs w:val="22"/>
        </w:rPr>
        <w:t>:</w:t>
      </w:r>
      <w:r w:rsidRPr="00B91228">
        <w:rPr>
          <w:rFonts w:cs="Arial"/>
          <w:szCs w:val="22"/>
        </w:rPr>
        <w:t xml:space="preserve"> 3) Youth Employment and Empowerment; 4) Structural Economic Transformation; 5) Sustainable Energy; and 6) Climate Change, through tapping into the following foundational enablers: (i) governance of things, (ii) digital transformation, (iii) sustainable innovation and financing, (iv) strategic communication and partnerships, (v) south-south cooperation and (vi) development intelligence.</w:t>
      </w:r>
      <w:r>
        <w:rPr>
          <w:rFonts w:cs="Arial"/>
          <w:szCs w:val="22"/>
        </w:rPr>
        <w:t xml:space="preserve">; UNSCDF and UNDP CPD 2022-2026 outcome 2: </w:t>
      </w:r>
      <w:r w:rsidRPr="00B91228">
        <w:rPr>
          <w:rFonts w:cs="Arial"/>
          <w:szCs w:val="22"/>
        </w:rPr>
        <w:t>By 2026, Guinea-Bissau has achieved structural economic transformation driven by enhanced productive capacity, value addition, blue economy and inclusive green growth that leaves no one behind, while capitalizing on SIDS characteristics and ensuring sustainable use and protection of natural resources.</w:t>
      </w:r>
      <w:r w:rsidRPr="00822231">
        <w:rPr>
          <w:rFonts w:cs="Arial"/>
          <w:szCs w:val="22"/>
        </w:rPr>
        <w:t>) and national frameworks (e.g. NDP</w:t>
      </w:r>
      <w:r>
        <w:rPr>
          <w:rFonts w:cs="Arial"/>
          <w:szCs w:val="22"/>
        </w:rPr>
        <w:t xml:space="preserve"> objectives: 2,3 and 4</w:t>
      </w:r>
      <w:r w:rsidRPr="00822231">
        <w:rPr>
          <w:rFonts w:cs="Arial"/>
          <w:szCs w:val="22"/>
        </w:rPr>
        <w:t>). Whilst its Objective 2 (Prosperity and Economic Diversification) stresses the role tourism can play as an economic driver, inserted into a wider context of Blue Economy, its Objective 3 (Identity, Local Culture and Responsible Tourism) aims at ensuring local sacred areas and safeguarded and that tourism empowers local residents. The plan also highlights connectivity within and beyond the archipelago as the single most important element to catalyse human and economic development in the region.</w:t>
      </w:r>
    </w:p>
    <w:p w14:paraId="4310F0A4" w14:textId="77777777" w:rsidR="00E91A5A" w:rsidRPr="00822231" w:rsidRDefault="00E91A5A" w:rsidP="00E91A5A">
      <w:pPr>
        <w:spacing w:after="160" w:line="259" w:lineRule="auto"/>
        <w:contextualSpacing/>
        <w:rPr>
          <w:rFonts w:eastAsia="Calibri" w:cs="Arial"/>
          <w:iCs/>
          <w:szCs w:val="22"/>
        </w:rPr>
      </w:pPr>
    </w:p>
    <w:p w14:paraId="7BECA8A7" w14:textId="77777777" w:rsidR="00E91A5A" w:rsidRDefault="00E91A5A" w:rsidP="00E91A5A">
      <w:pPr>
        <w:spacing w:after="160" w:line="259" w:lineRule="auto"/>
        <w:contextualSpacing/>
        <w:rPr>
          <w:rFonts w:eastAsia="Calibri" w:cs="Arial"/>
          <w:spacing w:val="-8"/>
          <w:szCs w:val="22"/>
        </w:rPr>
      </w:pPr>
      <w:r w:rsidRPr="00083530">
        <w:rPr>
          <w:rFonts w:eastAsia="Calibri" w:cs="Arial"/>
          <w:spacing w:val="-8"/>
          <w:szCs w:val="22"/>
        </w:rPr>
        <w:t xml:space="preserve">While Government can establish a conducive environment for sector development, the private sector needs to play a much greater role if Guinea-Bissau is to break out of its low and volatile growth trap, in the post-COVID-19 era. Given that the government will have limited fiscal space to finance public investment post-COVID-19, and in a context of unpredictability in external assistance, the country needs to tap into private sector financing by improving the business climate in ways that better support MSMEs operations to create wealth, </w:t>
      </w:r>
      <w:proofErr w:type="gramStart"/>
      <w:r w:rsidRPr="00083530">
        <w:rPr>
          <w:rFonts w:eastAsia="Calibri" w:cs="Arial"/>
          <w:spacing w:val="-8"/>
          <w:szCs w:val="22"/>
        </w:rPr>
        <w:t>jobs</w:t>
      </w:r>
      <w:proofErr w:type="gramEnd"/>
      <w:r w:rsidRPr="00083530">
        <w:rPr>
          <w:rFonts w:eastAsia="Calibri" w:cs="Arial"/>
          <w:spacing w:val="-8"/>
          <w:szCs w:val="22"/>
        </w:rPr>
        <w:t xml:space="preserve"> and inclusive growth.</w:t>
      </w:r>
    </w:p>
    <w:p w14:paraId="410F1025" w14:textId="77777777" w:rsidR="00E91A5A" w:rsidRPr="00083530" w:rsidRDefault="00E91A5A" w:rsidP="00E91A5A">
      <w:pPr>
        <w:spacing w:after="160" w:line="259" w:lineRule="auto"/>
        <w:contextualSpacing/>
        <w:rPr>
          <w:rFonts w:eastAsia="Calibri" w:cs="Arial"/>
          <w:spacing w:val="-8"/>
          <w:szCs w:val="22"/>
        </w:rPr>
      </w:pPr>
    </w:p>
    <w:p w14:paraId="79EB307B" w14:textId="77777777" w:rsidR="00E91A5A" w:rsidRDefault="00E91A5A" w:rsidP="00E91A5A">
      <w:pPr>
        <w:spacing w:after="160" w:line="259" w:lineRule="auto"/>
        <w:contextualSpacing/>
        <w:rPr>
          <w:rFonts w:eastAsia="Calibri" w:cs="Arial"/>
          <w:spacing w:val="-8"/>
          <w:szCs w:val="22"/>
        </w:rPr>
      </w:pPr>
      <w:r w:rsidRPr="00083530">
        <w:rPr>
          <w:rFonts w:eastAsia="Calibri" w:cs="Arial"/>
          <w:spacing w:val="-8"/>
          <w:szCs w:val="22"/>
        </w:rPr>
        <w:t>According to the Theory of Change of the UNSCDF, in order to support inclusive growth that leaves no one behind, UN agencies will contribute to creating an enabling environment for private sector growth and support the creation of entrepreneurship and innovation ecosystems. This will lead to enhancing livelihoods generation activities, such as self-employment and entrepreneurial activities and job creation</w:t>
      </w:r>
      <w:proofErr w:type="gramStart"/>
      <w:r w:rsidRPr="00083530">
        <w:rPr>
          <w:rFonts w:eastAsia="Calibri" w:cs="Arial"/>
          <w:spacing w:val="-8"/>
          <w:szCs w:val="22"/>
        </w:rPr>
        <w:t xml:space="preserve">.  </w:t>
      </w:r>
      <w:proofErr w:type="gramEnd"/>
      <w:r w:rsidRPr="00083530">
        <w:rPr>
          <w:rFonts w:eastAsia="Calibri" w:cs="Arial"/>
          <w:spacing w:val="-8"/>
          <w:szCs w:val="22"/>
        </w:rPr>
        <w:t>UN agencies will particularly support export-oriented green growth driven by Blue Economy subsectors with enhanced value addition and inclusiveness.</w:t>
      </w:r>
    </w:p>
    <w:p w14:paraId="4EAFE51B" w14:textId="77777777" w:rsidR="00E91A5A" w:rsidRPr="00083530" w:rsidRDefault="00E91A5A" w:rsidP="00E91A5A">
      <w:pPr>
        <w:spacing w:after="160" w:line="259" w:lineRule="auto"/>
        <w:contextualSpacing/>
        <w:rPr>
          <w:rFonts w:eastAsia="Calibri" w:cs="Arial"/>
          <w:spacing w:val="-8"/>
          <w:szCs w:val="22"/>
        </w:rPr>
      </w:pPr>
    </w:p>
    <w:p w14:paraId="4CF5118D" w14:textId="77777777" w:rsidR="00E91A5A" w:rsidRDefault="00E91A5A" w:rsidP="00E91A5A">
      <w:pPr>
        <w:spacing w:after="160" w:line="259" w:lineRule="auto"/>
        <w:contextualSpacing/>
        <w:rPr>
          <w:rFonts w:eastAsia="Calibri" w:cs="Arial"/>
          <w:spacing w:val="-8"/>
          <w:szCs w:val="22"/>
        </w:rPr>
      </w:pPr>
      <w:r w:rsidRPr="00083530">
        <w:rPr>
          <w:rFonts w:eastAsia="Calibri" w:cs="Arial"/>
          <w:spacing w:val="-8"/>
          <w:szCs w:val="22"/>
        </w:rPr>
        <w:t xml:space="preserve">Nevertheless, it is important to ensure private development takes place in a context where local governments and populations are empowered with frameworks that allow them to catalyse the potential of socioeconomic development locally. Current tourism development practices in the </w:t>
      </w:r>
      <w:proofErr w:type="spellStart"/>
      <w:r w:rsidRPr="00083530">
        <w:rPr>
          <w:rFonts w:eastAsia="Calibri" w:cs="Arial"/>
          <w:spacing w:val="-8"/>
          <w:szCs w:val="22"/>
        </w:rPr>
        <w:t>Bijagós</w:t>
      </w:r>
      <w:proofErr w:type="spellEnd"/>
      <w:r w:rsidRPr="00083530">
        <w:rPr>
          <w:rFonts w:eastAsia="Calibri" w:cs="Arial"/>
          <w:spacing w:val="-8"/>
          <w:szCs w:val="22"/>
        </w:rPr>
        <w:t xml:space="preserve"> have seen the unplanned use of land, often particularly exposed to disasters (</w:t>
      </w:r>
      <w:proofErr w:type="gramStart"/>
      <w:r w:rsidRPr="00083530">
        <w:rPr>
          <w:rFonts w:eastAsia="Calibri" w:cs="Arial"/>
          <w:spacing w:val="-8"/>
          <w:szCs w:val="22"/>
        </w:rPr>
        <w:t>e.g.</w:t>
      </w:r>
      <w:proofErr w:type="gramEnd"/>
      <w:r w:rsidRPr="00083530">
        <w:rPr>
          <w:rFonts w:eastAsia="Calibri" w:cs="Arial"/>
          <w:spacing w:val="-8"/>
          <w:szCs w:val="22"/>
        </w:rPr>
        <w:t xml:space="preserve"> protected areas by the coast), but also affecting local livelihoods by the use of agricultural land, and threatening the safeguarding of cultural heritage sites, such as sacred bush (</w:t>
      </w:r>
      <w:proofErr w:type="spellStart"/>
      <w:r w:rsidRPr="00083530">
        <w:rPr>
          <w:rFonts w:eastAsia="Calibri" w:cs="Arial"/>
          <w:i/>
          <w:iCs/>
          <w:spacing w:val="-8"/>
          <w:szCs w:val="22"/>
        </w:rPr>
        <w:t>mato</w:t>
      </w:r>
      <w:proofErr w:type="spellEnd"/>
      <w:r w:rsidRPr="00083530">
        <w:rPr>
          <w:rFonts w:eastAsia="Calibri" w:cs="Arial"/>
          <w:i/>
          <w:iCs/>
          <w:spacing w:val="-8"/>
          <w:szCs w:val="22"/>
        </w:rPr>
        <w:t xml:space="preserve"> </w:t>
      </w:r>
      <w:proofErr w:type="spellStart"/>
      <w:r w:rsidRPr="00083530">
        <w:rPr>
          <w:rFonts w:eastAsia="Calibri" w:cs="Arial"/>
          <w:i/>
          <w:iCs/>
          <w:spacing w:val="-8"/>
          <w:szCs w:val="22"/>
        </w:rPr>
        <w:t>sagrado</w:t>
      </w:r>
      <w:proofErr w:type="spellEnd"/>
      <w:r w:rsidRPr="00083530">
        <w:rPr>
          <w:rFonts w:eastAsia="Calibri" w:cs="Arial"/>
          <w:spacing w:val="-8"/>
          <w:szCs w:val="22"/>
        </w:rPr>
        <w:t xml:space="preserve">). Therefore, locally developed land use and management plans are a crucial instrument to support decision-making in this regard, such as the recent territorial plans developed with support from UN-Habitat for the islands of </w:t>
      </w:r>
      <w:proofErr w:type="spellStart"/>
      <w:r w:rsidRPr="00083530">
        <w:rPr>
          <w:rFonts w:eastAsia="Calibri" w:cs="Arial"/>
          <w:spacing w:val="-8"/>
          <w:szCs w:val="22"/>
        </w:rPr>
        <w:t>Bubaque</w:t>
      </w:r>
      <w:proofErr w:type="spellEnd"/>
      <w:r w:rsidRPr="00083530">
        <w:rPr>
          <w:rFonts w:eastAsia="Calibri" w:cs="Arial"/>
          <w:spacing w:val="-8"/>
          <w:szCs w:val="22"/>
        </w:rPr>
        <w:t xml:space="preserve"> and </w:t>
      </w:r>
      <w:proofErr w:type="spellStart"/>
      <w:r w:rsidRPr="00083530">
        <w:rPr>
          <w:rFonts w:eastAsia="Calibri" w:cs="Arial"/>
          <w:spacing w:val="-8"/>
          <w:szCs w:val="22"/>
        </w:rPr>
        <w:t>Bolama</w:t>
      </w:r>
      <w:proofErr w:type="spellEnd"/>
      <w:r w:rsidRPr="00083530">
        <w:rPr>
          <w:rFonts w:eastAsia="Calibri" w:cs="Arial"/>
          <w:spacing w:val="-8"/>
          <w:szCs w:val="22"/>
        </w:rPr>
        <w:t xml:space="preserve">, the two most populated in the region. These plans provide overall guidance for spatial development in these areas, and, although already including tourism-related elements, will be expanded as part of this project into regional master and zoning plan for tourism. </w:t>
      </w:r>
    </w:p>
    <w:p w14:paraId="70AF38C5" w14:textId="77777777" w:rsidR="00E91A5A" w:rsidRPr="00083530" w:rsidRDefault="00E91A5A" w:rsidP="00E91A5A">
      <w:pPr>
        <w:spacing w:after="160" w:line="259" w:lineRule="auto"/>
        <w:contextualSpacing/>
        <w:rPr>
          <w:rFonts w:eastAsia="Calibri" w:cs="Arial"/>
          <w:spacing w:val="-8"/>
          <w:szCs w:val="22"/>
        </w:rPr>
      </w:pPr>
    </w:p>
    <w:p w14:paraId="0D21C2A6" w14:textId="49122B20" w:rsidR="00E91A5A" w:rsidRPr="00083530" w:rsidRDefault="00E91A5A" w:rsidP="00E91A5A">
      <w:pPr>
        <w:spacing w:after="160" w:line="259" w:lineRule="auto"/>
        <w:contextualSpacing/>
        <w:rPr>
          <w:rFonts w:eastAsia="Calibri" w:cs="Arial"/>
          <w:szCs w:val="22"/>
        </w:rPr>
      </w:pPr>
      <w:r w:rsidRPr="00083530">
        <w:rPr>
          <w:rFonts w:cs="Arial"/>
          <w:spacing w:val="4"/>
          <w:szCs w:val="22"/>
          <w:lang w:eastAsia="en-GB"/>
        </w:rPr>
        <w:t>Finally, like all sectors, the development of tourism is constrained by limited access to reliable electricity</w:t>
      </w:r>
      <w:r w:rsidR="00FD6B14" w:rsidRPr="00083530">
        <w:rPr>
          <w:rFonts w:cs="Arial"/>
          <w:spacing w:val="4"/>
          <w:szCs w:val="22"/>
          <w:lang w:eastAsia="en-GB"/>
        </w:rPr>
        <w:t xml:space="preserve">. </w:t>
      </w:r>
      <w:r w:rsidRPr="00083530">
        <w:rPr>
          <w:rFonts w:eastAsia="Calibri" w:cs="Arial"/>
          <w:szCs w:val="22"/>
        </w:rPr>
        <w:t>Guinea-Bissau has one of the lowest electrification rates and the highest electricity service costs in Africa</w:t>
      </w:r>
      <w:r w:rsidR="00FD6B14" w:rsidRPr="00083530">
        <w:rPr>
          <w:rFonts w:eastAsia="Calibri" w:cs="Arial"/>
          <w:szCs w:val="22"/>
        </w:rPr>
        <w:t xml:space="preserve">. </w:t>
      </w:r>
      <w:r w:rsidRPr="00083530">
        <w:rPr>
          <w:rFonts w:eastAsia="Calibri" w:cs="Arial"/>
          <w:szCs w:val="22"/>
        </w:rPr>
        <w:t>Only 18% of the population, all in or around Bissau, are connected to the electricity grid, with the majority of homes and businesses reliant on diesel generators</w:t>
      </w:r>
      <w:proofErr w:type="gramStart"/>
      <w:r w:rsidRPr="00083530">
        <w:rPr>
          <w:rFonts w:eastAsia="Calibri" w:cs="Arial"/>
          <w:szCs w:val="22"/>
        </w:rPr>
        <w:t xml:space="preserve">.  </w:t>
      </w:r>
      <w:proofErr w:type="gramEnd"/>
      <w:r w:rsidRPr="00822231">
        <w:rPr>
          <w:rFonts w:eastAsia="Calibri" w:cs="Arial"/>
          <w:iCs/>
          <w:szCs w:val="22"/>
        </w:rPr>
        <w:t xml:space="preserve">Renewable energy </w:t>
      </w:r>
      <w:proofErr w:type="spellStart"/>
      <w:r w:rsidRPr="00822231">
        <w:rPr>
          <w:rFonts w:eastAsia="Calibri" w:cs="Arial"/>
          <w:iCs/>
          <w:szCs w:val="22"/>
        </w:rPr>
        <w:t>minigrids</w:t>
      </w:r>
      <w:proofErr w:type="spellEnd"/>
      <w:r w:rsidRPr="00822231">
        <w:rPr>
          <w:rFonts w:eastAsia="Calibri" w:cs="Arial"/>
          <w:iCs/>
          <w:szCs w:val="22"/>
        </w:rPr>
        <w:t xml:space="preserve"> have emerged as a key pillar of Government plans for rural electrification and achievement of SDG 7</w:t>
      </w:r>
      <w:r w:rsidR="00FD6B14" w:rsidRPr="00822231">
        <w:rPr>
          <w:rFonts w:eastAsia="Calibri" w:cs="Arial"/>
          <w:iCs/>
          <w:szCs w:val="22"/>
        </w:rPr>
        <w:t xml:space="preserve">. </w:t>
      </w:r>
      <w:r w:rsidRPr="00822231">
        <w:rPr>
          <w:rFonts w:eastAsia="Calibri" w:cs="Arial"/>
          <w:iCs/>
          <w:szCs w:val="22"/>
        </w:rPr>
        <w:t>A UNDP-implemented GEF initiative, “</w:t>
      </w:r>
      <w:r w:rsidRPr="00083530">
        <w:rPr>
          <w:rFonts w:eastAsia="Calibri" w:cs="Arial"/>
          <w:i/>
          <w:iCs/>
          <w:szCs w:val="22"/>
        </w:rPr>
        <w:t>Promoting better access to modern energy services through sustainable mini-grids and low-carbon bioenergy technologies among Guinea-Bissau’s forest-dependent communities</w:t>
      </w:r>
      <w:r w:rsidRPr="00083530">
        <w:rPr>
          <w:rFonts w:eastAsia="Calibri" w:cs="Arial"/>
          <w:szCs w:val="22"/>
        </w:rPr>
        <w:t xml:space="preserve">” has been launched in support. Component 1 of the initiative is establishing the policy and financial instruments and incentive scheme for solar mini-grids and low-carbon bioenergy technologies; component 2 seeks to build capacity to deliver turn-key solutions and quality O&amp;M services for mini-grids and low carbon bioenergy technologies; component 3 covers roll-out of </w:t>
      </w:r>
      <w:proofErr w:type="spellStart"/>
      <w:r w:rsidRPr="00083530">
        <w:rPr>
          <w:rFonts w:eastAsia="Calibri" w:cs="Arial"/>
          <w:szCs w:val="22"/>
        </w:rPr>
        <w:t>minigrid</w:t>
      </w:r>
      <w:proofErr w:type="spellEnd"/>
      <w:r w:rsidRPr="00083530">
        <w:rPr>
          <w:rFonts w:eastAsia="Calibri" w:cs="Arial"/>
          <w:szCs w:val="22"/>
        </w:rPr>
        <w:t xml:space="preserve"> and low carbon bioenergy technologies, including demonstration of a functioning business model for the technical and financial viability of mini-grids.  Key criteria for the success of all </w:t>
      </w:r>
      <w:proofErr w:type="spellStart"/>
      <w:r w:rsidRPr="00083530">
        <w:rPr>
          <w:rFonts w:eastAsia="Calibri" w:cs="Arial"/>
          <w:szCs w:val="22"/>
        </w:rPr>
        <w:t>minigrids</w:t>
      </w:r>
      <w:proofErr w:type="spellEnd"/>
      <w:r w:rsidRPr="00083530">
        <w:rPr>
          <w:rFonts w:eastAsia="Calibri" w:cs="Arial"/>
          <w:szCs w:val="22"/>
        </w:rPr>
        <w:t xml:space="preserve"> remains community engagement, and the ability and willingness of local users to pay.</w:t>
      </w:r>
    </w:p>
    <w:p w14:paraId="23861F94" w14:textId="77777777" w:rsidR="00A36335" w:rsidRDefault="00A36335" w:rsidP="007C54AF">
      <w:pPr>
        <w:rPr>
          <w:iCs/>
        </w:rPr>
      </w:pPr>
    </w:p>
    <w:p w14:paraId="77784FE5" w14:textId="77777777" w:rsidR="00BC3596" w:rsidRDefault="009941E9" w:rsidP="00BC3596">
      <w:pPr>
        <w:pStyle w:val="Heading1"/>
        <w:pBdr>
          <w:top w:val="single" w:sz="4" w:space="0" w:color="auto"/>
        </w:pBdr>
      </w:pPr>
      <w:r>
        <w:t>Strategy</w:t>
      </w:r>
      <w:r w:rsidR="00F50251">
        <w:t xml:space="preserve"> </w:t>
      </w:r>
    </w:p>
    <w:p w14:paraId="32954C0B" w14:textId="117D23DD" w:rsidR="00FF0176" w:rsidRPr="00822231" w:rsidRDefault="00FF0176" w:rsidP="00FF0176">
      <w:pPr>
        <w:spacing w:after="160" w:line="259" w:lineRule="auto"/>
        <w:contextualSpacing/>
        <w:rPr>
          <w:rFonts w:eastAsia="Calibri" w:cs="Arial"/>
          <w:iCs/>
          <w:szCs w:val="22"/>
        </w:rPr>
      </w:pPr>
      <w:bookmarkStart w:id="2" w:name="_Hlk80609124"/>
      <w:bookmarkStart w:id="3" w:name="_Hlk80609682"/>
      <w:r w:rsidRPr="008D51D0">
        <w:rPr>
          <w:rFonts w:eastAsia="Calibri" w:cs="Arial"/>
          <w:iCs/>
          <w:szCs w:val="22"/>
        </w:rPr>
        <w:t xml:space="preserve">The project herein </w:t>
      </w:r>
      <w:r w:rsidR="008D51D0" w:rsidRPr="008D51D0">
        <w:rPr>
          <w:rFonts w:eastAsia="Calibri" w:cs="Arial"/>
          <w:iCs/>
          <w:szCs w:val="22"/>
        </w:rPr>
        <w:t xml:space="preserve">is designed as a preparatory phase for building resilience through empowering tourism. During the preparatory phase UNDP will undertake the necessary scoping, feasibility studies, research, resource mobilization and partnership building will be undertaken and provide capacity building to main government partners to ensure the successful implementation of the larger project. The building resilience through empowering tourism project </w:t>
      </w:r>
      <w:r w:rsidRPr="008D51D0">
        <w:rPr>
          <w:rFonts w:eastAsia="Calibri" w:cs="Arial"/>
          <w:iCs/>
          <w:szCs w:val="22"/>
        </w:rPr>
        <w:t>will promote a sustainable eco-tourism industry in Guinea Bissau as a driver of economic diversification, inclusive growth and SDG achievement and establish a replicable and cost-effective methodology for ecotourism investment to catalyse provision of reliable and affordable renewable energy to local communities in coastal areas</w:t>
      </w:r>
      <w:r w:rsidR="00A232F7" w:rsidRPr="008D51D0">
        <w:rPr>
          <w:rFonts w:eastAsia="Calibri" w:cs="Arial"/>
          <w:iCs/>
          <w:szCs w:val="22"/>
        </w:rPr>
        <w:t xml:space="preserve">. </w:t>
      </w:r>
      <w:r w:rsidRPr="00822231">
        <w:rPr>
          <w:rFonts w:eastAsia="Calibri" w:cs="Arial"/>
          <w:iCs/>
          <w:szCs w:val="22"/>
        </w:rPr>
        <w:t xml:space="preserve">The </w:t>
      </w:r>
      <w:r w:rsidRPr="00083530">
        <w:rPr>
          <w:rFonts w:eastAsia="Calibri" w:cs="Arial"/>
          <w:iCs/>
          <w:szCs w:val="22"/>
        </w:rPr>
        <w:t>project</w:t>
      </w:r>
      <w:r w:rsidRPr="00822231">
        <w:rPr>
          <w:rFonts w:eastAsia="Calibri" w:cs="Arial"/>
          <w:iCs/>
          <w:szCs w:val="22"/>
        </w:rPr>
        <w:t xml:space="preserve"> will add sector-specific dimensions to broader UNDP area-based development interventions in two geographic target areas, </w:t>
      </w:r>
      <w:proofErr w:type="spellStart"/>
      <w:r w:rsidRPr="00822231">
        <w:rPr>
          <w:rFonts w:eastAsia="Calibri" w:cs="Arial"/>
          <w:iCs/>
          <w:szCs w:val="22"/>
        </w:rPr>
        <w:t>Cacheu</w:t>
      </w:r>
      <w:proofErr w:type="spellEnd"/>
      <w:r w:rsidRPr="00822231">
        <w:rPr>
          <w:rFonts w:eastAsia="Calibri" w:cs="Arial"/>
          <w:iCs/>
          <w:szCs w:val="22"/>
        </w:rPr>
        <w:t xml:space="preserve">, an historic centre of the slave trade on the northern border with Senegal, and the </w:t>
      </w:r>
      <w:proofErr w:type="spellStart"/>
      <w:r w:rsidRPr="00822231">
        <w:rPr>
          <w:rFonts w:eastAsia="Calibri" w:cs="Arial"/>
          <w:iCs/>
          <w:szCs w:val="22"/>
        </w:rPr>
        <w:t>Bijagós</w:t>
      </w:r>
      <w:proofErr w:type="spellEnd"/>
      <w:r w:rsidRPr="00822231">
        <w:rPr>
          <w:rFonts w:eastAsia="Calibri" w:cs="Arial"/>
          <w:iCs/>
          <w:szCs w:val="22"/>
        </w:rPr>
        <w:t xml:space="preserve"> Islands, Africa’s only archipelago and a UNESCO Eco Biosphere Reserve. </w:t>
      </w:r>
    </w:p>
    <w:bookmarkEnd w:id="2"/>
    <w:p w14:paraId="24930C8D" w14:textId="77777777" w:rsidR="00FF0176" w:rsidRDefault="00FF0176" w:rsidP="00FF0176">
      <w:pPr>
        <w:spacing w:after="160" w:line="259" w:lineRule="auto"/>
        <w:contextualSpacing/>
        <w:rPr>
          <w:rFonts w:eastAsia="Calibri" w:cs="Arial"/>
          <w:iCs/>
          <w:szCs w:val="22"/>
        </w:rPr>
      </w:pPr>
    </w:p>
    <w:p w14:paraId="38554CCC" w14:textId="77777777" w:rsidR="00FF0176" w:rsidRPr="00083530" w:rsidRDefault="00FF0176" w:rsidP="00FF0176">
      <w:pPr>
        <w:spacing w:after="160" w:line="259" w:lineRule="auto"/>
        <w:contextualSpacing/>
        <w:rPr>
          <w:rFonts w:eastAsia="Calibri" w:cs="Arial"/>
          <w:iCs/>
          <w:szCs w:val="22"/>
        </w:rPr>
      </w:pPr>
      <w:r w:rsidRPr="00083530">
        <w:rPr>
          <w:rFonts w:eastAsia="Calibri" w:cs="Arial"/>
          <w:iCs/>
          <w:szCs w:val="22"/>
        </w:rPr>
        <w:t xml:space="preserve">The </w:t>
      </w:r>
      <w:r>
        <w:rPr>
          <w:rFonts w:eastAsia="Calibri" w:cs="Arial"/>
          <w:iCs/>
          <w:szCs w:val="22"/>
        </w:rPr>
        <w:t>project</w:t>
      </w:r>
      <w:r w:rsidRPr="00083530">
        <w:rPr>
          <w:rFonts w:eastAsia="Calibri" w:cs="Arial"/>
          <w:iCs/>
          <w:szCs w:val="22"/>
        </w:rPr>
        <w:t xml:space="preserve"> is expected to be transformational – to deliver results at scale – in two dimensions:</w:t>
      </w:r>
    </w:p>
    <w:p w14:paraId="3B700434" w14:textId="77777777" w:rsidR="00FF0176" w:rsidRPr="00083530" w:rsidRDefault="00FF0176" w:rsidP="00FF0176">
      <w:pPr>
        <w:spacing w:after="160" w:line="259" w:lineRule="auto"/>
        <w:contextualSpacing/>
        <w:rPr>
          <w:rFonts w:eastAsia="Calibri" w:cs="Arial"/>
          <w:iCs/>
          <w:szCs w:val="22"/>
        </w:rPr>
      </w:pPr>
    </w:p>
    <w:p w14:paraId="535E0D6A" w14:textId="77777777" w:rsidR="00FF0176" w:rsidRPr="00083530" w:rsidRDefault="00FF0176" w:rsidP="00FF0176">
      <w:pPr>
        <w:numPr>
          <w:ilvl w:val="0"/>
          <w:numId w:val="41"/>
        </w:numPr>
        <w:spacing w:after="160" w:line="259" w:lineRule="auto"/>
        <w:contextualSpacing/>
        <w:rPr>
          <w:rFonts w:eastAsia="Calibri" w:cs="Arial"/>
          <w:iCs/>
          <w:szCs w:val="22"/>
        </w:rPr>
      </w:pPr>
      <w:r w:rsidRPr="00083530">
        <w:rPr>
          <w:rFonts w:eastAsia="Calibri" w:cs="Arial"/>
          <w:iCs/>
          <w:szCs w:val="22"/>
        </w:rPr>
        <w:t xml:space="preserve">First, the </w:t>
      </w:r>
      <w:r>
        <w:rPr>
          <w:rFonts w:eastAsia="Calibri" w:cs="Arial"/>
          <w:iCs/>
          <w:szCs w:val="22"/>
        </w:rPr>
        <w:t>project</w:t>
      </w:r>
      <w:r w:rsidRPr="00083530">
        <w:rPr>
          <w:rFonts w:eastAsia="Calibri" w:cs="Arial"/>
          <w:iCs/>
          <w:szCs w:val="22"/>
        </w:rPr>
        <w:t xml:space="preserve"> will support development of the nascent eco-tourism sector in Guinea Bissau, identified by Government as a key potential contributor to inclusive growth and economic diversification</w:t>
      </w:r>
      <w:proofErr w:type="gramStart"/>
      <w:r w:rsidRPr="00083530">
        <w:rPr>
          <w:rFonts w:eastAsia="Calibri" w:cs="Arial"/>
          <w:iCs/>
          <w:szCs w:val="22"/>
        </w:rPr>
        <w:t xml:space="preserve">.  </w:t>
      </w:r>
      <w:proofErr w:type="gramEnd"/>
      <w:r w:rsidRPr="00083530">
        <w:rPr>
          <w:rFonts w:eastAsia="Calibri" w:cs="Arial"/>
          <w:iCs/>
          <w:szCs w:val="22"/>
        </w:rPr>
        <w:t>SIDS analysis and experience will be critical to defining the role that sustainable tourism can play in meeting multiple SDGs.</w:t>
      </w:r>
    </w:p>
    <w:p w14:paraId="5A358322" w14:textId="77777777" w:rsidR="00FF0176" w:rsidRPr="00083530" w:rsidRDefault="00FF0176" w:rsidP="00FF0176">
      <w:pPr>
        <w:spacing w:after="160" w:line="259" w:lineRule="auto"/>
        <w:ind w:left="720"/>
        <w:contextualSpacing/>
        <w:rPr>
          <w:rFonts w:eastAsia="Calibri" w:cs="Arial"/>
          <w:iCs/>
          <w:szCs w:val="22"/>
        </w:rPr>
      </w:pPr>
    </w:p>
    <w:p w14:paraId="51F49135" w14:textId="77777777" w:rsidR="00FF0176" w:rsidRPr="00083530" w:rsidRDefault="00FF0176" w:rsidP="00FF0176">
      <w:pPr>
        <w:numPr>
          <w:ilvl w:val="0"/>
          <w:numId w:val="41"/>
        </w:numPr>
        <w:spacing w:after="160" w:line="259" w:lineRule="auto"/>
        <w:contextualSpacing/>
        <w:rPr>
          <w:rFonts w:eastAsia="Calibri" w:cs="Arial"/>
          <w:iCs/>
          <w:szCs w:val="22"/>
        </w:rPr>
      </w:pPr>
      <w:r w:rsidRPr="00083530">
        <w:rPr>
          <w:rFonts w:eastAsia="Calibri" w:cs="Arial"/>
          <w:iCs/>
          <w:szCs w:val="22"/>
        </w:rPr>
        <w:t xml:space="preserve">Second, the </w:t>
      </w:r>
      <w:r>
        <w:rPr>
          <w:rFonts w:eastAsia="Calibri" w:cs="Arial"/>
          <w:iCs/>
          <w:szCs w:val="22"/>
        </w:rPr>
        <w:t xml:space="preserve">project </w:t>
      </w:r>
      <w:r w:rsidRPr="00083530">
        <w:rPr>
          <w:rFonts w:eastAsia="Calibri" w:cs="Arial"/>
          <w:iCs/>
          <w:szCs w:val="22"/>
        </w:rPr>
        <w:t>will establish a model for linking development of gender-responsive ecotourism to provision of reliable renewable energy to local communities</w:t>
      </w:r>
      <w:proofErr w:type="gramStart"/>
      <w:r w:rsidRPr="00083530">
        <w:rPr>
          <w:rFonts w:eastAsia="Calibri" w:cs="Arial"/>
          <w:iCs/>
          <w:szCs w:val="22"/>
        </w:rPr>
        <w:t xml:space="preserve">.  </w:t>
      </w:r>
      <w:proofErr w:type="gramEnd"/>
      <w:r w:rsidRPr="00083530">
        <w:rPr>
          <w:rFonts w:eastAsia="Calibri" w:cs="Arial"/>
          <w:szCs w:val="22"/>
        </w:rPr>
        <w:t>SDG7 (clean and affordable energy) is a fundamental enabler of the broader set of SDGs; electricity is an essential ingredient for lifting people out of poverty, improving health, boosting educational levels, reducing gender inequities, and enabling sustainable economic development.</w:t>
      </w:r>
    </w:p>
    <w:bookmarkEnd w:id="3"/>
    <w:p w14:paraId="2E7380A3" w14:textId="77777777" w:rsidR="00FF0176" w:rsidRPr="00083530" w:rsidRDefault="00FF0176" w:rsidP="00FF0176">
      <w:pPr>
        <w:spacing w:after="160" w:line="259" w:lineRule="auto"/>
        <w:contextualSpacing/>
        <w:rPr>
          <w:rFonts w:eastAsia="Calibri" w:cs="Arial"/>
          <w:i/>
          <w:color w:val="C45911"/>
          <w:szCs w:val="22"/>
        </w:rPr>
      </w:pPr>
    </w:p>
    <w:p w14:paraId="201AB3A6" w14:textId="08661A7D" w:rsidR="00FF0176" w:rsidRPr="00083530" w:rsidRDefault="00FF0176" w:rsidP="00FF0176">
      <w:pPr>
        <w:spacing w:after="160" w:line="259" w:lineRule="auto"/>
        <w:contextualSpacing/>
        <w:rPr>
          <w:rFonts w:eastAsia="Calibri" w:cs="Arial"/>
          <w:iCs/>
          <w:szCs w:val="22"/>
        </w:rPr>
      </w:pPr>
      <w:r w:rsidRPr="00083530">
        <w:rPr>
          <w:rFonts w:eastAsia="Calibri" w:cs="Arial"/>
          <w:iCs/>
          <w:szCs w:val="22"/>
        </w:rPr>
        <w:t xml:space="preserve">The </w:t>
      </w:r>
      <w:r>
        <w:rPr>
          <w:rFonts w:eastAsia="Calibri" w:cs="Arial"/>
          <w:iCs/>
          <w:szCs w:val="22"/>
        </w:rPr>
        <w:t>project</w:t>
      </w:r>
      <w:r w:rsidRPr="00083530">
        <w:rPr>
          <w:rFonts w:eastAsia="Calibri" w:cs="Arial"/>
          <w:iCs/>
          <w:szCs w:val="22"/>
        </w:rPr>
        <w:t xml:space="preserve"> </w:t>
      </w:r>
      <w:r w:rsidR="00AB7B9B">
        <w:rPr>
          <w:rFonts w:eastAsia="Calibri" w:cs="Arial"/>
          <w:iCs/>
          <w:szCs w:val="22"/>
        </w:rPr>
        <w:t xml:space="preserve">hence will lay the necessary foundation </w:t>
      </w:r>
      <w:r w:rsidR="008423E3">
        <w:rPr>
          <w:rFonts w:eastAsia="Calibri" w:cs="Arial"/>
          <w:iCs/>
          <w:szCs w:val="22"/>
        </w:rPr>
        <w:t xml:space="preserve">as well as demonstrate </w:t>
      </w:r>
      <w:r w:rsidR="006A3AE1">
        <w:rPr>
          <w:rFonts w:eastAsia="Calibri" w:cs="Arial"/>
          <w:iCs/>
          <w:szCs w:val="22"/>
        </w:rPr>
        <w:t xml:space="preserve">the potential </w:t>
      </w:r>
      <w:r w:rsidR="009B4D31">
        <w:rPr>
          <w:rFonts w:eastAsia="Calibri" w:cs="Arial"/>
          <w:iCs/>
          <w:szCs w:val="22"/>
        </w:rPr>
        <w:t xml:space="preserve">benefits </w:t>
      </w:r>
      <w:r w:rsidR="006A3AE1">
        <w:rPr>
          <w:rFonts w:eastAsia="Calibri" w:cs="Arial"/>
          <w:iCs/>
          <w:szCs w:val="22"/>
        </w:rPr>
        <w:t>fo</w:t>
      </w:r>
      <w:r w:rsidR="00D06732">
        <w:rPr>
          <w:rFonts w:eastAsia="Calibri" w:cs="Arial"/>
          <w:iCs/>
          <w:szCs w:val="22"/>
        </w:rPr>
        <w:t>r</w:t>
      </w:r>
      <w:r w:rsidR="006A3AE1">
        <w:rPr>
          <w:rFonts w:eastAsia="Calibri" w:cs="Arial"/>
          <w:iCs/>
          <w:szCs w:val="22"/>
        </w:rPr>
        <w:t xml:space="preserve"> </w:t>
      </w:r>
      <w:r w:rsidR="00231AEE">
        <w:rPr>
          <w:rFonts w:eastAsia="Calibri" w:cs="Arial"/>
          <w:iCs/>
          <w:szCs w:val="22"/>
        </w:rPr>
        <w:t>interventions to</w:t>
      </w:r>
      <w:r w:rsidR="00D06732">
        <w:rPr>
          <w:rFonts w:eastAsia="Calibri" w:cs="Arial"/>
          <w:iCs/>
          <w:szCs w:val="22"/>
        </w:rPr>
        <w:t xml:space="preserve"> promote ecotourism, </w:t>
      </w:r>
      <w:r w:rsidR="00CF71BF">
        <w:rPr>
          <w:rFonts w:eastAsia="Calibri" w:cs="Arial"/>
          <w:iCs/>
          <w:szCs w:val="22"/>
        </w:rPr>
        <w:t>fuelled</w:t>
      </w:r>
      <w:r w:rsidR="00D06732">
        <w:rPr>
          <w:rFonts w:eastAsia="Calibri" w:cs="Arial"/>
          <w:iCs/>
          <w:szCs w:val="22"/>
        </w:rPr>
        <w:t xml:space="preserve"> by</w:t>
      </w:r>
      <w:r w:rsidR="00CF71BF">
        <w:rPr>
          <w:rFonts w:eastAsia="Calibri" w:cs="Arial"/>
          <w:iCs/>
          <w:szCs w:val="22"/>
        </w:rPr>
        <w:t xml:space="preserve"> renewable energy, </w:t>
      </w:r>
      <w:r w:rsidR="009B4D31">
        <w:rPr>
          <w:rFonts w:eastAsia="Calibri" w:cs="Arial"/>
          <w:iCs/>
          <w:szCs w:val="22"/>
        </w:rPr>
        <w:t xml:space="preserve">linked to local development and </w:t>
      </w:r>
      <w:r w:rsidR="00A469BA">
        <w:rPr>
          <w:rFonts w:eastAsia="Calibri" w:cs="Arial"/>
          <w:iCs/>
          <w:szCs w:val="22"/>
        </w:rPr>
        <w:t>entrepreneurship ecosystems.</w:t>
      </w:r>
    </w:p>
    <w:p w14:paraId="3B6AB741" w14:textId="77777777" w:rsidR="00FF0176" w:rsidRPr="00083530" w:rsidRDefault="00FF0176" w:rsidP="00FF0176">
      <w:pPr>
        <w:spacing w:after="160" w:line="259" w:lineRule="auto"/>
        <w:contextualSpacing/>
        <w:rPr>
          <w:rFonts w:eastAsia="Calibri" w:cs="Arial"/>
          <w:iCs/>
          <w:szCs w:val="22"/>
        </w:rPr>
      </w:pPr>
    </w:p>
    <w:p w14:paraId="1C73709C" w14:textId="429F1FF2" w:rsidR="00FF0176" w:rsidRPr="00083530" w:rsidRDefault="00FF0176" w:rsidP="00B46C39">
      <w:pPr>
        <w:spacing w:after="160" w:line="259" w:lineRule="auto"/>
        <w:contextualSpacing/>
        <w:rPr>
          <w:rFonts w:eastAsia="Calibri" w:cs="Arial"/>
          <w:szCs w:val="22"/>
          <w:lang w:eastAsia="en-GB"/>
        </w:rPr>
      </w:pPr>
      <w:r w:rsidRPr="00083530">
        <w:rPr>
          <w:rFonts w:eastAsia="Calibri" w:cs="Arial"/>
          <w:iCs/>
          <w:szCs w:val="22"/>
        </w:rPr>
        <w:t xml:space="preserve">The </w:t>
      </w:r>
      <w:r>
        <w:rPr>
          <w:rFonts w:eastAsia="Calibri" w:cs="Arial"/>
          <w:iCs/>
          <w:szCs w:val="22"/>
        </w:rPr>
        <w:t>Project</w:t>
      </w:r>
      <w:r w:rsidRPr="00083530">
        <w:rPr>
          <w:rFonts w:eastAsia="Calibri" w:cs="Arial"/>
          <w:iCs/>
          <w:szCs w:val="22"/>
        </w:rPr>
        <w:t xml:space="preserve"> will support the Ministry of Tourism and Handicrafts</w:t>
      </w:r>
      <w:r w:rsidR="00B82965">
        <w:rPr>
          <w:rFonts w:eastAsia="Calibri" w:cs="Arial"/>
          <w:iCs/>
          <w:szCs w:val="22"/>
        </w:rPr>
        <w:t xml:space="preserve">, facilitate technical assistance from World Tourism Organization and </w:t>
      </w:r>
      <w:r w:rsidR="007C0D52">
        <w:rPr>
          <w:rFonts w:eastAsia="Calibri" w:cs="Arial"/>
          <w:iCs/>
          <w:szCs w:val="22"/>
        </w:rPr>
        <w:t xml:space="preserve">strengthen dialogue among key partners and </w:t>
      </w:r>
      <w:r w:rsidR="00C6362D">
        <w:rPr>
          <w:rFonts w:eastAsia="Calibri" w:cs="Arial"/>
          <w:iCs/>
          <w:szCs w:val="22"/>
        </w:rPr>
        <w:t xml:space="preserve">stakeholders in order </w:t>
      </w:r>
      <w:r w:rsidRPr="00083530">
        <w:rPr>
          <w:rFonts w:eastAsia="Calibri" w:cs="Arial"/>
          <w:iCs/>
          <w:szCs w:val="22"/>
        </w:rPr>
        <w:t>to establish a model for tourism development at local level</w:t>
      </w:r>
      <w:r w:rsidR="00C6362D">
        <w:rPr>
          <w:rFonts w:eastAsia="Calibri" w:cs="Arial"/>
          <w:iCs/>
          <w:szCs w:val="22"/>
        </w:rPr>
        <w:t>.</w:t>
      </w:r>
      <w:r w:rsidRPr="00083530">
        <w:rPr>
          <w:rFonts w:eastAsia="Calibri" w:cs="Arial"/>
          <w:iCs/>
          <w:szCs w:val="22"/>
        </w:rPr>
        <w:t xml:space="preserve"> </w:t>
      </w:r>
      <w:r w:rsidRPr="00083530">
        <w:rPr>
          <w:rFonts w:eastAsia="Calibri" w:cs="Arial"/>
          <w:szCs w:val="22"/>
        </w:rPr>
        <w:t xml:space="preserve">The </w:t>
      </w:r>
      <w:r>
        <w:rPr>
          <w:rFonts w:eastAsia="Calibri" w:cs="Arial"/>
          <w:szCs w:val="22"/>
        </w:rPr>
        <w:t>Project</w:t>
      </w:r>
      <w:r w:rsidRPr="00083530">
        <w:rPr>
          <w:rFonts w:eastAsia="Calibri" w:cs="Arial"/>
          <w:szCs w:val="22"/>
        </w:rPr>
        <w:t xml:space="preserve"> will </w:t>
      </w:r>
      <w:r w:rsidR="00930980">
        <w:rPr>
          <w:rFonts w:eastAsia="Calibri" w:cs="Arial"/>
          <w:szCs w:val="22"/>
        </w:rPr>
        <w:t xml:space="preserve">identify </w:t>
      </w:r>
      <w:r w:rsidR="00E139E8">
        <w:rPr>
          <w:rFonts w:eastAsia="Calibri" w:cs="Arial"/>
          <w:szCs w:val="22"/>
        </w:rPr>
        <w:t>two major sites for piloting and analyse the tourism value chain</w:t>
      </w:r>
      <w:r w:rsidR="0071188F">
        <w:rPr>
          <w:rFonts w:eastAsia="Calibri" w:cs="Arial"/>
          <w:szCs w:val="22"/>
        </w:rPr>
        <w:t xml:space="preserve"> in each location.</w:t>
      </w:r>
      <w:r w:rsidR="00013611">
        <w:rPr>
          <w:rFonts w:eastAsia="Calibri" w:cs="Arial"/>
          <w:szCs w:val="22"/>
        </w:rPr>
        <w:t xml:space="preserve"> It will also develop necessary ecotourism strategy and action plan</w:t>
      </w:r>
      <w:r w:rsidR="00C11B1C">
        <w:rPr>
          <w:rFonts w:eastAsia="Calibri" w:cs="Arial"/>
          <w:szCs w:val="22"/>
        </w:rPr>
        <w:t xml:space="preserve"> and conduct </w:t>
      </w:r>
      <w:r w:rsidR="00EF0F6B">
        <w:rPr>
          <w:rFonts w:eastAsia="Calibri" w:cs="Arial"/>
          <w:szCs w:val="22"/>
        </w:rPr>
        <w:t>needed</w:t>
      </w:r>
      <w:r w:rsidR="00C11B1C">
        <w:rPr>
          <w:rFonts w:eastAsia="Calibri" w:cs="Arial"/>
          <w:szCs w:val="22"/>
        </w:rPr>
        <w:t xml:space="preserve"> </w:t>
      </w:r>
      <w:r w:rsidR="00EF0F6B">
        <w:rPr>
          <w:rFonts w:eastAsia="Calibri" w:cs="Arial"/>
          <w:szCs w:val="22"/>
        </w:rPr>
        <w:t>feasibility</w:t>
      </w:r>
      <w:r w:rsidR="00C11B1C">
        <w:rPr>
          <w:rFonts w:eastAsia="Calibri" w:cs="Arial"/>
          <w:szCs w:val="22"/>
        </w:rPr>
        <w:t xml:space="preserve"> studies for </w:t>
      </w:r>
      <w:r w:rsidR="00EF0F6B">
        <w:rPr>
          <w:rFonts w:eastAsia="Calibri" w:cs="Arial"/>
          <w:szCs w:val="22"/>
        </w:rPr>
        <w:t xml:space="preserve">solar mini grids. Additionally, </w:t>
      </w:r>
      <w:r w:rsidR="00B044E4">
        <w:rPr>
          <w:rFonts w:eastAsia="Calibri" w:cs="Arial"/>
          <w:szCs w:val="22"/>
        </w:rPr>
        <w:t>during this preparatory phase, UNDP</w:t>
      </w:r>
      <w:r w:rsidR="00C11B1C">
        <w:rPr>
          <w:rFonts w:eastAsia="Calibri" w:cs="Arial"/>
          <w:szCs w:val="22"/>
        </w:rPr>
        <w:t xml:space="preserve"> </w:t>
      </w:r>
      <w:r w:rsidR="00B044E4">
        <w:rPr>
          <w:rFonts w:eastAsia="Calibri" w:cs="Arial"/>
          <w:szCs w:val="22"/>
        </w:rPr>
        <w:t>will undertake resource mobilization and part</w:t>
      </w:r>
      <w:r w:rsidR="0004020D">
        <w:rPr>
          <w:rFonts w:eastAsia="Calibri" w:cs="Arial"/>
          <w:szCs w:val="22"/>
        </w:rPr>
        <w:t>nership building.</w:t>
      </w:r>
      <w:r w:rsidR="00B46C39">
        <w:rPr>
          <w:rFonts w:eastAsia="Calibri" w:cs="Arial"/>
          <w:szCs w:val="22"/>
        </w:rPr>
        <w:t xml:space="preserve"> </w:t>
      </w:r>
      <w:r w:rsidRPr="00083530">
        <w:rPr>
          <w:rFonts w:eastAsia="Calibri" w:cs="Arial"/>
          <w:szCs w:val="22"/>
          <w:lang w:eastAsia="en-GB"/>
        </w:rPr>
        <w:t xml:space="preserve">The </w:t>
      </w:r>
      <w:r w:rsidR="00B46C39">
        <w:rPr>
          <w:rFonts w:eastAsia="Calibri" w:cs="Arial"/>
          <w:szCs w:val="22"/>
        </w:rPr>
        <w:t>preparatory phase</w:t>
      </w:r>
      <w:r w:rsidRPr="00083530">
        <w:rPr>
          <w:rFonts w:eastAsia="Calibri" w:cs="Arial"/>
          <w:szCs w:val="22"/>
          <w:lang w:eastAsia="en-GB"/>
        </w:rPr>
        <w:t xml:space="preserve"> will ensure engagement with target groups throughout the implementation cycle</w:t>
      </w:r>
      <w:proofErr w:type="gramStart"/>
      <w:r w:rsidRPr="00083530">
        <w:rPr>
          <w:rFonts w:eastAsia="Calibri" w:cs="Arial"/>
          <w:szCs w:val="22"/>
          <w:lang w:eastAsia="en-GB"/>
        </w:rPr>
        <w:t xml:space="preserve">.  </w:t>
      </w:r>
      <w:proofErr w:type="gramEnd"/>
    </w:p>
    <w:p w14:paraId="7081F2CD" w14:textId="77777777" w:rsidR="00FF0176" w:rsidRDefault="00FF0176" w:rsidP="00FF0176">
      <w:pPr>
        <w:spacing w:after="160" w:line="259" w:lineRule="auto"/>
        <w:contextualSpacing/>
        <w:rPr>
          <w:rFonts w:eastAsia="Calibri" w:cs="Arial"/>
          <w:szCs w:val="22"/>
          <w:lang w:eastAsia="en-GB"/>
        </w:rPr>
      </w:pPr>
    </w:p>
    <w:p w14:paraId="4BD2CF8B" w14:textId="77777777" w:rsidR="00FF0176" w:rsidRPr="00083530" w:rsidRDefault="00FF0176" w:rsidP="00FF0176">
      <w:pPr>
        <w:spacing w:after="160" w:line="259" w:lineRule="auto"/>
        <w:contextualSpacing/>
        <w:rPr>
          <w:rFonts w:eastAsia="Calibri" w:cs="Arial"/>
          <w:szCs w:val="22"/>
          <w:lang w:eastAsia="en-GB"/>
        </w:rPr>
      </w:pPr>
    </w:p>
    <w:p w14:paraId="7170D3EC" w14:textId="19965243" w:rsidR="00FF0176" w:rsidRPr="00083530" w:rsidRDefault="00FF0176" w:rsidP="00FF0176">
      <w:pPr>
        <w:spacing w:after="160" w:line="259" w:lineRule="auto"/>
        <w:contextualSpacing/>
        <w:rPr>
          <w:rFonts w:eastAsia="Calibri" w:cs="Arial"/>
          <w:szCs w:val="22"/>
          <w:lang w:eastAsia="en-GB"/>
        </w:rPr>
      </w:pPr>
      <w:r w:rsidRPr="00083530">
        <w:rPr>
          <w:rFonts w:eastAsia="Calibri" w:cs="Arial"/>
          <w:szCs w:val="22"/>
          <w:lang w:eastAsia="en-GB"/>
        </w:rPr>
        <w:t xml:space="preserve">Sustainable tourism has been a key engine of economic growth for many SIDS and the </w:t>
      </w:r>
      <w:r>
        <w:rPr>
          <w:rFonts w:eastAsia="Calibri" w:cs="Arial"/>
          <w:szCs w:val="22"/>
          <w:lang w:eastAsia="en-GB"/>
        </w:rPr>
        <w:t>Project</w:t>
      </w:r>
      <w:r w:rsidRPr="00083530">
        <w:rPr>
          <w:rFonts w:eastAsia="Calibri" w:cs="Arial"/>
          <w:szCs w:val="22"/>
          <w:lang w:eastAsia="en-GB"/>
        </w:rPr>
        <w:t xml:space="preserve"> will support Guinea Bissau to learn from SIDS analysis and experience</w:t>
      </w:r>
      <w:r w:rsidR="00EC3EDC" w:rsidRPr="00083530">
        <w:rPr>
          <w:rFonts w:eastAsia="Calibri" w:cs="Arial"/>
          <w:szCs w:val="22"/>
          <w:lang w:eastAsia="en-GB"/>
        </w:rPr>
        <w:t xml:space="preserve">. </w:t>
      </w:r>
      <w:r w:rsidRPr="00083530">
        <w:rPr>
          <w:rFonts w:eastAsia="Calibri" w:cs="Arial"/>
          <w:szCs w:val="22"/>
          <w:lang w:eastAsia="en-GB"/>
        </w:rPr>
        <w:t xml:space="preserve">UNDP will facilitate Government engagement in relevant SIDS events and processes and will leverage south-south cooperation with Cabo Verde and other </w:t>
      </w:r>
      <w:proofErr w:type="spellStart"/>
      <w:r w:rsidRPr="00083530">
        <w:rPr>
          <w:rFonts w:eastAsia="Calibri" w:cs="Arial"/>
          <w:szCs w:val="22"/>
          <w:lang w:eastAsia="en-GB"/>
        </w:rPr>
        <w:t>lusophone</w:t>
      </w:r>
      <w:proofErr w:type="spellEnd"/>
      <w:r w:rsidRPr="00083530">
        <w:rPr>
          <w:rFonts w:eastAsia="Calibri" w:cs="Arial"/>
          <w:szCs w:val="22"/>
          <w:lang w:eastAsia="en-GB"/>
        </w:rPr>
        <w:t xml:space="preserve"> countries in particular.</w:t>
      </w:r>
    </w:p>
    <w:p w14:paraId="107EE911" w14:textId="77777777" w:rsidR="00FF0176" w:rsidRPr="00083530" w:rsidRDefault="00FF0176" w:rsidP="00FF0176">
      <w:pPr>
        <w:spacing w:after="160" w:line="259" w:lineRule="auto"/>
        <w:contextualSpacing/>
        <w:rPr>
          <w:rFonts w:eastAsia="Calibri" w:cs="Arial"/>
          <w:szCs w:val="22"/>
        </w:rPr>
      </w:pPr>
    </w:p>
    <w:p w14:paraId="6FBFED0A" w14:textId="77777777" w:rsidR="00FF0176" w:rsidRPr="00083530" w:rsidRDefault="00FF0176" w:rsidP="00FF0176">
      <w:pPr>
        <w:spacing w:after="160" w:line="259" w:lineRule="auto"/>
        <w:contextualSpacing/>
        <w:rPr>
          <w:rFonts w:eastAsia="Calibri" w:cs="Arial"/>
          <w:szCs w:val="22"/>
        </w:rPr>
      </w:pPr>
      <w:r w:rsidRPr="00083530">
        <w:rPr>
          <w:rFonts w:eastAsia="Calibri" w:cs="Arial"/>
          <w:szCs w:val="22"/>
        </w:rPr>
        <w:t xml:space="preserve">The </w:t>
      </w:r>
      <w:r>
        <w:rPr>
          <w:rFonts w:eastAsia="Calibri" w:cs="Arial"/>
          <w:szCs w:val="22"/>
        </w:rPr>
        <w:t>Project</w:t>
      </w:r>
      <w:r w:rsidRPr="00083530">
        <w:rPr>
          <w:rFonts w:eastAsia="Calibri" w:cs="Arial"/>
          <w:szCs w:val="22"/>
        </w:rPr>
        <w:t xml:space="preserve"> is fully aligned with Outcome 2 of the UN Sustainable Development Cooperation Framework 2022-2026 (UNSDCF):</w:t>
      </w:r>
    </w:p>
    <w:p w14:paraId="30F59DDB" w14:textId="77777777" w:rsidR="00FF0176" w:rsidRPr="00083530" w:rsidRDefault="00FF0176" w:rsidP="00FF0176">
      <w:pPr>
        <w:spacing w:after="160" w:line="259" w:lineRule="auto"/>
        <w:contextualSpacing/>
        <w:rPr>
          <w:rFonts w:eastAsia="Calibri" w:cs="Arial"/>
          <w:iCs/>
          <w:szCs w:val="22"/>
        </w:rPr>
      </w:pPr>
    </w:p>
    <w:p w14:paraId="59B5B2E6" w14:textId="77777777" w:rsidR="00FF0176" w:rsidRPr="00083530" w:rsidRDefault="00FF0176" w:rsidP="00FF0176">
      <w:pPr>
        <w:spacing w:after="160" w:line="259" w:lineRule="auto"/>
        <w:contextualSpacing/>
        <w:rPr>
          <w:rFonts w:eastAsia="Calibri" w:cs="Arial"/>
          <w:i/>
          <w:szCs w:val="22"/>
        </w:rPr>
      </w:pPr>
      <w:r w:rsidRPr="00083530">
        <w:rPr>
          <w:rFonts w:eastAsia="Calibri" w:cs="Arial"/>
          <w:iCs/>
          <w:szCs w:val="22"/>
        </w:rPr>
        <w:t>“</w:t>
      </w:r>
      <w:r w:rsidRPr="00083530">
        <w:rPr>
          <w:rFonts w:eastAsia="Calibri" w:cs="Arial"/>
          <w:i/>
          <w:szCs w:val="22"/>
        </w:rPr>
        <w:t>By 2026, Guinea Bissau has achieved structural economic transformation driven by enhanced productive capacity, value addition, blue economy and inclusive green growth that leaves no one behind, while capitalizing on SIDS characteristics and ensuring sustainable use and protection of natural resources.”</w:t>
      </w:r>
    </w:p>
    <w:p w14:paraId="405A707F" w14:textId="77777777" w:rsidR="00436564" w:rsidRDefault="00436564" w:rsidP="00F919D7"/>
    <w:p w14:paraId="2B0A8941" w14:textId="77777777" w:rsidR="00363A75" w:rsidRDefault="00436564" w:rsidP="0809201D">
      <w:pPr>
        <w:rPr>
          <w:u w:val="single"/>
        </w:rPr>
      </w:pPr>
      <w:r w:rsidRPr="00436564">
        <w:rPr>
          <w:u w:val="single"/>
        </w:rPr>
        <w:t>Theory of change</w:t>
      </w:r>
    </w:p>
    <w:p w14:paraId="06036503" w14:textId="77777777" w:rsidR="00DC4E66" w:rsidRPr="00083530" w:rsidRDefault="00DC4E66" w:rsidP="00DC4E66">
      <w:pPr>
        <w:spacing w:after="160" w:line="259" w:lineRule="auto"/>
        <w:contextualSpacing/>
        <w:rPr>
          <w:rFonts w:eastAsia="Calibri" w:cs="Arial"/>
          <w:iCs/>
          <w:szCs w:val="22"/>
        </w:rPr>
      </w:pPr>
      <w:bookmarkStart w:id="4" w:name="_Hlk78639866"/>
      <w:bookmarkStart w:id="5" w:name="_Hlk78462056"/>
      <w:r w:rsidRPr="00083530">
        <w:rPr>
          <w:rFonts w:eastAsia="Calibri" w:cs="Arial"/>
          <w:iCs/>
          <w:szCs w:val="22"/>
        </w:rPr>
        <w:t xml:space="preserve">The theory of change of the project can be summarised as follows: </w:t>
      </w:r>
    </w:p>
    <w:p w14:paraId="4B46C74E" w14:textId="77777777" w:rsidR="00DC4E66" w:rsidRPr="00083530" w:rsidRDefault="00DC4E66" w:rsidP="00DC4E66">
      <w:pPr>
        <w:spacing w:after="160" w:line="259" w:lineRule="auto"/>
        <w:contextualSpacing/>
        <w:rPr>
          <w:rFonts w:eastAsia="Calibri" w:cs="Arial"/>
          <w:iCs/>
          <w:szCs w:val="22"/>
        </w:rPr>
      </w:pPr>
    </w:p>
    <w:p w14:paraId="7558E369" w14:textId="77777777" w:rsidR="00DC4E66" w:rsidRPr="00083530" w:rsidRDefault="00DC4E66" w:rsidP="00DC4E66">
      <w:pPr>
        <w:numPr>
          <w:ilvl w:val="0"/>
          <w:numId w:val="42"/>
        </w:numPr>
        <w:spacing w:after="160" w:line="259" w:lineRule="auto"/>
        <w:contextualSpacing/>
        <w:rPr>
          <w:rFonts w:eastAsia="Calibri" w:cs="Arial"/>
          <w:iCs/>
          <w:szCs w:val="22"/>
        </w:rPr>
      </w:pPr>
      <w:r w:rsidRPr="00083530">
        <w:rPr>
          <w:rFonts w:eastAsia="Calibri" w:cs="Arial"/>
          <w:b/>
          <w:bCs/>
          <w:i/>
          <w:szCs w:val="22"/>
        </w:rPr>
        <w:t xml:space="preserve">If </w:t>
      </w:r>
      <w:r w:rsidRPr="00083530">
        <w:rPr>
          <w:rFonts w:eastAsia="Calibri" w:cs="Arial"/>
          <w:iCs/>
          <w:szCs w:val="22"/>
        </w:rPr>
        <w:t>the capacities and policy framework to facilitate gender-responsive eco-tourism development is in place,</w:t>
      </w:r>
      <w:r w:rsidRPr="00083530">
        <w:rPr>
          <w:rFonts w:eastAsia="Calibri" w:cs="Arial"/>
          <w:b/>
          <w:bCs/>
          <w:i/>
          <w:szCs w:val="22"/>
        </w:rPr>
        <w:t xml:space="preserve"> and</w:t>
      </w:r>
      <w:r w:rsidRPr="00083530">
        <w:rPr>
          <w:rFonts w:eastAsia="Calibri" w:cs="Arial"/>
          <w:iCs/>
          <w:szCs w:val="22"/>
        </w:rPr>
        <w:t xml:space="preserve"> </w:t>
      </w:r>
    </w:p>
    <w:p w14:paraId="6E191872" w14:textId="77777777" w:rsidR="00DC4E66" w:rsidRDefault="00DC4E66" w:rsidP="00DC4E66">
      <w:pPr>
        <w:numPr>
          <w:ilvl w:val="0"/>
          <w:numId w:val="42"/>
        </w:numPr>
        <w:spacing w:after="160" w:line="259" w:lineRule="auto"/>
        <w:contextualSpacing/>
        <w:rPr>
          <w:rFonts w:cs="Arial"/>
          <w:b/>
          <w:bCs/>
          <w:i/>
          <w:szCs w:val="22"/>
          <w:lang w:eastAsia="en-GB"/>
        </w:rPr>
      </w:pPr>
      <w:r w:rsidRPr="00083530">
        <w:rPr>
          <w:rFonts w:cs="Arial"/>
          <w:b/>
          <w:bCs/>
          <w:i/>
          <w:szCs w:val="22"/>
          <w:lang w:eastAsia="en-GB"/>
        </w:rPr>
        <w:t>If</w:t>
      </w:r>
      <w:r w:rsidRPr="00083530">
        <w:rPr>
          <w:rFonts w:cs="Arial"/>
          <w:iCs/>
          <w:szCs w:val="22"/>
          <w:lang w:eastAsia="en-GB"/>
        </w:rPr>
        <w:t xml:space="preserve"> inclusive and participatory processes can establish local planning, investment, and revenue frameworks, </w:t>
      </w:r>
      <w:r w:rsidRPr="00083530">
        <w:rPr>
          <w:rFonts w:cs="Arial"/>
          <w:b/>
          <w:bCs/>
          <w:i/>
          <w:szCs w:val="22"/>
          <w:lang w:eastAsia="en-GB"/>
        </w:rPr>
        <w:t>and</w:t>
      </w:r>
    </w:p>
    <w:p w14:paraId="272B11C1" w14:textId="77777777" w:rsidR="00A7054C" w:rsidRPr="00A7054C" w:rsidRDefault="00DC4E66" w:rsidP="00DC4E66">
      <w:pPr>
        <w:numPr>
          <w:ilvl w:val="0"/>
          <w:numId w:val="42"/>
        </w:numPr>
        <w:spacing w:after="160" w:line="259" w:lineRule="auto"/>
        <w:contextualSpacing/>
        <w:rPr>
          <w:rFonts w:cs="Arial"/>
          <w:szCs w:val="22"/>
          <w:lang w:eastAsia="en-GB"/>
        </w:rPr>
      </w:pPr>
      <w:r w:rsidRPr="00CB59FE">
        <w:rPr>
          <w:rFonts w:cs="Arial"/>
          <w:b/>
          <w:bCs/>
          <w:i/>
          <w:szCs w:val="22"/>
          <w:lang w:eastAsia="en-GB"/>
        </w:rPr>
        <w:t>If</w:t>
      </w:r>
      <w:r w:rsidRPr="00B91228">
        <w:rPr>
          <w:rFonts w:cs="Arial"/>
          <w:iCs/>
          <w:szCs w:val="22"/>
          <w:lang w:eastAsia="en-GB"/>
        </w:rPr>
        <w:t xml:space="preserve"> capacities and skills </w:t>
      </w:r>
      <w:r>
        <w:rPr>
          <w:rFonts w:cs="Arial"/>
          <w:iCs/>
          <w:szCs w:val="22"/>
          <w:lang w:eastAsia="en-GB"/>
        </w:rPr>
        <w:t xml:space="preserve">(including entrepreneurial skills) </w:t>
      </w:r>
      <w:r w:rsidRPr="00B91228">
        <w:rPr>
          <w:rFonts w:cs="Arial"/>
          <w:iCs/>
          <w:szCs w:val="22"/>
          <w:lang w:eastAsia="en-GB"/>
        </w:rPr>
        <w:t xml:space="preserve">at the local level are enhanced through </w:t>
      </w:r>
      <w:r w:rsidRPr="005773BC">
        <w:rPr>
          <w:rFonts w:cs="Arial"/>
          <w:iCs/>
          <w:szCs w:val="22"/>
          <w:lang w:eastAsia="en-GB"/>
        </w:rPr>
        <w:t>training</w:t>
      </w:r>
      <w:r>
        <w:rPr>
          <w:rFonts w:cs="Arial"/>
          <w:iCs/>
          <w:szCs w:val="22"/>
          <w:lang w:eastAsia="en-GB"/>
        </w:rPr>
        <w:t xml:space="preserve">, </w:t>
      </w:r>
      <w:r>
        <w:rPr>
          <w:rFonts w:cs="Arial"/>
          <w:b/>
          <w:bCs/>
          <w:i/>
          <w:szCs w:val="22"/>
          <w:lang w:eastAsia="en-GB"/>
        </w:rPr>
        <w:t>and</w:t>
      </w:r>
    </w:p>
    <w:p w14:paraId="53CBBD6E" w14:textId="2A18E1F8" w:rsidR="00DC4E66" w:rsidRPr="00CB59FE" w:rsidRDefault="00A7054C" w:rsidP="00DC4E66">
      <w:pPr>
        <w:numPr>
          <w:ilvl w:val="0"/>
          <w:numId w:val="42"/>
        </w:numPr>
        <w:spacing w:after="160" w:line="259" w:lineRule="auto"/>
        <w:contextualSpacing/>
        <w:rPr>
          <w:rFonts w:cs="Arial"/>
          <w:szCs w:val="22"/>
          <w:lang w:eastAsia="en-GB"/>
        </w:rPr>
      </w:pPr>
      <w:r>
        <w:rPr>
          <w:rFonts w:cs="Arial"/>
          <w:b/>
          <w:bCs/>
          <w:i/>
          <w:szCs w:val="22"/>
          <w:lang w:eastAsia="en-GB"/>
        </w:rPr>
        <w:t xml:space="preserve">If </w:t>
      </w:r>
      <w:r w:rsidRPr="001C44EF">
        <w:rPr>
          <w:rFonts w:cs="Arial"/>
          <w:iCs/>
          <w:szCs w:val="22"/>
          <w:lang w:eastAsia="en-GB"/>
        </w:rPr>
        <w:t xml:space="preserve">partnerships </w:t>
      </w:r>
      <w:r w:rsidR="001C44EF" w:rsidRPr="001C44EF">
        <w:rPr>
          <w:rFonts w:cs="Arial"/>
          <w:iCs/>
          <w:szCs w:val="22"/>
          <w:lang w:eastAsia="en-GB"/>
        </w:rPr>
        <w:t xml:space="preserve">established </w:t>
      </w:r>
      <w:r w:rsidRPr="001C44EF">
        <w:rPr>
          <w:rFonts w:cs="Arial"/>
          <w:iCs/>
          <w:szCs w:val="22"/>
          <w:lang w:eastAsia="en-GB"/>
        </w:rPr>
        <w:t xml:space="preserve">and </w:t>
      </w:r>
      <w:r w:rsidR="001C44EF" w:rsidRPr="001C44EF">
        <w:rPr>
          <w:rFonts w:cs="Arial"/>
          <w:iCs/>
          <w:szCs w:val="22"/>
          <w:lang w:eastAsia="en-GB"/>
        </w:rPr>
        <w:t xml:space="preserve">technical and financial </w:t>
      </w:r>
      <w:r w:rsidRPr="001C44EF">
        <w:rPr>
          <w:rFonts w:cs="Arial"/>
          <w:iCs/>
          <w:szCs w:val="22"/>
          <w:lang w:eastAsia="en-GB"/>
        </w:rPr>
        <w:t xml:space="preserve">resources are </w:t>
      </w:r>
      <w:r w:rsidR="001C44EF" w:rsidRPr="001C44EF">
        <w:rPr>
          <w:rFonts w:cs="Arial"/>
          <w:iCs/>
          <w:szCs w:val="22"/>
          <w:lang w:eastAsia="en-GB"/>
        </w:rPr>
        <w:t>secured</w:t>
      </w:r>
      <w:r w:rsidR="001C44EF">
        <w:rPr>
          <w:rFonts w:cs="Arial"/>
          <w:iCs/>
          <w:szCs w:val="22"/>
          <w:lang w:eastAsia="en-GB"/>
        </w:rPr>
        <w:t>,</w:t>
      </w:r>
      <w:r w:rsidR="001C44EF">
        <w:rPr>
          <w:rFonts w:cs="Arial"/>
          <w:b/>
          <w:bCs/>
          <w:i/>
          <w:szCs w:val="22"/>
          <w:lang w:eastAsia="en-GB"/>
        </w:rPr>
        <w:t xml:space="preserve"> and</w:t>
      </w:r>
    </w:p>
    <w:p w14:paraId="4A2F1414" w14:textId="6B23AB0C" w:rsidR="00DC4E66" w:rsidRPr="00083530" w:rsidRDefault="00DC4E66" w:rsidP="00DC4E66">
      <w:pPr>
        <w:numPr>
          <w:ilvl w:val="0"/>
          <w:numId w:val="42"/>
        </w:numPr>
        <w:spacing w:after="160" w:line="259" w:lineRule="auto"/>
        <w:contextualSpacing/>
        <w:rPr>
          <w:rFonts w:cs="Arial"/>
          <w:szCs w:val="22"/>
          <w:lang w:eastAsia="en-GB"/>
        </w:rPr>
      </w:pPr>
      <w:r w:rsidRPr="00083530">
        <w:rPr>
          <w:rFonts w:cs="Arial"/>
          <w:b/>
          <w:bCs/>
          <w:i/>
          <w:szCs w:val="22"/>
          <w:lang w:eastAsia="en-GB"/>
        </w:rPr>
        <w:t>If</w:t>
      </w:r>
      <w:r w:rsidRPr="00083530">
        <w:rPr>
          <w:rFonts w:cs="Arial"/>
          <w:iCs/>
          <w:szCs w:val="22"/>
          <w:lang w:eastAsia="en-GB"/>
        </w:rPr>
        <w:t xml:space="preserve"> </w:t>
      </w:r>
      <w:r w:rsidR="00A7054C">
        <w:rPr>
          <w:rFonts w:cs="Arial"/>
          <w:iCs/>
          <w:szCs w:val="22"/>
          <w:lang w:eastAsia="en-GB"/>
        </w:rPr>
        <w:t>necessary,</w:t>
      </w:r>
      <w:r>
        <w:rPr>
          <w:rFonts w:cs="Arial"/>
          <w:iCs/>
          <w:szCs w:val="22"/>
          <w:lang w:eastAsia="en-GB"/>
        </w:rPr>
        <w:t xml:space="preserve"> </w:t>
      </w:r>
      <w:r w:rsidR="00901F94">
        <w:rPr>
          <w:rFonts w:cs="Arial"/>
          <w:iCs/>
          <w:szCs w:val="22"/>
          <w:lang w:eastAsia="en-GB"/>
        </w:rPr>
        <w:t xml:space="preserve">data and information are acquired through research and feasibility studies to support </w:t>
      </w:r>
      <w:r w:rsidRPr="00083530">
        <w:rPr>
          <w:rFonts w:cs="Arial"/>
          <w:kern w:val="24"/>
          <w:szCs w:val="22"/>
          <w:lang w:eastAsia="en-GB"/>
        </w:rPr>
        <w:t xml:space="preserve">targeted investments in </w:t>
      </w:r>
      <w:r>
        <w:rPr>
          <w:rFonts w:cs="Arial"/>
          <w:kern w:val="24"/>
          <w:szCs w:val="22"/>
          <w:lang w:eastAsia="en-GB"/>
        </w:rPr>
        <w:t xml:space="preserve">green renewable energy and </w:t>
      </w:r>
      <w:r w:rsidRPr="00083530">
        <w:rPr>
          <w:rFonts w:cs="Arial"/>
          <w:kern w:val="24"/>
          <w:szCs w:val="22"/>
          <w:lang w:eastAsia="en-GB"/>
        </w:rPr>
        <w:t>sustainable ecotourism</w:t>
      </w:r>
      <w:r>
        <w:rPr>
          <w:rFonts w:cs="Arial"/>
          <w:iCs/>
          <w:szCs w:val="22"/>
          <w:lang w:eastAsia="en-GB"/>
        </w:rPr>
        <w:t xml:space="preserve">, </w:t>
      </w:r>
      <w:r w:rsidRPr="00083530">
        <w:rPr>
          <w:rFonts w:cs="Arial"/>
          <w:b/>
          <w:bCs/>
          <w:i/>
          <w:szCs w:val="22"/>
          <w:lang w:eastAsia="en-GB"/>
        </w:rPr>
        <w:t>then</w:t>
      </w:r>
    </w:p>
    <w:p w14:paraId="0B222B6B" w14:textId="77777777" w:rsidR="00DC4E66" w:rsidRPr="00083530" w:rsidRDefault="00DC4E66" w:rsidP="00DC4E66">
      <w:pPr>
        <w:spacing w:after="160" w:line="259" w:lineRule="auto"/>
        <w:contextualSpacing/>
        <w:rPr>
          <w:rFonts w:eastAsia="Calibri" w:cs="Arial"/>
          <w:i/>
          <w:color w:val="C45911"/>
          <w:szCs w:val="22"/>
        </w:rPr>
      </w:pPr>
    </w:p>
    <w:p w14:paraId="38E86DC8" w14:textId="62BF2F21" w:rsidR="00DC4E66" w:rsidRPr="00C042ED" w:rsidRDefault="00395B84" w:rsidP="00DC4E66">
      <w:pPr>
        <w:spacing w:after="160" w:line="259" w:lineRule="auto"/>
        <w:contextualSpacing/>
        <w:rPr>
          <w:rFonts w:eastAsia="Calibri" w:cs="Arial"/>
          <w:i/>
          <w:szCs w:val="22"/>
        </w:rPr>
      </w:pPr>
      <w:r>
        <w:rPr>
          <w:rFonts w:eastAsia="Calibri" w:cs="Arial"/>
          <w:i/>
          <w:szCs w:val="22"/>
        </w:rPr>
        <w:t xml:space="preserve">Interventions to promote </w:t>
      </w:r>
      <w:r w:rsidR="00DC4E66" w:rsidRPr="00C042ED">
        <w:rPr>
          <w:rFonts w:eastAsia="Calibri" w:cs="Arial"/>
          <w:i/>
          <w:szCs w:val="22"/>
        </w:rPr>
        <w:t xml:space="preserve">inclusive and sustainable ecotourism sector </w:t>
      </w:r>
      <w:r w:rsidR="00A7054C">
        <w:rPr>
          <w:rFonts w:eastAsia="Calibri" w:cs="Arial"/>
          <w:i/>
          <w:szCs w:val="22"/>
        </w:rPr>
        <w:t xml:space="preserve">can be devised and </w:t>
      </w:r>
      <w:r w:rsidR="00DC4E66" w:rsidRPr="00C042ED">
        <w:rPr>
          <w:rFonts w:eastAsia="Calibri" w:cs="Arial"/>
          <w:i/>
          <w:szCs w:val="22"/>
        </w:rPr>
        <w:t xml:space="preserve">will contribute meaningfully to </w:t>
      </w:r>
      <w:r w:rsidR="00DC4E66">
        <w:rPr>
          <w:rFonts w:eastAsia="Calibri" w:cs="Arial"/>
          <w:i/>
          <w:szCs w:val="22"/>
        </w:rPr>
        <w:t xml:space="preserve">livelihoods generation and exports of high-end services and consequently to economic diversification, </w:t>
      </w:r>
      <w:r w:rsidR="00DC4E66" w:rsidRPr="00C042ED">
        <w:rPr>
          <w:rFonts w:eastAsia="Calibri" w:cs="Arial"/>
          <w:i/>
          <w:szCs w:val="22"/>
        </w:rPr>
        <w:t xml:space="preserve">transformative </w:t>
      </w:r>
      <w:r w:rsidR="00DC4E66">
        <w:rPr>
          <w:rFonts w:eastAsia="Calibri" w:cs="Arial"/>
          <w:i/>
          <w:szCs w:val="22"/>
        </w:rPr>
        <w:t>inclusive green</w:t>
      </w:r>
      <w:r w:rsidR="00DC4E66" w:rsidRPr="00C042ED">
        <w:rPr>
          <w:rFonts w:eastAsia="Calibri" w:cs="Arial"/>
          <w:i/>
          <w:szCs w:val="22"/>
        </w:rPr>
        <w:t xml:space="preserve"> growth and accelerate </w:t>
      </w:r>
      <w:r w:rsidR="00DC4E66">
        <w:rPr>
          <w:rFonts w:eastAsia="Calibri" w:cs="Arial"/>
          <w:i/>
          <w:szCs w:val="22"/>
        </w:rPr>
        <w:t xml:space="preserve">progress towards the achievement </w:t>
      </w:r>
      <w:r w:rsidR="001C44EF">
        <w:rPr>
          <w:rFonts w:eastAsia="Calibri" w:cs="Arial"/>
          <w:i/>
          <w:szCs w:val="22"/>
        </w:rPr>
        <w:t xml:space="preserve">of </w:t>
      </w:r>
      <w:r w:rsidR="001C44EF" w:rsidRPr="00C042ED">
        <w:rPr>
          <w:rFonts w:eastAsia="Calibri" w:cs="Arial"/>
          <w:i/>
          <w:szCs w:val="22"/>
        </w:rPr>
        <w:t>the</w:t>
      </w:r>
      <w:r w:rsidR="00DC4E66" w:rsidRPr="00C042ED">
        <w:rPr>
          <w:rFonts w:eastAsia="Calibri" w:cs="Arial"/>
          <w:i/>
          <w:szCs w:val="22"/>
        </w:rPr>
        <w:t xml:space="preserve"> SDGs in Guinea Bissau.</w:t>
      </w:r>
    </w:p>
    <w:bookmarkEnd w:id="4"/>
    <w:p w14:paraId="47C85731" w14:textId="77777777" w:rsidR="00DC4E66" w:rsidRPr="00083530" w:rsidRDefault="00DC4E66" w:rsidP="00DC4E66">
      <w:pPr>
        <w:spacing w:after="160" w:line="259" w:lineRule="auto"/>
        <w:contextualSpacing/>
        <w:rPr>
          <w:rFonts w:eastAsia="Calibri" w:cs="Arial"/>
          <w:i/>
          <w:color w:val="C45911"/>
          <w:szCs w:val="22"/>
        </w:rPr>
      </w:pPr>
    </w:p>
    <w:p w14:paraId="6BC5BBDB" w14:textId="77777777" w:rsidR="00DC4E66" w:rsidRPr="00083530" w:rsidRDefault="00DC4E66" w:rsidP="00DC4E66">
      <w:pPr>
        <w:tabs>
          <w:tab w:val="left" w:pos="3200"/>
        </w:tabs>
        <w:spacing w:after="160" w:line="259" w:lineRule="auto"/>
        <w:contextualSpacing/>
        <w:rPr>
          <w:rFonts w:eastAsia="Calibri" w:cs="Arial"/>
          <w:iCs/>
          <w:szCs w:val="22"/>
        </w:rPr>
      </w:pPr>
      <w:bookmarkStart w:id="6" w:name="_Hlk80610058"/>
      <w:r w:rsidRPr="00083530">
        <w:rPr>
          <w:rFonts w:eastAsia="Calibri" w:cs="Arial"/>
          <w:iCs/>
          <w:szCs w:val="22"/>
        </w:rPr>
        <w:t xml:space="preserve">The central thesis of the </w:t>
      </w:r>
      <w:r>
        <w:rPr>
          <w:rFonts w:eastAsia="Calibri" w:cs="Arial"/>
          <w:iCs/>
          <w:szCs w:val="22"/>
        </w:rPr>
        <w:t>Project</w:t>
      </w:r>
      <w:r w:rsidRPr="00083530">
        <w:rPr>
          <w:rFonts w:eastAsia="Calibri" w:cs="Arial"/>
          <w:iCs/>
          <w:szCs w:val="22"/>
        </w:rPr>
        <w:t xml:space="preserve"> is that catalytic investment in </w:t>
      </w:r>
      <w:r>
        <w:rPr>
          <w:rFonts w:eastAsia="Calibri" w:cs="Arial"/>
          <w:iCs/>
          <w:szCs w:val="22"/>
        </w:rPr>
        <w:t xml:space="preserve">green renewable energy and </w:t>
      </w:r>
      <w:r w:rsidRPr="00083530">
        <w:rPr>
          <w:rFonts w:eastAsia="Calibri" w:cs="Arial"/>
          <w:iCs/>
          <w:szCs w:val="22"/>
        </w:rPr>
        <w:t>ecotourism development can accelerate progress toward achievement of the SDGs</w:t>
      </w:r>
      <w:r>
        <w:rPr>
          <w:rFonts w:eastAsia="Calibri" w:cs="Arial"/>
          <w:iCs/>
          <w:szCs w:val="22"/>
        </w:rPr>
        <w:t>, particularly the reduction of poverty and vulnerability,</w:t>
      </w:r>
      <w:r w:rsidRPr="00083530">
        <w:rPr>
          <w:rFonts w:eastAsia="Calibri" w:cs="Arial"/>
          <w:iCs/>
          <w:szCs w:val="22"/>
        </w:rPr>
        <w:t xml:space="preserve"> by </w:t>
      </w:r>
      <w:r>
        <w:rPr>
          <w:rFonts w:eastAsia="Calibri" w:cs="Arial"/>
          <w:iCs/>
          <w:szCs w:val="22"/>
        </w:rPr>
        <w:t xml:space="preserve">creating employment opportunities and </w:t>
      </w:r>
      <w:r w:rsidRPr="00083530">
        <w:rPr>
          <w:rFonts w:eastAsia="Calibri" w:cs="Arial"/>
          <w:iCs/>
          <w:szCs w:val="22"/>
        </w:rPr>
        <w:t xml:space="preserve">delivering inclusive economic growth in the coastal regions of Guinea Bissau and by underpinning the investment case for solar energy </w:t>
      </w:r>
      <w:proofErr w:type="spellStart"/>
      <w:r w:rsidRPr="00083530">
        <w:rPr>
          <w:rFonts w:eastAsia="Calibri" w:cs="Arial"/>
          <w:iCs/>
          <w:szCs w:val="22"/>
        </w:rPr>
        <w:t>minigrids</w:t>
      </w:r>
      <w:proofErr w:type="spellEnd"/>
      <w:r w:rsidRPr="00083530">
        <w:rPr>
          <w:rFonts w:eastAsia="Calibri" w:cs="Arial"/>
          <w:iCs/>
          <w:szCs w:val="22"/>
        </w:rPr>
        <w:t xml:space="preserve"> that provide broad community access to </w:t>
      </w:r>
      <w:r>
        <w:rPr>
          <w:rFonts w:eastAsia="Calibri" w:cs="Arial"/>
          <w:iCs/>
          <w:szCs w:val="22"/>
        </w:rPr>
        <w:t xml:space="preserve">green, renewable, </w:t>
      </w:r>
      <w:r w:rsidRPr="00083530">
        <w:rPr>
          <w:rFonts w:eastAsia="Calibri" w:cs="Arial"/>
          <w:iCs/>
          <w:szCs w:val="22"/>
        </w:rPr>
        <w:t xml:space="preserve">reliable and affordable electricity supply.  </w:t>
      </w:r>
      <w:bookmarkEnd w:id="5"/>
      <w:bookmarkEnd w:id="6"/>
      <w:r w:rsidRPr="00083530">
        <w:rPr>
          <w:rFonts w:eastAsia="Calibri" w:cs="Arial"/>
          <w:iCs/>
          <w:szCs w:val="22"/>
        </w:rPr>
        <w:t>For this scenario to materialise, three outcomes need to be secured:</w:t>
      </w:r>
    </w:p>
    <w:p w14:paraId="1BC49E39" w14:textId="77777777" w:rsidR="00DC4E66" w:rsidRPr="00083530" w:rsidRDefault="00DC4E66" w:rsidP="00DC4E66">
      <w:pPr>
        <w:tabs>
          <w:tab w:val="left" w:pos="3200"/>
        </w:tabs>
        <w:spacing w:after="160" w:line="259" w:lineRule="auto"/>
        <w:contextualSpacing/>
        <w:rPr>
          <w:rFonts w:eastAsia="Calibri" w:cs="Arial"/>
          <w:iCs/>
          <w:szCs w:val="22"/>
        </w:rPr>
      </w:pPr>
    </w:p>
    <w:p w14:paraId="60F6A647" w14:textId="77777777" w:rsidR="00DC4E66" w:rsidRPr="00083530" w:rsidRDefault="00DC4E66" w:rsidP="00DC4E66">
      <w:pPr>
        <w:spacing w:after="160" w:line="259" w:lineRule="auto"/>
        <w:ind w:left="1418" w:hanging="1418"/>
        <w:contextualSpacing/>
        <w:rPr>
          <w:rFonts w:eastAsia="Calibri" w:cs="Arial"/>
          <w:b/>
          <w:bCs/>
          <w:i/>
          <w:szCs w:val="22"/>
        </w:rPr>
      </w:pPr>
      <w:r w:rsidRPr="00083530">
        <w:rPr>
          <w:rFonts w:eastAsia="Calibri" w:cs="Arial"/>
          <w:b/>
          <w:bCs/>
          <w:i/>
          <w:szCs w:val="22"/>
        </w:rPr>
        <w:t>Outcome 1:</w:t>
      </w:r>
      <w:r w:rsidRPr="00083530">
        <w:rPr>
          <w:rFonts w:eastAsia="Calibri" w:cs="Arial"/>
          <w:b/>
          <w:bCs/>
          <w:i/>
          <w:szCs w:val="22"/>
        </w:rPr>
        <w:tab/>
        <w:t>Capacities and policy frameworks in place to</w:t>
      </w:r>
      <w:r>
        <w:rPr>
          <w:rFonts w:eastAsia="Calibri" w:cs="Arial"/>
          <w:b/>
          <w:bCs/>
          <w:i/>
          <w:szCs w:val="22"/>
        </w:rPr>
        <w:t xml:space="preserve"> promote,</w:t>
      </w:r>
      <w:r w:rsidRPr="00083530">
        <w:rPr>
          <w:rFonts w:eastAsia="Calibri" w:cs="Arial"/>
          <w:b/>
          <w:bCs/>
          <w:i/>
          <w:szCs w:val="22"/>
        </w:rPr>
        <w:t xml:space="preserve"> facilitate and monitor sustainable gender-responsive ecotourism development</w:t>
      </w:r>
    </w:p>
    <w:p w14:paraId="7155ED1F" w14:textId="77777777" w:rsidR="00DC4E66" w:rsidRPr="00083530" w:rsidRDefault="00DC4E66" w:rsidP="00DC4E66">
      <w:pPr>
        <w:tabs>
          <w:tab w:val="left" w:pos="3200"/>
        </w:tabs>
        <w:spacing w:after="160" w:line="259" w:lineRule="auto"/>
        <w:contextualSpacing/>
        <w:rPr>
          <w:rFonts w:eastAsia="Calibri" w:cs="Arial"/>
          <w:i/>
          <w:color w:val="C45911"/>
          <w:szCs w:val="22"/>
        </w:rPr>
      </w:pPr>
    </w:p>
    <w:p w14:paraId="0876BDB8" w14:textId="1C9C691C" w:rsidR="00DC4E66" w:rsidRPr="00083530" w:rsidRDefault="00DC4E66" w:rsidP="00DC4E66">
      <w:pPr>
        <w:spacing w:after="160" w:line="259" w:lineRule="auto"/>
        <w:contextualSpacing/>
        <w:rPr>
          <w:rFonts w:eastAsia="Calibri" w:cs="Arial"/>
          <w:iCs/>
          <w:szCs w:val="22"/>
        </w:rPr>
      </w:pPr>
      <w:r w:rsidRPr="00083530">
        <w:rPr>
          <w:rFonts w:eastAsia="Calibri" w:cs="Arial"/>
          <w:iCs/>
          <w:szCs w:val="22"/>
        </w:rPr>
        <w:t xml:space="preserve">Development of the tourism sector offers the Government of Guinea Bissau a significant opportunity to diversify the economy and stimulate transformative </w:t>
      </w:r>
      <w:r>
        <w:rPr>
          <w:rFonts w:eastAsia="Calibri" w:cs="Arial"/>
          <w:iCs/>
          <w:szCs w:val="22"/>
        </w:rPr>
        <w:t xml:space="preserve">inclusive </w:t>
      </w:r>
      <w:r w:rsidRPr="00083530">
        <w:rPr>
          <w:rFonts w:eastAsia="Calibri" w:cs="Arial"/>
          <w:iCs/>
          <w:szCs w:val="22"/>
        </w:rPr>
        <w:t>economic growth in its relatively poor coastal regions</w:t>
      </w:r>
      <w:r w:rsidR="001776D4" w:rsidRPr="00083530">
        <w:rPr>
          <w:rFonts w:eastAsia="Calibri" w:cs="Arial"/>
          <w:iCs/>
          <w:szCs w:val="22"/>
        </w:rPr>
        <w:t xml:space="preserve">. </w:t>
      </w:r>
      <w:r w:rsidRPr="00083530">
        <w:rPr>
          <w:rFonts w:eastAsia="Calibri" w:cs="Arial"/>
          <w:iCs/>
          <w:szCs w:val="22"/>
        </w:rPr>
        <w:t>Such development must be undertaken carefully, however, in order to preserve and sustain the cultural heritage and environmental assets on which it relies and to ensure that growth is inclusive, gender-responsive and broad-based</w:t>
      </w:r>
      <w:r w:rsidR="00EC5974" w:rsidRPr="00083530">
        <w:rPr>
          <w:rFonts w:eastAsia="Calibri" w:cs="Arial"/>
          <w:iCs/>
          <w:szCs w:val="22"/>
        </w:rPr>
        <w:t xml:space="preserve">. </w:t>
      </w:r>
      <w:r w:rsidRPr="00083530">
        <w:rPr>
          <w:rFonts w:eastAsia="Calibri" w:cs="Arial"/>
          <w:iCs/>
          <w:szCs w:val="22"/>
        </w:rPr>
        <w:t>The best way to balance these imperatives is to align and integrate tourism development with national and local efforts to achieve the SDGs, and to develop policy frameworks for the sector accordingly</w:t>
      </w:r>
      <w:r w:rsidR="00EC5974" w:rsidRPr="00083530">
        <w:rPr>
          <w:rFonts w:eastAsia="Calibri" w:cs="Arial"/>
          <w:iCs/>
          <w:szCs w:val="22"/>
        </w:rPr>
        <w:t xml:space="preserve">. </w:t>
      </w:r>
    </w:p>
    <w:p w14:paraId="4E58EE45" w14:textId="77777777" w:rsidR="00DC4E66" w:rsidRPr="00083530" w:rsidRDefault="00DC4E66" w:rsidP="00DC4E66">
      <w:pPr>
        <w:spacing w:after="160" w:line="259" w:lineRule="auto"/>
        <w:contextualSpacing/>
        <w:rPr>
          <w:rFonts w:eastAsia="Calibri" w:cs="Arial"/>
          <w:iCs/>
          <w:szCs w:val="22"/>
        </w:rPr>
      </w:pPr>
    </w:p>
    <w:p w14:paraId="0A53E5D4" w14:textId="4D3A10F6" w:rsidR="00DC4E66" w:rsidRDefault="00DC4E66" w:rsidP="00BC7544">
      <w:pPr>
        <w:spacing w:after="160" w:line="259" w:lineRule="auto"/>
        <w:contextualSpacing/>
        <w:rPr>
          <w:rFonts w:eastAsia="Calibri" w:cs="Arial"/>
          <w:szCs w:val="22"/>
        </w:rPr>
      </w:pPr>
      <w:bookmarkStart w:id="7" w:name="_Hlk80610575"/>
      <w:r w:rsidRPr="00083530">
        <w:rPr>
          <w:rFonts w:eastAsia="Calibri" w:cs="Arial"/>
          <w:iCs/>
          <w:szCs w:val="22"/>
        </w:rPr>
        <w:t>UNDP will support the Government to align and integrate gender-responsive ecotourism development with the national effort to achieve the SDGs</w:t>
      </w:r>
      <w:bookmarkEnd w:id="7"/>
      <w:r w:rsidR="00EC5974" w:rsidRPr="00083530">
        <w:rPr>
          <w:rFonts w:eastAsia="Calibri" w:cs="Arial"/>
          <w:iCs/>
          <w:szCs w:val="22"/>
        </w:rPr>
        <w:t xml:space="preserve">. </w:t>
      </w:r>
      <w:r>
        <w:rPr>
          <w:rFonts w:eastAsia="Calibri" w:cs="Arial"/>
          <w:iCs/>
          <w:szCs w:val="22"/>
        </w:rPr>
        <w:t xml:space="preserve">UNDP will also support the government in developing local ecotourism plans that align with its national tourism plan and development strategies. </w:t>
      </w:r>
      <w:r w:rsidRPr="00083530">
        <w:rPr>
          <w:rFonts w:eastAsia="Calibri" w:cs="Arial"/>
          <w:szCs w:val="22"/>
        </w:rPr>
        <w:t>Capacity development support will be needed to underpin Ministry of Tourism and Handicrafts capacity to engage substantively with other relevant Ministries and Departments to ensure coordinated and integrated policy development that takes account of the experience of SIDS and other Lusophone countries to leverage synergies, meet challenges, and manage trade-offs between SDGs.</w:t>
      </w:r>
      <w:bookmarkStart w:id="8" w:name="_Hlk78281765"/>
    </w:p>
    <w:p w14:paraId="4FA4B10F" w14:textId="77777777" w:rsidR="00DC4E66" w:rsidRPr="00083530" w:rsidRDefault="00DC4E66" w:rsidP="00DC4E66">
      <w:pPr>
        <w:spacing w:after="160" w:line="259" w:lineRule="auto"/>
        <w:contextualSpacing/>
        <w:rPr>
          <w:rFonts w:eastAsia="Calibri" w:cs="Arial"/>
          <w:szCs w:val="22"/>
        </w:rPr>
      </w:pPr>
    </w:p>
    <w:p w14:paraId="7C296B61" w14:textId="77777777" w:rsidR="00DC4E66" w:rsidRPr="00083530" w:rsidRDefault="00DC4E66" w:rsidP="00DC4E66">
      <w:pPr>
        <w:spacing w:after="160" w:line="259" w:lineRule="auto"/>
        <w:ind w:left="1418" w:hanging="1418"/>
        <w:contextualSpacing/>
        <w:rPr>
          <w:rFonts w:cs="Arial"/>
          <w:szCs w:val="22"/>
          <w:lang w:eastAsia="en-GB"/>
        </w:rPr>
      </w:pPr>
      <w:bookmarkStart w:id="9" w:name="_Hlk77840919"/>
      <w:bookmarkEnd w:id="8"/>
      <w:r w:rsidRPr="00083530">
        <w:rPr>
          <w:rFonts w:cs="Arial"/>
          <w:b/>
          <w:bCs/>
          <w:i/>
          <w:szCs w:val="22"/>
          <w:lang w:eastAsia="en-GB"/>
        </w:rPr>
        <w:t>Outcome 2:</w:t>
      </w:r>
      <w:r w:rsidRPr="00083530">
        <w:rPr>
          <w:rFonts w:cs="Arial"/>
          <w:b/>
          <w:bCs/>
          <w:i/>
          <w:szCs w:val="22"/>
          <w:lang w:eastAsia="en-GB"/>
        </w:rPr>
        <w:tab/>
      </w:r>
      <w:r w:rsidRPr="00083530">
        <w:rPr>
          <w:rFonts w:cs="Arial"/>
          <w:b/>
          <w:bCs/>
          <w:kern w:val="24"/>
          <w:szCs w:val="22"/>
          <w:lang w:eastAsia="en-GB"/>
        </w:rPr>
        <w:t>Inclusive and participatory processes establish local planning, investment, and revenue frameworks</w:t>
      </w:r>
    </w:p>
    <w:p w14:paraId="5C096DC2" w14:textId="77777777" w:rsidR="00DC4E66" w:rsidRPr="00083530" w:rsidRDefault="00DC4E66" w:rsidP="00DC4E66">
      <w:pPr>
        <w:spacing w:after="160" w:line="259" w:lineRule="auto"/>
        <w:ind w:left="1418" w:hanging="1418"/>
        <w:contextualSpacing/>
        <w:rPr>
          <w:rFonts w:eastAsia="Calibri" w:cs="Arial"/>
          <w:b/>
          <w:bCs/>
          <w:i/>
          <w:szCs w:val="22"/>
        </w:rPr>
      </w:pPr>
    </w:p>
    <w:bookmarkEnd w:id="9"/>
    <w:p w14:paraId="70C49FB0" w14:textId="4F923F49" w:rsidR="00DC4E66" w:rsidRPr="00083530" w:rsidRDefault="00DC4E66" w:rsidP="00DC4E66">
      <w:pPr>
        <w:tabs>
          <w:tab w:val="left" w:pos="3200"/>
        </w:tabs>
        <w:spacing w:after="160" w:line="259" w:lineRule="auto"/>
        <w:contextualSpacing/>
        <w:rPr>
          <w:rFonts w:eastAsia="Calibri" w:cs="Arial"/>
          <w:szCs w:val="22"/>
        </w:rPr>
      </w:pPr>
      <w:r w:rsidRPr="00083530">
        <w:rPr>
          <w:rFonts w:eastAsia="Calibri" w:cs="Arial"/>
          <w:szCs w:val="22"/>
        </w:rPr>
        <w:t>The specificity of tourist destinations requires that an area-by-area approach needs to be taken to implementation of the National Ecotourism Strategy</w:t>
      </w:r>
      <w:r w:rsidR="007819F5" w:rsidRPr="00083530">
        <w:rPr>
          <w:rFonts w:eastAsia="Calibri" w:cs="Arial"/>
          <w:szCs w:val="22"/>
        </w:rPr>
        <w:t xml:space="preserve">. </w:t>
      </w:r>
      <w:r w:rsidRPr="00083530">
        <w:rPr>
          <w:rFonts w:eastAsia="Calibri" w:cs="Arial"/>
          <w:szCs w:val="22"/>
        </w:rPr>
        <w:t>Local communities themselves are best placed to understand the opportunities and challenges to the development of an eco-tourism sector, and local women best-placed to ensure that development is gender-responsive</w:t>
      </w:r>
      <w:proofErr w:type="gramStart"/>
      <w:r w:rsidRPr="00083530">
        <w:rPr>
          <w:rFonts w:eastAsia="Calibri" w:cs="Arial"/>
          <w:szCs w:val="22"/>
        </w:rPr>
        <w:t xml:space="preserve">.  </w:t>
      </w:r>
      <w:proofErr w:type="gramEnd"/>
    </w:p>
    <w:p w14:paraId="422F1893" w14:textId="77777777" w:rsidR="00DC4E66" w:rsidRPr="00083530" w:rsidRDefault="00DC4E66" w:rsidP="00DC4E66">
      <w:pPr>
        <w:tabs>
          <w:tab w:val="left" w:pos="3200"/>
        </w:tabs>
        <w:spacing w:after="160" w:line="259" w:lineRule="auto"/>
        <w:contextualSpacing/>
        <w:rPr>
          <w:rFonts w:eastAsia="Calibri" w:cs="Arial"/>
          <w:iCs/>
          <w:szCs w:val="22"/>
        </w:rPr>
      </w:pPr>
    </w:p>
    <w:p w14:paraId="23CEA023" w14:textId="77777777" w:rsidR="00DC4E66" w:rsidRPr="00083530" w:rsidRDefault="00DC4E66" w:rsidP="00DC4E66">
      <w:pPr>
        <w:tabs>
          <w:tab w:val="left" w:pos="3200"/>
        </w:tabs>
        <w:spacing w:after="160" w:line="259" w:lineRule="auto"/>
        <w:contextualSpacing/>
        <w:rPr>
          <w:rFonts w:eastAsia="Calibri" w:cs="Arial"/>
          <w:iCs/>
          <w:szCs w:val="22"/>
        </w:rPr>
      </w:pPr>
      <w:r w:rsidRPr="00083530">
        <w:rPr>
          <w:rFonts w:eastAsia="Calibri" w:cs="Arial"/>
          <w:iCs/>
          <w:szCs w:val="22"/>
        </w:rPr>
        <w:t xml:space="preserve">The Ministry of Tourism and Handicrafts will need to work with and through local Governments to organise inclusive and participatory local planning exercises built on three pillars: analysis of opportunities for tourism development, and action plans that maximise its positive potential impact on SDG achievement; analysis of the threats and likely challenges of tourism development, and the policies and planning guidelines necessary to mitigate them; identification of local opportunities to raise revenue from licencing or concession arrangements for  catalytic re-investment. </w:t>
      </w:r>
    </w:p>
    <w:p w14:paraId="48E2254C" w14:textId="77777777" w:rsidR="00DC4E66" w:rsidRPr="00083530" w:rsidRDefault="00DC4E66" w:rsidP="00DC4E66">
      <w:pPr>
        <w:tabs>
          <w:tab w:val="left" w:pos="3200"/>
        </w:tabs>
        <w:spacing w:after="160" w:line="259" w:lineRule="auto"/>
        <w:contextualSpacing/>
        <w:rPr>
          <w:rFonts w:eastAsia="Calibri" w:cs="Arial"/>
          <w:iCs/>
          <w:szCs w:val="22"/>
        </w:rPr>
      </w:pPr>
    </w:p>
    <w:p w14:paraId="26BDB27F" w14:textId="77777777" w:rsidR="00DC4E66" w:rsidRPr="00083530" w:rsidRDefault="00DC4E66" w:rsidP="00DC4E66">
      <w:pPr>
        <w:tabs>
          <w:tab w:val="left" w:pos="3200"/>
        </w:tabs>
        <w:spacing w:after="160" w:line="259" w:lineRule="auto"/>
        <w:contextualSpacing/>
        <w:rPr>
          <w:rFonts w:eastAsia="Calibri" w:cs="Arial"/>
          <w:iCs/>
          <w:szCs w:val="22"/>
        </w:rPr>
      </w:pPr>
      <w:r w:rsidRPr="00083530">
        <w:rPr>
          <w:rFonts w:eastAsia="Calibri" w:cs="Arial"/>
          <w:iCs/>
          <w:szCs w:val="22"/>
        </w:rPr>
        <w:t xml:space="preserve">In parallel, the Ministry of Public Works, Housing and Urbanism will work in collaboration with the Regional Governments of </w:t>
      </w:r>
      <w:proofErr w:type="spellStart"/>
      <w:r w:rsidRPr="00083530">
        <w:rPr>
          <w:rFonts w:eastAsia="Calibri" w:cs="Arial"/>
          <w:iCs/>
          <w:szCs w:val="22"/>
        </w:rPr>
        <w:t>Bolama-Bijagós</w:t>
      </w:r>
      <w:proofErr w:type="spellEnd"/>
      <w:r w:rsidRPr="00083530">
        <w:rPr>
          <w:rFonts w:eastAsia="Calibri" w:cs="Arial"/>
          <w:iCs/>
          <w:szCs w:val="22"/>
        </w:rPr>
        <w:t xml:space="preserve"> and </w:t>
      </w:r>
      <w:proofErr w:type="spellStart"/>
      <w:r w:rsidRPr="00083530">
        <w:rPr>
          <w:rFonts w:eastAsia="Calibri" w:cs="Arial"/>
          <w:iCs/>
          <w:szCs w:val="22"/>
        </w:rPr>
        <w:t>Cacheu</w:t>
      </w:r>
      <w:proofErr w:type="spellEnd"/>
      <w:r w:rsidRPr="00083530">
        <w:rPr>
          <w:rFonts w:eastAsia="Calibri" w:cs="Arial"/>
          <w:iCs/>
          <w:szCs w:val="22"/>
        </w:rPr>
        <w:t xml:space="preserve"> and local actors so as to develop the Regional Master Plan for tourism, as well as the establishment of the local structures to take its implementation forward. This will ensure legal and institutional frameworks will be in place to guide a sustainable planning and management of land for tourism and associated purposes.</w:t>
      </w:r>
    </w:p>
    <w:p w14:paraId="56757C77" w14:textId="77777777" w:rsidR="00DC4E66" w:rsidRPr="00083530" w:rsidRDefault="00DC4E66" w:rsidP="00DC4E66">
      <w:pPr>
        <w:tabs>
          <w:tab w:val="left" w:pos="3200"/>
        </w:tabs>
        <w:spacing w:after="160" w:line="259" w:lineRule="auto"/>
        <w:contextualSpacing/>
        <w:rPr>
          <w:rFonts w:eastAsia="Calibri" w:cs="Arial"/>
          <w:iCs/>
          <w:szCs w:val="22"/>
        </w:rPr>
      </w:pPr>
    </w:p>
    <w:p w14:paraId="7434C242" w14:textId="77777777" w:rsidR="00DC4E66" w:rsidRPr="00083530" w:rsidRDefault="00DC4E66" w:rsidP="00DC4E66">
      <w:pPr>
        <w:tabs>
          <w:tab w:val="left" w:pos="3200"/>
        </w:tabs>
        <w:spacing w:after="160" w:line="259" w:lineRule="auto"/>
        <w:contextualSpacing/>
        <w:rPr>
          <w:rFonts w:eastAsia="Calibri" w:cs="Arial"/>
          <w:iCs/>
          <w:szCs w:val="22"/>
        </w:rPr>
      </w:pPr>
      <w:r w:rsidRPr="00083530">
        <w:rPr>
          <w:rFonts w:eastAsia="Calibri" w:cs="Arial"/>
          <w:iCs/>
          <w:szCs w:val="22"/>
        </w:rPr>
        <w:t>Special attention should be given to ensuring the equal representation of women in all planning processes and events, given the need to overcome the under-representation of women in decision-making and the potential of tourism to support women’s entrepreneurship and economic empowerment</w:t>
      </w:r>
      <w:proofErr w:type="gramStart"/>
      <w:r w:rsidRPr="00083530">
        <w:rPr>
          <w:rFonts w:eastAsia="Calibri" w:cs="Arial"/>
          <w:iCs/>
          <w:szCs w:val="22"/>
        </w:rPr>
        <w:t xml:space="preserve">.  </w:t>
      </w:r>
      <w:proofErr w:type="gramEnd"/>
      <w:r w:rsidRPr="00083530">
        <w:rPr>
          <w:rFonts w:eastAsia="Calibri" w:cs="Arial"/>
          <w:iCs/>
          <w:szCs w:val="22"/>
        </w:rPr>
        <w:t>Once all actors have been identified and articulated to the planning process, innovative “</w:t>
      </w:r>
      <w:r w:rsidRPr="00083530">
        <w:rPr>
          <w:rFonts w:eastAsia="Calibri" w:cs="Arial"/>
          <w:i/>
          <w:szCs w:val="22"/>
        </w:rPr>
        <w:t>open source</w:t>
      </w:r>
      <w:r w:rsidRPr="00083530">
        <w:rPr>
          <w:rFonts w:eastAsia="Calibri" w:cs="Arial"/>
          <w:iCs/>
          <w:szCs w:val="22"/>
        </w:rPr>
        <w:t>” methodologies can be utilised for the co-design, co-</w:t>
      </w:r>
      <w:proofErr w:type="gramStart"/>
      <w:r w:rsidRPr="00083530">
        <w:rPr>
          <w:rFonts w:eastAsia="Calibri" w:cs="Arial"/>
          <w:iCs/>
          <w:szCs w:val="22"/>
        </w:rPr>
        <w:t>implementation</w:t>
      </w:r>
      <w:proofErr w:type="gramEnd"/>
      <w:r w:rsidRPr="00083530">
        <w:rPr>
          <w:rFonts w:eastAsia="Calibri" w:cs="Arial"/>
          <w:iCs/>
          <w:szCs w:val="22"/>
        </w:rPr>
        <w:t xml:space="preserve"> and co-monitoring of development solutions, helping to ensure local ownership, impact and sustainability.</w:t>
      </w:r>
    </w:p>
    <w:p w14:paraId="270D66CC" w14:textId="77777777" w:rsidR="00DC4E66" w:rsidRPr="00083530" w:rsidRDefault="00DC4E66" w:rsidP="00DC4E66">
      <w:pPr>
        <w:tabs>
          <w:tab w:val="left" w:pos="3200"/>
        </w:tabs>
        <w:spacing w:after="160" w:line="259" w:lineRule="auto"/>
        <w:contextualSpacing/>
        <w:rPr>
          <w:rFonts w:eastAsia="Calibri" w:cs="Arial"/>
          <w:iCs/>
          <w:szCs w:val="22"/>
        </w:rPr>
      </w:pPr>
      <w:bookmarkStart w:id="10" w:name="_Hlk78207157"/>
    </w:p>
    <w:p w14:paraId="482D6DA9" w14:textId="77777777" w:rsidR="00DC4E66" w:rsidRDefault="00DC4E66" w:rsidP="00DC4E66">
      <w:pPr>
        <w:tabs>
          <w:tab w:val="left" w:pos="3200"/>
        </w:tabs>
        <w:spacing w:after="160" w:line="259" w:lineRule="auto"/>
        <w:contextualSpacing/>
        <w:rPr>
          <w:rFonts w:eastAsia="Calibri" w:cs="Arial"/>
          <w:iCs/>
          <w:szCs w:val="22"/>
        </w:rPr>
      </w:pPr>
      <w:r w:rsidRPr="00083530">
        <w:rPr>
          <w:rFonts w:eastAsia="Calibri" w:cs="Arial"/>
          <w:iCs/>
          <w:szCs w:val="22"/>
        </w:rPr>
        <w:t>Civil society groups should be articulated to the SDG data and research agenda and supported to advocate on behalf of interest groups and those furthest behind; to promote transparency and accountability of process; and to address urgent tourism challenges such as sex tourism generally and recent incidence of child sexual exploitation in particular</w:t>
      </w:r>
      <w:proofErr w:type="gramStart"/>
      <w:r w:rsidRPr="00083530">
        <w:rPr>
          <w:rFonts w:eastAsia="Calibri" w:cs="Arial"/>
          <w:iCs/>
          <w:szCs w:val="22"/>
        </w:rPr>
        <w:t xml:space="preserve">.  </w:t>
      </w:r>
      <w:proofErr w:type="gramEnd"/>
    </w:p>
    <w:p w14:paraId="11D4C629" w14:textId="77777777" w:rsidR="00DC4E66" w:rsidRDefault="00DC4E66" w:rsidP="00DC4E66">
      <w:pPr>
        <w:tabs>
          <w:tab w:val="left" w:pos="3200"/>
        </w:tabs>
        <w:spacing w:after="160" w:line="259" w:lineRule="auto"/>
        <w:contextualSpacing/>
        <w:rPr>
          <w:rFonts w:eastAsia="Calibri" w:cs="Arial"/>
          <w:iCs/>
          <w:szCs w:val="22"/>
        </w:rPr>
      </w:pPr>
    </w:p>
    <w:p w14:paraId="2AC2DD9A" w14:textId="77777777" w:rsidR="00DC4E66" w:rsidRDefault="00DC4E66" w:rsidP="00DC4E66">
      <w:pPr>
        <w:tabs>
          <w:tab w:val="left" w:pos="3200"/>
        </w:tabs>
        <w:spacing w:after="160" w:line="259" w:lineRule="auto"/>
        <w:contextualSpacing/>
        <w:rPr>
          <w:rFonts w:eastAsia="Calibri" w:cs="Arial"/>
          <w:iCs/>
          <w:szCs w:val="22"/>
        </w:rPr>
      </w:pPr>
    </w:p>
    <w:bookmarkEnd w:id="10"/>
    <w:p w14:paraId="10BC1419" w14:textId="77777777" w:rsidR="00DC4E66" w:rsidRPr="00083530" w:rsidRDefault="00DC4E66" w:rsidP="00DC4E66">
      <w:pPr>
        <w:spacing w:after="160" w:line="259" w:lineRule="auto"/>
        <w:ind w:left="1418" w:hanging="1418"/>
        <w:contextualSpacing/>
        <w:rPr>
          <w:rFonts w:eastAsia="Calibri" w:cs="Arial"/>
          <w:b/>
          <w:bCs/>
          <w:i/>
          <w:szCs w:val="22"/>
        </w:rPr>
      </w:pPr>
      <w:r w:rsidRPr="00083530">
        <w:rPr>
          <w:rFonts w:eastAsia="Calibri" w:cs="Arial"/>
          <w:b/>
          <w:bCs/>
          <w:i/>
          <w:szCs w:val="22"/>
        </w:rPr>
        <w:t>Outcome 3:</w:t>
      </w:r>
      <w:r w:rsidRPr="00083530">
        <w:rPr>
          <w:rFonts w:eastAsia="Calibri" w:cs="Arial"/>
          <w:b/>
          <w:bCs/>
          <w:i/>
          <w:szCs w:val="22"/>
        </w:rPr>
        <w:tab/>
        <w:t xml:space="preserve">Targeted investments in </w:t>
      </w:r>
      <w:r>
        <w:rPr>
          <w:rFonts w:eastAsia="Calibri" w:cs="Arial"/>
          <w:b/>
          <w:bCs/>
          <w:i/>
          <w:szCs w:val="22"/>
        </w:rPr>
        <w:t xml:space="preserve">renewable green energy and </w:t>
      </w:r>
      <w:r w:rsidRPr="00083530">
        <w:rPr>
          <w:rFonts w:eastAsia="Calibri" w:cs="Arial"/>
          <w:b/>
          <w:bCs/>
          <w:i/>
          <w:szCs w:val="22"/>
        </w:rPr>
        <w:t xml:space="preserve">sustainable ecotourism increases proportion of population with primary reliance on </w:t>
      </w:r>
      <w:r>
        <w:rPr>
          <w:rFonts w:eastAsia="Calibri" w:cs="Arial"/>
          <w:b/>
          <w:bCs/>
          <w:i/>
          <w:szCs w:val="22"/>
        </w:rPr>
        <w:t xml:space="preserve">ecotourism for livelihoods generation, </w:t>
      </w:r>
      <w:r w:rsidRPr="00083530">
        <w:rPr>
          <w:rFonts w:eastAsia="Calibri" w:cs="Arial"/>
          <w:b/>
          <w:bCs/>
          <w:i/>
          <w:szCs w:val="22"/>
        </w:rPr>
        <w:t xml:space="preserve">clean </w:t>
      </w:r>
      <w:proofErr w:type="gramStart"/>
      <w:r w:rsidRPr="00083530">
        <w:rPr>
          <w:rFonts w:eastAsia="Calibri" w:cs="Arial"/>
          <w:b/>
          <w:bCs/>
          <w:i/>
          <w:szCs w:val="22"/>
        </w:rPr>
        <w:t>fuels</w:t>
      </w:r>
      <w:proofErr w:type="gramEnd"/>
      <w:r w:rsidRPr="00083530">
        <w:rPr>
          <w:rFonts w:eastAsia="Calibri" w:cs="Arial"/>
          <w:b/>
          <w:bCs/>
          <w:i/>
          <w:szCs w:val="22"/>
        </w:rPr>
        <w:t xml:space="preserve"> and technology</w:t>
      </w:r>
      <w:r>
        <w:rPr>
          <w:rFonts w:eastAsia="Calibri" w:cs="Arial"/>
          <w:b/>
          <w:bCs/>
          <w:i/>
          <w:szCs w:val="22"/>
        </w:rPr>
        <w:t xml:space="preserve">, </w:t>
      </w:r>
      <w:r w:rsidRPr="00B91228">
        <w:rPr>
          <w:rFonts w:eastAsia="Calibri" w:cs="Arial"/>
          <w:b/>
          <w:bCs/>
          <w:i/>
          <w:szCs w:val="22"/>
        </w:rPr>
        <w:t>while preserving biodiversity and protecting environmental assets</w:t>
      </w:r>
    </w:p>
    <w:p w14:paraId="1A5BAA92" w14:textId="77777777" w:rsidR="00DC4E66" w:rsidRPr="00083530" w:rsidRDefault="00DC4E66" w:rsidP="00DC4E66">
      <w:pPr>
        <w:spacing w:after="160" w:line="259" w:lineRule="auto"/>
        <w:ind w:left="1418" w:hanging="1418"/>
        <w:contextualSpacing/>
        <w:rPr>
          <w:rFonts w:eastAsia="Calibri" w:cs="Arial"/>
          <w:b/>
          <w:bCs/>
          <w:i/>
          <w:szCs w:val="22"/>
        </w:rPr>
      </w:pPr>
      <w:r w:rsidRPr="00083530">
        <w:rPr>
          <w:rFonts w:eastAsia="Calibri" w:cs="Arial"/>
          <w:b/>
          <w:bCs/>
          <w:i/>
          <w:szCs w:val="22"/>
        </w:rPr>
        <w:tab/>
      </w:r>
    </w:p>
    <w:p w14:paraId="49AB7250" w14:textId="7C7F20D8" w:rsidR="00DC4E66" w:rsidRPr="00083530" w:rsidRDefault="00DC4E66" w:rsidP="00DC4E66">
      <w:pPr>
        <w:tabs>
          <w:tab w:val="left" w:pos="3200"/>
        </w:tabs>
        <w:spacing w:after="160" w:line="259" w:lineRule="auto"/>
        <w:contextualSpacing/>
        <w:rPr>
          <w:rFonts w:eastAsia="Calibri" w:cs="Arial"/>
          <w:szCs w:val="22"/>
        </w:rPr>
      </w:pPr>
      <w:r w:rsidRPr="00083530">
        <w:rPr>
          <w:rFonts w:eastAsia="Calibri" w:cs="Arial"/>
          <w:szCs w:val="22"/>
        </w:rPr>
        <w:t xml:space="preserve">The </w:t>
      </w:r>
      <w:r w:rsidR="00CB065C">
        <w:rPr>
          <w:rFonts w:eastAsia="Calibri" w:cs="Arial"/>
          <w:szCs w:val="22"/>
        </w:rPr>
        <w:t>p</w:t>
      </w:r>
      <w:r>
        <w:rPr>
          <w:rFonts w:eastAsia="Calibri" w:cs="Arial"/>
          <w:szCs w:val="22"/>
        </w:rPr>
        <w:t>roject</w:t>
      </w:r>
      <w:r w:rsidRPr="00083530">
        <w:rPr>
          <w:rFonts w:eastAsia="Calibri" w:cs="Arial"/>
          <w:szCs w:val="22"/>
        </w:rPr>
        <w:t xml:space="preserve"> </w:t>
      </w:r>
      <w:r w:rsidR="003F2ED5">
        <w:rPr>
          <w:rFonts w:eastAsia="Calibri" w:cs="Arial"/>
          <w:szCs w:val="22"/>
        </w:rPr>
        <w:t>will</w:t>
      </w:r>
      <w:r w:rsidRPr="00083530">
        <w:rPr>
          <w:rFonts w:eastAsia="Calibri" w:cs="Arial"/>
          <w:szCs w:val="22"/>
        </w:rPr>
        <w:t xml:space="preserve"> undertake </w:t>
      </w:r>
      <w:r w:rsidR="00C7457B" w:rsidRPr="00C7457B">
        <w:rPr>
          <w:rFonts w:eastAsia="Calibri" w:cs="Arial"/>
          <w:szCs w:val="22"/>
        </w:rPr>
        <w:t>location mapping</w:t>
      </w:r>
      <w:r w:rsidR="00567423">
        <w:rPr>
          <w:rFonts w:eastAsia="Calibri" w:cs="Arial"/>
          <w:szCs w:val="22"/>
        </w:rPr>
        <w:t>,</w:t>
      </w:r>
      <w:r w:rsidR="00C7457B" w:rsidRPr="00C7457B">
        <w:rPr>
          <w:rFonts w:eastAsia="Calibri" w:cs="Arial"/>
          <w:szCs w:val="22"/>
        </w:rPr>
        <w:t xml:space="preserve"> feasibility studies</w:t>
      </w:r>
      <w:r w:rsidR="00567423">
        <w:rPr>
          <w:rFonts w:eastAsia="Calibri" w:cs="Arial"/>
          <w:szCs w:val="22"/>
        </w:rPr>
        <w:t xml:space="preserve"> and </w:t>
      </w:r>
      <w:r w:rsidRPr="00083530">
        <w:rPr>
          <w:rFonts w:eastAsia="Calibri" w:cs="Arial"/>
          <w:szCs w:val="22"/>
        </w:rPr>
        <w:t>geospatial assessments</w:t>
      </w:r>
      <w:r w:rsidRPr="00083530">
        <w:rPr>
          <w:rFonts w:eastAsia="Calibri" w:cs="Arial"/>
          <w:szCs w:val="22"/>
          <w:vertAlign w:val="superscript"/>
        </w:rPr>
        <w:footnoteReference w:id="7"/>
      </w:r>
      <w:r w:rsidRPr="00083530">
        <w:rPr>
          <w:rFonts w:eastAsia="Calibri" w:cs="Arial"/>
          <w:szCs w:val="22"/>
        </w:rPr>
        <w:t xml:space="preserve"> of target areas for </w:t>
      </w:r>
      <w:proofErr w:type="spellStart"/>
      <w:r w:rsidRPr="00083530">
        <w:rPr>
          <w:rFonts w:eastAsia="Calibri" w:cs="Arial"/>
          <w:szCs w:val="22"/>
        </w:rPr>
        <w:t>minigrid</w:t>
      </w:r>
      <w:proofErr w:type="spellEnd"/>
      <w:r w:rsidRPr="00083530">
        <w:rPr>
          <w:rFonts w:eastAsia="Calibri" w:cs="Arial"/>
          <w:szCs w:val="22"/>
        </w:rPr>
        <w:t xml:space="preserve"> development, and engage with communities on benefits, costs, and willingness to play</w:t>
      </w:r>
      <w:r>
        <w:rPr>
          <w:rFonts w:eastAsia="Calibri" w:cs="Arial"/>
          <w:szCs w:val="22"/>
        </w:rPr>
        <w:t>, understood as key</w:t>
      </w:r>
      <w:r w:rsidRPr="00083530">
        <w:rPr>
          <w:rFonts w:eastAsia="Calibri" w:cs="Arial"/>
          <w:szCs w:val="22"/>
        </w:rPr>
        <w:t xml:space="preserve"> determinants of technical and financial viability of renewable energy </w:t>
      </w:r>
      <w:proofErr w:type="spellStart"/>
      <w:r w:rsidRPr="00083530">
        <w:rPr>
          <w:rFonts w:eastAsia="Calibri" w:cs="Arial"/>
          <w:szCs w:val="22"/>
        </w:rPr>
        <w:t>minigrids</w:t>
      </w:r>
      <w:proofErr w:type="spellEnd"/>
      <w:r w:rsidR="00567423">
        <w:rPr>
          <w:rFonts w:eastAsia="Calibri" w:cs="Arial"/>
          <w:szCs w:val="22"/>
        </w:rPr>
        <w:t>.</w:t>
      </w:r>
      <w:r w:rsidR="00567423" w:rsidRPr="00083530">
        <w:rPr>
          <w:rFonts w:eastAsia="Calibri" w:cs="Arial"/>
          <w:szCs w:val="22"/>
        </w:rPr>
        <w:t xml:space="preserve"> </w:t>
      </w:r>
      <w:r w:rsidRPr="00083530">
        <w:rPr>
          <w:rFonts w:eastAsia="Calibri" w:cs="Arial"/>
          <w:szCs w:val="22"/>
        </w:rPr>
        <w:t xml:space="preserve">For coastal areas, investment in </w:t>
      </w:r>
      <w:r>
        <w:rPr>
          <w:rFonts w:eastAsia="Calibri" w:cs="Arial"/>
          <w:szCs w:val="22"/>
        </w:rPr>
        <w:t>eco</w:t>
      </w:r>
      <w:r w:rsidRPr="00083530">
        <w:rPr>
          <w:rFonts w:eastAsia="Calibri" w:cs="Arial"/>
          <w:szCs w:val="22"/>
        </w:rPr>
        <w:t xml:space="preserve">tourism – an electricity intensive sector across multiple dimensions – offers the potential to establish a group of productive enterprises as </w:t>
      </w:r>
      <w:proofErr w:type="spellStart"/>
      <w:r w:rsidRPr="00083530">
        <w:rPr>
          <w:rFonts w:eastAsia="Calibri" w:cs="Arial"/>
          <w:szCs w:val="22"/>
        </w:rPr>
        <w:t>minigrid</w:t>
      </w:r>
      <w:proofErr w:type="spellEnd"/>
      <w:r w:rsidRPr="00083530">
        <w:rPr>
          <w:rFonts w:eastAsia="Calibri" w:cs="Arial"/>
          <w:szCs w:val="22"/>
        </w:rPr>
        <w:t xml:space="preserve"> anchor clients, to increase demand and diversify load, and to reduce investment risk</w:t>
      </w:r>
      <w:proofErr w:type="gramStart"/>
      <w:r w:rsidRPr="00083530">
        <w:rPr>
          <w:rFonts w:eastAsia="Calibri" w:cs="Arial"/>
          <w:szCs w:val="22"/>
        </w:rPr>
        <w:t xml:space="preserve">.  </w:t>
      </w:r>
      <w:proofErr w:type="gramEnd"/>
      <w:r w:rsidRPr="00083530">
        <w:rPr>
          <w:rFonts w:eastAsia="Calibri" w:cs="Arial"/>
          <w:szCs w:val="22"/>
        </w:rPr>
        <w:t xml:space="preserve">Women are important productive-use customers for </w:t>
      </w:r>
      <w:proofErr w:type="spellStart"/>
      <w:r w:rsidRPr="00083530">
        <w:rPr>
          <w:rFonts w:eastAsia="Calibri" w:cs="Arial"/>
          <w:szCs w:val="22"/>
        </w:rPr>
        <w:t>minigrids</w:t>
      </w:r>
      <w:proofErr w:type="spellEnd"/>
      <w:r w:rsidRPr="00083530">
        <w:rPr>
          <w:rFonts w:eastAsia="Calibri" w:cs="Arial"/>
          <w:szCs w:val="22"/>
        </w:rPr>
        <w:t xml:space="preserve"> because of their high entrepreneurship rates, particularly in the tourism sector</w:t>
      </w:r>
      <w:r w:rsidR="00567423" w:rsidRPr="00083530">
        <w:rPr>
          <w:rFonts w:eastAsia="Calibri" w:cs="Arial"/>
          <w:szCs w:val="22"/>
        </w:rPr>
        <w:t xml:space="preserve">. </w:t>
      </w:r>
    </w:p>
    <w:p w14:paraId="514D47A5" w14:textId="77777777" w:rsidR="00DC4E66" w:rsidRDefault="00DC4E66" w:rsidP="00DC4E66">
      <w:pPr>
        <w:tabs>
          <w:tab w:val="left" w:pos="3200"/>
        </w:tabs>
        <w:spacing w:after="160" w:line="259" w:lineRule="auto"/>
        <w:contextualSpacing/>
        <w:rPr>
          <w:rFonts w:eastAsia="Calibri" w:cs="Arial"/>
          <w:szCs w:val="22"/>
        </w:rPr>
      </w:pPr>
    </w:p>
    <w:p w14:paraId="68814767" w14:textId="77777777" w:rsidR="00DC4E66" w:rsidRPr="00083530" w:rsidRDefault="00DC4E66" w:rsidP="00DC4E66">
      <w:pPr>
        <w:spacing w:after="160" w:line="259" w:lineRule="auto"/>
        <w:contextualSpacing/>
        <w:rPr>
          <w:rFonts w:eastAsia="Calibri" w:cs="Arial"/>
          <w:szCs w:val="22"/>
        </w:rPr>
      </w:pPr>
    </w:p>
    <w:p w14:paraId="429D2A5C" w14:textId="77777777" w:rsidR="00DC4E66" w:rsidRDefault="00DC4E66" w:rsidP="00DC4E66">
      <w:pPr>
        <w:spacing w:after="160" w:line="259" w:lineRule="auto"/>
        <w:contextualSpacing/>
        <w:rPr>
          <w:rFonts w:eastAsia="Calibri" w:cs="Arial"/>
          <w:szCs w:val="22"/>
          <w:u w:val="single"/>
        </w:rPr>
      </w:pPr>
      <w:r w:rsidRPr="00083530">
        <w:rPr>
          <w:rFonts w:eastAsia="Calibri" w:cs="Arial"/>
          <w:szCs w:val="22"/>
          <w:u w:val="single"/>
        </w:rPr>
        <w:t>Assumptions</w:t>
      </w:r>
    </w:p>
    <w:p w14:paraId="226EF380" w14:textId="77777777" w:rsidR="00DC4E66" w:rsidRPr="00083530" w:rsidRDefault="00DC4E66" w:rsidP="00DC4E66">
      <w:pPr>
        <w:spacing w:after="160" w:line="259" w:lineRule="auto"/>
        <w:contextualSpacing/>
        <w:rPr>
          <w:rFonts w:eastAsia="Calibri" w:cs="Arial"/>
          <w:szCs w:val="22"/>
          <w:u w:val="single"/>
        </w:rPr>
      </w:pPr>
    </w:p>
    <w:p w14:paraId="15803471" w14:textId="77777777" w:rsidR="00DC4E66" w:rsidRDefault="00DC4E66" w:rsidP="00DC4E66">
      <w:pPr>
        <w:spacing w:after="160" w:line="259" w:lineRule="auto"/>
        <w:contextualSpacing/>
        <w:rPr>
          <w:rFonts w:eastAsia="Calibri" w:cs="Arial"/>
          <w:szCs w:val="22"/>
        </w:rPr>
      </w:pPr>
      <w:r w:rsidRPr="00083530">
        <w:rPr>
          <w:rFonts w:eastAsia="Calibri" w:cs="Arial"/>
          <w:szCs w:val="22"/>
        </w:rPr>
        <w:t xml:space="preserve">The </w:t>
      </w:r>
      <w:r>
        <w:rPr>
          <w:rFonts w:eastAsia="Calibri" w:cs="Arial"/>
          <w:szCs w:val="22"/>
        </w:rPr>
        <w:t>Project</w:t>
      </w:r>
      <w:r w:rsidRPr="00083530">
        <w:rPr>
          <w:rFonts w:eastAsia="Calibri" w:cs="Arial"/>
          <w:szCs w:val="22"/>
        </w:rPr>
        <w:t xml:space="preserve"> assumes the Government of Guinea Bissau remains politically committed to the development of eco-tourism in the country, that the Ministry of Tourism and Handicrafts remains committed to implementation of the National Eco-Tourism Strategy through the development of local Ecotourism Action Plans and Tourist Development Guidelines as proposed, and that the Ministry of Public Works, Housing and Urbanism commits to support the elaboration and implementation of the Spatial Plans associated with tourism.</w:t>
      </w:r>
    </w:p>
    <w:p w14:paraId="72689CB4" w14:textId="77777777" w:rsidR="00DC4E66" w:rsidRPr="00083530" w:rsidRDefault="00DC4E66" w:rsidP="00DC4E66">
      <w:pPr>
        <w:spacing w:after="160" w:line="259" w:lineRule="auto"/>
        <w:contextualSpacing/>
        <w:rPr>
          <w:rFonts w:eastAsia="Calibri" w:cs="Arial"/>
          <w:szCs w:val="22"/>
        </w:rPr>
      </w:pPr>
    </w:p>
    <w:p w14:paraId="3250946F" w14:textId="77777777" w:rsidR="00DC4E66" w:rsidRDefault="00DC4E66" w:rsidP="00DC4E66">
      <w:pPr>
        <w:spacing w:after="160" w:line="259" w:lineRule="auto"/>
        <w:contextualSpacing/>
        <w:rPr>
          <w:rFonts w:eastAsia="Calibri" w:cs="Arial"/>
          <w:szCs w:val="22"/>
        </w:rPr>
      </w:pPr>
      <w:r w:rsidRPr="00083530">
        <w:rPr>
          <w:rFonts w:eastAsia="Calibri" w:cs="Arial"/>
          <w:szCs w:val="22"/>
        </w:rPr>
        <w:t xml:space="preserve">It is assumed that the Spatial and Strategic Plans for the Region of </w:t>
      </w:r>
      <w:proofErr w:type="spellStart"/>
      <w:r w:rsidRPr="00083530">
        <w:rPr>
          <w:rFonts w:eastAsia="Calibri" w:cs="Arial"/>
          <w:szCs w:val="22"/>
        </w:rPr>
        <w:t>Bolama-Bijagós</w:t>
      </w:r>
      <w:proofErr w:type="spellEnd"/>
      <w:r w:rsidRPr="00083530">
        <w:rPr>
          <w:rFonts w:eastAsia="Calibri" w:cs="Arial"/>
          <w:szCs w:val="22"/>
        </w:rPr>
        <w:t xml:space="preserve"> and the cities of </w:t>
      </w:r>
      <w:proofErr w:type="spellStart"/>
      <w:r w:rsidRPr="00083530">
        <w:rPr>
          <w:rFonts w:eastAsia="Calibri" w:cs="Arial"/>
          <w:szCs w:val="22"/>
        </w:rPr>
        <w:t>Bubaque</w:t>
      </w:r>
      <w:proofErr w:type="spellEnd"/>
      <w:r w:rsidRPr="00083530">
        <w:rPr>
          <w:rFonts w:eastAsia="Calibri" w:cs="Arial"/>
          <w:szCs w:val="22"/>
        </w:rPr>
        <w:t xml:space="preserve"> and </w:t>
      </w:r>
      <w:proofErr w:type="spellStart"/>
      <w:r w:rsidRPr="00083530">
        <w:rPr>
          <w:rFonts w:eastAsia="Calibri" w:cs="Arial"/>
          <w:szCs w:val="22"/>
        </w:rPr>
        <w:t>Bolama</w:t>
      </w:r>
      <w:proofErr w:type="spellEnd"/>
      <w:r w:rsidRPr="00083530">
        <w:rPr>
          <w:rFonts w:eastAsia="Calibri" w:cs="Arial"/>
          <w:szCs w:val="22"/>
        </w:rPr>
        <w:t xml:space="preserve"> with the support of UN-Habitat will be promulgated and implemented by the corresponding governmental and non-governmental entities</w:t>
      </w:r>
      <w:proofErr w:type="gramStart"/>
      <w:r w:rsidRPr="00083530">
        <w:rPr>
          <w:rFonts w:eastAsia="Calibri" w:cs="Arial"/>
          <w:szCs w:val="22"/>
        </w:rPr>
        <w:t>.</w:t>
      </w:r>
      <w:r>
        <w:rPr>
          <w:rFonts w:eastAsia="Calibri" w:cs="Arial"/>
          <w:szCs w:val="22"/>
        </w:rPr>
        <w:t xml:space="preserve">  </w:t>
      </w:r>
      <w:proofErr w:type="gramEnd"/>
    </w:p>
    <w:p w14:paraId="585B47A8" w14:textId="77777777" w:rsidR="00DC4E66" w:rsidRDefault="00DC4E66" w:rsidP="00DC4E66">
      <w:pPr>
        <w:spacing w:after="160" w:line="259" w:lineRule="auto"/>
        <w:contextualSpacing/>
        <w:rPr>
          <w:rFonts w:eastAsia="Calibri" w:cs="Arial"/>
          <w:szCs w:val="22"/>
        </w:rPr>
      </w:pPr>
    </w:p>
    <w:p w14:paraId="40D8CFFF" w14:textId="77777777" w:rsidR="00DC4E66" w:rsidRDefault="00DC4E66" w:rsidP="00DC4E66">
      <w:pPr>
        <w:spacing w:after="160" w:line="259" w:lineRule="auto"/>
        <w:contextualSpacing/>
        <w:rPr>
          <w:rFonts w:eastAsia="Calibri" w:cs="Arial"/>
          <w:szCs w:val="22"/>
        </w:rPr>
      </w:pPr>
      <w:r w:rsidRPr="00083530">
        <w:rPr>
          <w:rFonts w:eastAsia="Calibri" w:cs="Arial"/>
          <w:szCs w:val="22"/>
        </w:rPr>
        <w:t xml:space="preserve">It is also assumed that the different components of the broader UNDP area-based development interventions for the </w:t>
      </w:r>
      <w:proofErr w:type="spellStart"/>
      <w:r w:rsidRPr="00083530">
        <w:rPr>
          <w:rFonts w:eastAsia="Calibri" w:cs="Arial"/>
          <w:szCs w:val="22"/>
        </w:rPr>
        <w:t>Bijagós</w:t>
      </w:r>
      <w:proofErr w:type="spellEnd"/>
      <w:r w:rsidRPr="00083530">
        <w:rPr>
          <w:rFonts w:eastAsia="Calibri" w:cs="Arial"/>
          <w:szCs w:val="22"/>
        </w:rPr>
        <w:t xml:space="preserve"> Islands and the </w:t>
      </w:r>
      <w:proofErr w:type="spellStart"/>
      <w:r w:rsidRPr="00083530">
        <w:rPr>
          <w:rFonts w:eastAsia="Calibri" w:cs="Arial"/>
          <w:szCs w:val="22"/>
        </w:rPr>
        <w:t>Cacheu</w:t>
      </w:r>
      <w:proofErr w:type="spellEnd"/>
      <w:r w:rsidRPr="00083530">
        <w:rPr>
          <w:rFonts w:eastAsia="Calibri" w:cs="Arial"/>
          <w:szCs w:val="22"/>
        </w:rPr>
        <w:t xml:space="preserve"> River Basin are funded and implemented as planned, and that the UNDP GEF initiative establishes a conducive environment for </w:t>
      </w:r>
      <w:proofErr w:type="spellStart"/>
      <w:r w:rsidRPr="00083530">
        <w:rPr>
          <w:rFonts w:eastAsia="Calibri" w:cs="Arial"/>
          <w:szCs w:val="22"/>
        </w:rPr>
        <w:t>minigrids</w:t>
      </w:r>
      <w:proofErr w:type="spellEnd"/>
      <w:r w:rsidRPr="00083530">
        <w:rPr>
          <w:rFonts w:eastAsia="Calibri" w:cs="Arial"/>
          <w:szCs w:val="22"/>
        </w:rPr>
        <w:t xml:space="preserve"> to contribute to rural electrification in the country.</w:t>
      </w:r>
    </w:p>
    <w:p w14:paraId="58B04CEA" w14:textId="77777777" w:rsidR="00DC4E66" w:rsidRPr="00083530" w:rsidRDefault="00DC4E66" w:rsidP="00DC4E66">
      <w:pPr>
        <w:spacing w:after="160" w:line="259" w:lineRule="auto"/>
        <w:contextualSpacing/>
        <w:rPr>
          <w:rFonts w:eastAsia="Calibri" w:cs="Arial"/>
          <w:szCs w:val="22"/>
        </w:rPr>
      </w:pPr>
    </w:p>
    <w:p w14:paraId="682BDA3F" w14:textId="7E83A0B2" w:rsidR="00221E00" w:rsidRPr="00221E00" w:rsidRDefault="00DC4E66" w:rsidP="00DC4E66">
      <w:pPr>
        <w:spacing w:line="259" w:lineRule="auto"/>
        <w:rPr>
          <w:lang w:val="en-CA"/>
        </w:rPr>
      </w:pPr>
      <w:r w:rsidRPr="00083530">
        <w:rPr>
          <w:rFonts w:eastAsia="Calibri" w:cs="Arial"/>
          <w:szCs w:val="22"/>
        </w:rPr>
        <w:t xml:space="preserve">It is assumed that all stakeholders in the target areas – local Government, civil society, and the private sector – are well disposed toward tourism development and willing to participate fully in </w:t>
      </w:r>
      <w:r>
        <w:rPr>
          <w:rFonts w:eastAsia="Calibri" w:cs="Arial"/>
          <w:szCs w:val="22"/>
        </w:rPr>
        <w:t>Project</w:t>
      </w:r>
      <w:r w:rsidRPr="00083530">
        <w:rPr>
          <w:rFonts w:eastAsia="Calibri" w:cs="Arial"/>
          <w:szCs w:val="22"/>
        </w:rPr>
        <w:t xml:space="preserve"> efforts to assess needs and co-design, manage and monitor catalytic development interventions in support of inclusive sector growth</w:t>
      </w:r>
      <w:r>
        <w:rPr>
          <w:rFonts w:eastAsia="Calibri" w:cs="Arial"/>
          <w:szCs w:val="22"/>
        </w:rPr>
        <w:t>.</w:t>
      </w:r>
    </w:p>
    <w:p w14:paraId="419A837F" w14:textId="21CCA8F7" w:rsidR="009202DD" w:rsidRPr="007E639B" w:rsidRDefault="7F2CD794" w:rsidP="007E639B">
      <w:pPr>
        <w:spacing w:line="259" w:lineRule="auto"/>
        <w:rPr>
          <w:lang w:val="en-CA"/>
        </w:rPr>
      </w:pPr>
      <w:r w:rsidRPr="4C0F1B78">
        <w:rPr>
          <w:lang w:val="en-CA"/>
        </w:rPr>
        <w:t xml:space="preserve"> </w:t>
      </w:r>
    </w:p>
    <w:p w14:paraId="5FB378AD" w14:textId="77777777" w:rsidR="00F919D7" w:rsidRPr="00051C87" w:rsidRDefault="00D55D40" w:rsidP="00F82BB6">
      <w:pPr>
        <w:pStyle w:val="Heading1"/>
        <w:pBdr>
          <w:top w:val="single" w:sz="4" w:space="0" w:color="auto"/>
        </w:pBdr>
      </w:pPr>
      <w:r>
        <w:t>Results and</w:t>
      </w:r>
      <w:r w:rsidR="00601694">
        <w:t xml:space="preserve"> Partnerships</w:t>
      </w:r>
      <w:r w:rsidR="00106518">
        <w:t xml:space="preserve"> </w:t>
      </w:r>
    </w:p>
    <w:p w14:paraId="1F505526" w14:textId="77777777" w:rsidR="00ED07BC" w:rsidRDefault="00ED07BC" w:rsidP="00ED07BC">
      <w:pPr>
        <w:spacing w:after="160" w:line="259" w:lineRule="auto"/>
        <w:contextualSpacing/>
        <w:rPr>
          <w:rFonts w:cs="Arial"/>
          <w:b/>
          <w:i/>
          <w:szCs w:val="22"/>
        </w:rPr>
      </w:pPr>
      <w:r w:rsidRPr="00F90B35">
        <w:rPr>
          <w:rFonts w:cs="Arial"/>
          <w:b/>
          <w:i/>
          <w:szCs w:val="22"/>
        </w:rPr>
        <w:t>Expected Results</w:t>
      </w:r>
    </w:p>
    <w:p w14:paraId="67DF661F" w14:textId="77777777" w:rsidR="00ED07BC" w:rsidRPr="00F90B35" w:rsidRDefault="00ED07BC" w:rsidP="00ED07BC">
      <w:pPr>
        <w:spacing w:after="160" w:line="259" w:lineRule="auto"/>
        <w:contextualSpacing/>
        <w:rPr>
          <w:rFonts w:cs="Arial"/>
          <w:b/>
          <w:i/>
          <w:szCs w:val="22"/>
        </w:rPr>
      </w:pPr>
    </w:p>
    <w:p w14:paraId="005DB2DE" w14:textId="77777777" w:rsidR="00ED07BC" w:rsidRDefault="00ED07BC" w:rsidP="00ED07BC">
      <w:pPr>
        <w:spacing w:after="160" w:line="259" w:lineRule="auto"/>
        <w:contextualSpacing/>
        <w:rPr>
          <w:rFonts w:eastAsia="Calibri" w:cs="Arial"/>
          <w:szCs w:val="22"/>
        </w:rPr>
      </w:pPr>
      <w:r w:rsidRPr="00F90B35">
        <w:rPr>
          <w:rFonts w:eastAsia="Calibri" w:cs="Arial"/>
          <w:szCs w:val="22"/>
        </w:rPr>
        <w:t xml:space="preserve">Representing 10% of world GDP, 1 in 10 jobs and 7% of global exports, tourism has a decisive role to play in the achievement of the 2030 Agenda. The sector is mentioned in, and must deliver on, three of the 17 SDGs, namely SDG 8 on ‘Decent Work and Economic Growth’, SDG 12 on ‘Responsible Consumption and Production’ and SDG 14 on ‘Life below Water’. </w:t>
      </w:r>
    </w:p>
    <w:p w14:paraId="25A3AEF0" w14:textId="77777777" w:rsidR="00ED07BC" w:rsidRPr="00F90B35" w:rsidRDefault="00ED07BC" w:rsidP="00ED07BC">
      <w:pPr>
        <w:spacing w:after="160" w:line="259" w:lineRule="auto"/>
        <w:contextualSpacing/>
        <w:rPr>
          <w:rFonts w:eastAsia="Calibri" w:cs="Arial"/>
          <w:szCs w:val="22"/>
        </w:rPr>
      </w:pPr>
      <w:r w:rsidRPr="00F90B35">
        <w:rPr>
          <w:rFonts w:eastAsia="Calibri" w:cs="Arial"/>
          <w:szCs w:val="22"/>
        </w:rPr>
        <w:t xml:space="preserve"> </w:t>
      </w:r>
    </w:p>
    <w:p w14:paraId="137B0130" w14:textId="77777777" w:rsidR="00ED07BC" w:rsidRDefault="00ED07BC" w:rsidP="00ED07BC">
      <w:pPr>
        <w:spacing w:after="160" w:line="259" w:lineRule="auto"/>
        <w:contextualSpacing/>
        <w:rPr>
          <w:rFonts w:eastAsia="Calibri" w:cs="Arial"/>
          <w:szCs w:val="22"/>
        </w:rPr>
      </w:pPr>
      <w:r w:rsidRPr="00F90B35">
        <w:rPr>
          <w:rFonts w:eastAsia="Calibri" w:cs="Arial"/>
          <w:szCs w:val="22"/>
        </w:rPr>
        <w:t xml:space="preserve">The Results Framework of the </w:t>
      </w:r>
      <w:r>
        <w:rPr>
          <w:rFonts w:eastAsia="Calibri" w:cs="Arial"/>
          <w:szCs w:val="22"/>
        </w:rPr>
        <w:t>Project</w:t>
      </w:r>
      <w:r w:rsidRPr="00F90B35">
        <w:rPr>
          <w:rFonts w:eastAsia="Calibri" w:cs="Arial"/>
          <w:szCs w:val="22"/>
        </w:rPr>
        <w:t xml:space="preserve"> herein is aligned to support Guinea Bissau to achieve or progress toward the following SDG targets directly:</w:t>
      </w:r>
    </w:p>
    <w:p w14:paraId="70E941B0" w14:textId="77777777" w:rsidR="00ED07BC" w:rsidRPr="00F90B35" w:rsidRDefault="00ED07BC" w:rsidP="00ED07BC">
      <w:pPr>
        <w:spacing w:after="160" w:line="259" w:lineRule="auto"/>
        <w:contextualSpacing/>
        <w:rPr>
          <w:rFonts w:eastAsia="Calibri" w:cs="Arial"/>
          <w:szCs w:val="22"/>
        </w:rPr>
      </w:pPr>
    </w:p>
    <w:p w14:paraId="3F89E011" w14:textId="77777777" w:rsidR="00ED07BC" w:rsidRPr="00F90B35" w:rsidRDefault="00ED07BC" w:rsidP="00ED07BC">
      <w:pPr>
        <w:spacing w:after="160" w:line="259" w:lineRule="auto"/>
        <w:ind w:left="1985" w:hanging="1985"/>
        <w:contextualSpacing/>
        <w:rPr>
          <w:rFonts w:eastAsia="Calibri" w:cs="Arial"/>
          <w:szCs w:val="22"/>
        </w:rPr>
      </w:pPr>
      <w:r w:rsidRPr="00F90B35">
        <w:rPr>
          <w:rFonts w:eastAsia="Calibri" w:cs="Arial"/>
          <w:szCs w:val="22"/>
        </w:rPr>
        <w:t xml:space="preserve">SDG target 8.9: </w:t>
      </w:r>
      <w:r w:rsidRPr="00F90B35">
        <w:rPr>
          <w:rFonts w:eastAsia="Calibri" w:cs="Arial"/>
          <w:szCs w:val="22"/>
        </w:rPr>
        <w:tab/>
        <w:t>By 2030, devise and implement policies to promote sustainable tourism that creates jobs and promotes local culture and products.</w:t>
      </w:r>
    </w:p>
    <w:p w14:paraId="2765D201" w14:textId="77777777" w:rsidR="00ED07BC" w:rsidRPr="00F90B35" w:rsidRDefault="00ED07BC" w:rsidP="00ED07BC">
      <w:pPr>
        <w:spacing w:after="160" w:line="259" w:lineRule="auto"/>
        <w:ind w:left="1985" w:hanging="1985"/>
        <w:contextualSpacing/>
        <w:rPr>
          <w:rFonts w:eastAsia="Calibri" w:cs="Arial"/>
          <w:szCs w:val="22"/>
        </w:rPr>
      </w:pPr>
      <w:r w:rsidRPr="00F90B35">
        <w:rPr>
          <w:rFonts w:eastAsia="Calibri" w:cs="Arial"/>
          <w:szCs w:val="22"/>
        </w:rPr>
        <w:t xml:space="preserve">SDG target 12.b: </w:t>
      </w:r>
      <w:r w:rsidRPr="00F90B35">
        <w:rPr>
          <w:rFonts w:eastAsia="Calibri" w:cs="Arial"/>
          <w:szCs w:val="22"/>
        </w:rPr>
        <w:tab/>
        <w:t>Develop and implement tools to monitor sustainable development impacts for sustainable tourism that creates jobs and promotes local culture and products.</w:t>
      </w:r>
    </w:p>
    <w:p w14:paraId="08364470" w14:textId="77777777" w:rsidR="00ED07BC" w:rsidRPr="00F90B35" w:rsidRDefault="00ED07BC" w:rsidP="00ED07BC">
      <w:pPr>
        <w:spacing w:after="160" w:line="259" w:lineRule="auto"/>
        <w:ind w:left="1985" w:hanging="1985"/>
        <w:contextualSpacing/>
        <w:rPr>
          <w:rFonts w:eastAsia="Calibri" w:cs="Arial"/>
          <w:szCs w:val="22"/>
        </w:rPr>
      </w:pPr>
      <w:r w:rsidRPr="00F90B35">
        <w:rPr>
          <w:rFonts w:eastAsia="Calibri" w:cs="Arial"/>
          <w:szCs w:val="22"/>
        </w:rPr>
        <w:t>SDG target 7.1:</w:t>
      </w:r>
      <w:r w:rsidRPr="00F90B35">
        <w:rPr>
          <w:rFonts w:eastAsia="Calibri" w:cs="Arial"/>
          <w:szCs w:val="22"/>
        </w:rPr>
        <w:tab/>
        <w:t xml:space="preserve">By 2030, ensure universal access to affordable, </w:t>
      </w:r>
      <w:proofErr w:type="gramStart"/>
      <w:r w:rsidRPr="00F90B35">
        <w:rPr>
          <w:rFonts w:eastAsia="Calibri" w:cs="Arial"/>
          <w:szCs w:val="22"/>
        </w:rPr>
        <w:t>reliable</w:t>
      </w:r>
      <w:proofErr w:type="gramEnd"/>
      <w:r w:rsidRPr="00F90B35">
        <w:rPr>
          <w:rFonts w:eastAsia="Calibri" w:cs="Arial"/>
          <w:szCs w:val="22"/>
        </w:rPr>
        <w:t xml:space="preserve"> and modern energy services.</w:t>
      </w:r>
    </w:p>
    <w:p w14:paraId="24EC2886" w14:textId="77777777" w:rsidR="00ED07BC" w:rsidRPr="00F90B35" w:rsidRDefault="00ED07BC" w:rsidP="00ED07BC">
      <w:pPr>
        <w:spacing w:after="160" w:line="259" w:lineRule="auto"/>
        <w:ind w:left="1985" w:hanging="1985"/>
        <w:contextualSpacing/>
        <w:rPr>
          <w:rFonts w:eastAsia="Calibri" w:cs="Arial"/>
          <w:szCs w:val="22"/>
        </w:rPr>
      </w:pPr>
      <w:r w:rsidRPr="00F90B35">
        <w:rPr>
          <w:rFonts w:eastAsia="Calibri" w:cs="Arial"/>
          <w:szCs w:val="22"/>
        </w:rPr>
        <w:t>SDG target 11.3:</w:t>
      </w:r>
      <w:r w:rsidRPr="00F90B35">
        <w:rPr>
          <w:rFonts w:eastAsia="Calibri" w:cs="Arial"/>
          <w:szCs w:val="22"/>
        </w:rPr>
        <w:tab/>
      </w:r>
      <w:r w:rsidRPr="00F90B35">
        <w:rPr>
          <w:rFonts w:eastAsia="Calibri" w:cs="Arial"/>
          <w:color w:val="000000"/>
          <w:szCs w:val="22"/>
          <w:lang w:eastAsia="en-GB"/>
        </w:rPr>
        <w:t xml:space="preserve">By 2030, enhance inclusive and sustainable urbanization and capacity for participatory, </w:t>
      </w:r>
      <w:proofErr w:type="gramStart"/>
      <w:r w:rsidRPr="00F90B35">
        <w:rPr>
          <w:rFonts w:eastAsia="Calibri" w:cs="Arial"/>
          <w:color w:val="000000"/>
          <w:szCs w:val="22"/>
          <w:lang w:eastAsia="en-GB"/>
        </w:rPr>
        <w:t>integrated</w:t>
      </w:r>
      <w:proofErr w:type="gramEnd"/>
      <w:r w:rsidRPr="00F90B35">
        <w:rPr>
          <w:rFonts w:eastAsia="Calibri" w:cs="Arial"/>
          <w:color w:val="000000"/>
          <w:szCs w:val="22"/>
          <w:lang w:eastAsia="en-GB"/>
        </w:rPr>
        <w:t xml:space="preserve"> and sustainable human settlement planning and management in all countries</w:t>
      </w:r>
    </w:p>
    <w:p w14:paraId="12DB5A20" w14:textId="77777777" w:rsidR="00ED07BC" w:rsidRPr="00F90B35" w:rsidRDefault="00ED07BC" w:rsidP="00ED07BC">
      <w:pPr>
        <w:spacing w:after="160" w:line="259" w:lineRule="auto"/>
        <w:ind w:left="1985" w:hanging="1985"/>
        <w:contextualSpacing/>
        <w:rPr>
          <w:rFonts w:eastAsia="Calibri" w:cs="Arial"/>
          <w:szCs w:val="22"/>
        </w:rPr>
      </w:pPr>
      <w:r w:rsidRPr="00F90B35">
        <w:rPr>
          <w:rFonts w:eastAsia="Calibri" w:cs="Arial"/>
          <w:szCs w:val="22"/>
        </w:rPr>
        <w:t>SDG target 11.4</w:t>
      </w:r>
      <w:r>
        <w:rPr>
          <w:rFonts w:eastAsia="Calibri" w:cs="Arial"/>
          <w:szCs w:val="22"/>
        </w:rPr>
        <w:t>:</w:t>
      </w:r>
      <w:r w:rsidRPr="00F90B35">
        <w:rPr>
          <w:rFonts w:eastAsia="Calibri" w:cs="Arial"/>
          <w:szCs w:val="22"/>
        </w:rPr>
        <w:t xml:space="preserve">   By 2030, strengthen efforts to protect and safeguard the world’s cultural and natural heritage</w:t>
      </w:r>
    </w:p>
    <w:p w14:paraId="041D2F02" w14:textId="77777777" w:rsidR="00ED07BC" w:rsidRDefault="00ED07BC" w:rsidP="00ED07BC">
      <w:pPr>
        <w:spacing w:after="160" w:line="259" w:lineRule="auto"/>
        <w:ind w:left="1985" w:hanging="1985"/>
        <w:contextualSpacing/>
        <w:rPr>
          <w:rFonts w:eastAsia="Calibri" w:cs="Arial"/>
          <w:szCs w:val="22"/>
        </w:rPr>
      </w:pPr>
      <w:r w:rsidRPr="00F90B35">
        <w:rPr>
          <w:rFonts w:eastAsia="Calibri" w:cs="Arial"/>
          <w:szCs w:val="22"/>
        </w:rPr>
        <w:t>SDG target 11.A</w:t>
      </w:r>
      <w:r>
        <w:rPr>
          <w:rFonts w:eastAsia="Calibri" w:cs="Arial"/>
          <w:szCs w:val="22"/>
        </w:rPr>
        <w:t>:</w:t>
      </w:r>
      <w:r w:rsidRPr="00F90B35">
        <w:rPr>
          <w:rFonts w:eastAsia="Calibri" w:cs="Arial"/>
          <w:szCs w:val="22"/>
        </w:rPr>
        <w:t xml:space="preserve"> </w:t>
      </w:r>
      <w:r w:rsidRPr="00F90B35">
        <w:rPr>
          <w:rFonts w:eastAsia="Calibri" w:cs="Arial"/>
          <w:szCs w:val="22"/>
        </w:rPr>
        <w:tab/>
        <w:t xml:space="preserve">By 2030, support positive economic, </w:t>
      </w:r>
      <w:proofErr w:type="gramStart"/>
      <w:r w:rsidRPr="00F90B35">
        <w:rPr>
          <w:rFonts w:eastAsia="Calibri" w:cs="Arial"/>
          <w:szCs w:val="22"/>
        </w:rPr>
        <w:t>social</w:t>
      </w:r>
      <w:proofErr w:type="gramEnd"/>
      <w:r w:rsidRPr="00F90B35">
        <w:rPr>
          <w:rFonts w:eastAsia="Calibri" w:cs="Arial"/>
          <w:szCs w:val="22"/>
        </w:rPr>
        <w:t xml:space="preserve"> and environmental links between urban, peri-urban and rural areas by strengthening national and regional development planning</w:t>
      </w:r>
    </w:p>
    <w:p w14:paraId="6EA107BC" w14:textId="77777777" w:rsidR="00ED07BC" w:rsidRPr="00F90B35" w:rsidRDefault="00ED07BC" w:rsidP="00ED07BC">
      <w:pPr>
        <w:spacing w:after="160" w:line="259" w:lineRule="auto"/>
        <w:ind w:left="1985" w:hanging="1985"/>
        <w:contextualSpacing/>
        <w:rPr>
          <w:rFonts w:eastAsia="Calibri" w:cs="Arial"/>
          <w:szCs w:val="22"/>
        </w:rPr>
      </w:pPr>
    </w:p>
    <w:p w14:paraId="32B2B75A" w14:textId="77777777" w:rsidR="00ED07BC" w:rsidRPr="00E51F6D" w:rsidRDefault="00ED07BC" w:rsidP="00ED07BC">
      <w:pPr>
        <w:spacing w:after="160" w:line="259" w:lineRule="auto"/>
        <w:contextualSpacing/>
        <w:rPr>
          <w:rFonts w:eastAsia="Calibri" w:cs="Arial"/>
          <w:szCs w:val="22"/>
        </w:rPr>
      </w:pPr>
      <w:r w:rsidRPr="00E51F6D">
        <w:rPr>
          <w:rFonts w:eastAsia="Calibri" w:cs="Arial"/>
          <w:szCs w:val="22"/>
        </w:rPr>
        <w:t xml:space="preserve">The Project will also contribute to achievement of SDG target 14.7: </w:t>
      </w:r>
      <w:r w:rsidRPr="00E51F6D">
        <w:rPr>
          <w:rFonts w:eastAsia="Calibri" w:cs="Arial"/>
          <w:i/>
          <w:iCs/>
          <w:szCs w:val="22"/>
        </w:rPr>
        <w:t xml:space="preserve">By 2030, increase the economic benefits to Small Island Developing States and least developed countries from the sustainable use of marine resources, including through sustainable management of fisheries, </w:t>
      </w:r>
      <w:proofErr w:type="gramStart"/>
      <w:r w:rsidRPr="00E51F6D">
        <w:rPr>
          <w:rFonts w:eastAsia="Calibri" w:cs="Arial"/>
          <w:i/>
          <w:iCs/>
          <w:szCs w:val="22"/>
        </w:rPr>
        <w:t>aquaculture</w:t>
      </w:r>
      <w:proofErr w:type="gramEnd"/>
      <w:r w:rsidRPr="00E51F6D">
        <w:rPr>
          <w:rFonts w:eastAsia="Calibri" w:cs="Arial"/>
          <w:i/>
          <w:iCs/>
          <w:szCs w:val="22"/>
        </w:rPr>
        <w:t xml:space="preserve"> and tourism.</w:t>
      </w:r>
      <w:r w:rsidRPr="00E51F6D">
        <w:rPr>
          <w:rFonts w:eastAsia="Calibri" w:cs="Arial"/>
          <w:szCs w:val="22"/>
        </w:rPr>
        <w:t xml:space="preserve"> The economic benefits referenced are defined as the aspiration of the Government of Guinea Bissau for the tourism sector to contribute 10% of GDP by 2030, and for it to drive achievement of SDG targets 1.2 and 1.1 for halving poverty and eradicating extreme poverty in the tourist destination areas. Commitment to leaving no-one behind requires that the overall effort should also be designed to secure SDG target 10.2, </w:t>
      </w:r>
      <w:r w:rsidRPr="00E51F6D">
        <w:rPr>
          <w:rFonts w:eastAsia="Calibri" w:cs="Arial"/>
          <w:i/>
          <w:iCs/>
          <w:szCs w:val="22"/>
        </w:rPr>
        <w:t>By 2030, progressively achieve and sustain income growth of the bottom 40 per cent of the population at a rate higher than the national average</w:t>
      </w:r>
      <w:proofErr w:type="gramStart"/>
      <w:r w:rsidRPr="00E51F6D">
        <w:rPr>
          <w:rFonts w:eastAsia="Calibri" w:cs="Arial"/>
          <w:szCs w:val="22"/>
        </w:rPr>
        <w:t xml:space="preserve">.  </w:t>
      </w:r>
      <w:proofErr w:type="gramEnd"/>
    </w:p>
    <w:p w14:paraId="0D30BB82" w14:textId="77777777" w:rsidR="00ED07BC" w:rsidRPr="00E51F6D" w:rsidRDefault="00ED07BC" w:rsidP="00ED07BC">
      <w:pPr>
        <w:spacing w:after="160" w:line="259" w:lineRule="auto"/>
        <w:contextualSpacing/>
        <w:rPr>
          <w:rFonts w:cs="Arial"/>
          <w:b/>
          <w:i/>
          <w:szCs w:val="22"/>
        </w:rPr>
      </w:pPr>
    </w:p>
    <w:p w14:paraId="21962C77" w14:textId="5E23C42F" w:rsidR="00ED07BC" w:rsidRDefault="00ED07BC" w:rsidP="00D56585">
      <w:pPr>
        <w:spacing w:after="160" w:line="259" w:lineRule="auto"/>
        <w:contextualSpacing/>
        <w:rPr>
          <w:rFonts w:cs="Arial"/>
          <w:szCs w:val="22"/>
        </w:rPr>
      </w:pPr>
      <w:r w:rsidRPr="00E51F6D">
        <w:rPr>
          <w:rFonts w:cs="Arial"/>
          <w:szCs w:val="22"/>
        </w:rPr>
        <w:t>Ecotourism cannot be powered by diesel generators, and the provision of broad and reliable access to renewable energy is understood as both prerequisite and potential catalyst of inclusive sector growth</w:t>
      </w:r>
      <w:proofErr w:type="gramStart"/>
      <w:r w:rsidRPr="00E51F6D">
        <w:rPr>
          <w:rFonts w:cs="Arial"/>
          <w:szCs w:val="22"/>
        </w:rPr>
        <w:t xml:space="preserve">.  </w:t>
      </w:r>
      <w:proofErr w:type="gramEnd"/>
      <w:r w:rsidRPr="00E51F6D">
        <w:rPr>
          <w:rFonts w:cs="Arial"/>
          <w:szCs w:val="22"/>
        </w:rPr>
        <w:t xml:space="preserve">By promoting investments in clean energy sources, tourism can help to reduce greenhouse gases, mitigate climate </w:t>
      </w:r>
      <w:proofErr w:type="gramStart"/>
      <w:r w:rsidRPr="00E51F6D">
        <w:rPr>
          <w:rFonts w:cs="Arial"/>
          <w:szCs w:val="22"/>
        </w:rPr>
        <w:t>change</w:t>
      </w:r>
      <w:proofErr w:type="gramEnd"/>
      <w:r w:rsidRPr="00E51F6D">
        <w:rPr>
          <w:rFonts w:cs="Arial"/>
          <w:szCs w:val="22"/>
        </w:rPr>
        <w:t xml:space="preserve"> and contribute to access of energy for all, and also protect and safeguard the world’s cultural and natural heritage (SDG target 11.4).  Additionally, investment in renewable energy will enhance economic stability and resilience as well as reduce pressure on balance of payment and vulnerability to economic shocks, associated with reliance on imported fossil fuel. The </w:t>
      </w:r>
      <w:r>
        <w:rPr>
          <w:rFonts w:cs="Arial"/>
          <w:szCs w:val="22"/>
        </w:rPr>
        <w:t>Project</w:t>
      </w:r>
      <w:r w:rsidRPr="00E51F6D">
        <w:rPr>
          <w:rFonts w:cs="Arial"/>
          <w:szCs w:val="22"/>
        </w:rPr>
        <w:t xml:space="preserve">, therefore, will establish plans for the provision of solar home systems and development of solar mini-grids, and pilot innovative models for financing and community management partnerships, directly contributing toward achievement of </w:t>
      </w:r>
      <w:bookmarkStart w:id="11" w:name="_Hlk78535902"/>
      <w:r w:rsidRPr="00E51F6D">
        <w:rPr>
          <w:rFonts w:cs="Arial"/>
          <w:szCs w:val="22"/>
        </w:rPr>
        <w:t xml:space="preserve">SDG target 7.1, </w:t>
      </w:r>
      <w:bookmarkEnd w:id="11"/>
    </w:p>
    <w:p w14:paraId="19349A97" w14:textId="77777777" w:rsidR="00ED07BC" w:rsidRPr="00E51F6D" w:rsidRDefault="00ED07BC" w:rsidP="00ED07BC">
      <w:pPr>
        <w:spacing w:after="160" w:line="259" w:lineRule="auto"/>
        <w:contextualSpacing/>
        <w:rPr>
          <w:rFonts w:cs="Arial"/>
          <w:szCs w:val="22"/>
        </w:rPr>
      </w:pPr>
    </w:p>
    <w:p w14:paraId="121B3FAA" w14:textId="77777777" w:rsidR="00ED07BC" w:rsidRDefault="00ED07BC" w:rsidP="00ED07BC">
      <w:pPr>
        <w:shd w:val="clear" w:color="auto" w:fill="FFFFFF"/>
        <w:spacing w:after="160" w:line="259" w:lineRule="auto"/>
        <w:contextualSpacing/>
        <w:rPr>
          <w:rFonts w:cs="Arial"/>
          <w:spacing w:val="-5"/>
          <w:szCs w:val="22"/>
          <w:lang w:eastAsia="en-GB"/>
        </w:rPr>
      </w:pPr>
      <w:r w:rsidRPr="00E51F6D">
        <w:rPr>
          <w:rFonts w:cs="Arial"/>
          <w:szCs w:val="22"/>
          <w:lang w:eastAsia="en-GB"/>
        </w:rPr>
        <w:t xml:space="preserve">Tourism development in Guinea Bissau can also be productively geared toward progressing SDG target 5.5, </w:t>
      </w:r>
      <w:r w:rsidRPr="00E51F6D">
        <w:rPr>
          <w:rFonts w:cs="Arial"/>
          <w:i/>
          <w:iCs/>
          <w:szCs w:val="22"/>
          <w:lang w:eastAsia="en-GB"/>
        </w:rPr>
        <w:t xml:space="preserve">Ensure women’s full and effective participation and equal opportunities for leadership at all levels of decision-making in political, </w:t>
      </w:r>
      <w:proofErr w:type="gramStart"/>
      <w:r w:rsidRPr="00E51F6D">
        <w:rPr>
          <w:rFonts w:cs="Arial"/>
          <w:i/>
          <w:iCs/>
          <w:szCs w:val="22"/>
          <w:lang w:eastAsia="en-GB"/>
        </w:rPr>
        <w:t>economic</w:t>
      </w:r>
      <w:proofErr w:type="gramEnd"/>
      <w:r w:rsidRPr="00E51F6D">
        <w:rPr>
          <w:rFonts w:cs="Arial"/>
          <w:i/>
          <w:iCs/>
          <w:szCs w:val="22"/>
          <w:lang w:eastAsia="en-GB"/>
        </w:rPr>
        <w:t xml:space="preserve"> and public life.</w:t>
      </w:r>
      <w:r w:rsidRPr="00E51F6D">
        <w:rPr>
          <w:rFonts w:cs="Arial"/>
          <w:spacing w:val="-5"/>
          <w:szCs w:val="22"/>
          <w:lang w:eastAsia="en-GB"/>
        </w:rPr>
        <w:t xml:space="preserve"> Across the world, women make up most workers in the tourism industry, though they tend to be clustered in low-skilled jobs. Women constitute more than half of those employed in the accommodation and food services sectors – the core tourism-related economic activities – in 20 out of 28 SIDS for which data are available</w:t>
      </w:r>
      <w:proofErr w:type="gramStart"/>
      <w:r w:rsidRPr="00E51F6D">
        <w:rPr>
          <w:rFonts w:cs="Arial"/>
          <w:spacing w:val="-5"/>
          <w:szCs w:val="22"/>
          <w:lang w:eastAsia="en-GB"/>
        </w:rPr>
        <w:t xml:space="preserve">.  </w:t>
      </w:r>
      <w:proofErr w:type="gramEnd"/>
    </w:p>
    <w:p w14:paraId="3A662810" w14:textId="77777777" w:rsidR="00ED07BC" w:rsidRPr="00E51F6D" w:rsidRDefault="00ED07BC" w:rsidP="00ED07BC">
      <w:pPr>
        <w:shd w:val="clear" w:color="auto" w:fill="FFFFFF"/>
        <w:spacing w:after="160" w:line="259" w:lineRule="auto"/>
        <w:contextualSpacing/>
        <w:rPr>
          <w:rFonts w:cs="Arial"/>
          <w:spacing w:val="-5"/>
          <w:szCs w:val="22"/>
          <w:lang w:eastAsia="en-GB"/>
        </w:rPr>
      </w:pPr>
    </w:p>
    <w:p w14:paraId="7C1BB657" w14:textId="77777777" w:rsidR="00ED07BC" w:rsidRDefault="00ED07BC" w:rsidP="00ED07BC">
      <w:pPr>
        <w:spacing w:after="160" w:line="259" w:lineRule="auto"/>
        <w:contextualSpacing/>
        <w:rPr>
          <w:rFonts w:eastAsia="Calibri" w:cs="Arial"/>
          <w:szCs w:val="22"/>
        </w:rPr>
      </w:pPr>
      <w:r w:rsidRPr="00E51F6D">
        <w:rPr>
          <w:rFonts w:eastAsia="Calibri" w:cs="Arial"/>
          <w:szCs w:val="22"/>
        </w:rPr>
        <w:t>Tourism also poses challenges to the SDGs, however: unsustainable consumption and production, as well as poor management of natural resources and waste, impact mostly on SDGs 11, 12, and 14 on ‘Sustainable Cities and Communities’, ‘Responsible Production and Consumption’ and ‘Life below Water’, respectively</w:t>
      </w:r>
      <w:proofErr w:type="gramStart"/>
      <w:r w:rsidRPr="00E51F6D">
        <w:rPr>
          <w:rFonts w:eastAsia="Calibri" w:cs="Arial"/>
          <w:szCs w:val="22"/>
        </w:rPr>
        <w:t xml:space="preserve">.  </w:t>
      </w:r>
      <w:proofErr w:type="gramEnd"/>
      <w:r w:rsidRPr="00E51F6D">
        <w:rPr>
          <w:rFonts w:eastAsia="Calibri" w:cs="Arial"/>
          <w:szCs w:val="22"/>
        </w:rPr>
        <w:t xml:space="preserve">Another significant issue in Guinea Bissau will be to preserve intangible assets including the cultural heritage of the indigenous population of the </w:t>
      </w:r>
      <w:proofErr w:type="spellStart"/>
      <w:r w:rsidRPr="00E51F6D">
        <w:rPr>
          <w:rFonts w:eastAsia="Calibri" w:cs="Arial"/>
          <w:szCs w:val="22"/>
        </w:rPr>
        <w:t>Bijagós</w:t>
      </w:r>
      <w:proofErr w:type="spellEnd"/>
      <w:r w:rsidRPr="00E51F6D">
        <w:rPr>
          <w:rFonts w:eastAsia="Calibri" w:cs="Arial"/>
          <w:szCs w:val="22"/>
        </w:rPr>
        <w:t xml:space="preserve"> islands</w:t>
      </w:r>
      <w:proofErr w:type="gramStart"/>
      <w:r w:rsidRPr="00E51F6D">
        <w:rPr>
          <w:rFonts w:eastAsia="Calibri" w:cs="Arial"/>
          <w:szCs w:val="22"/>
        </w:rPr>
        <w:t xml:space="preserve">.  </w:t>
      </w:r>
      <w:proofErr w:type="gramEnd"/>
      <w:r w:rsidRPr="00E51F6D">
        <w:rPr>
          <w:rFonts w:eastAsia="Calibri" w:cs="Arial"/>
          <w:szCs w:val="22"/>
        </w:rPr>
        <w:t>Planning for sustainability shall then include a collaboratively built Master and Zoning Plan for Tourism in the Region and the establishment of the institutional structure for its implementation, which will allow residents to better plan and manage the use of their territorial resources</w:t>
      </w:r>
      <w:proofErr w:type="gramStart"/>
      <w:r w:rsidRPr="00E51F6D">
        <w:rPr>
          <w:rFonts w:eastAsia="Calibri" w:cs="Arial"/>
          <w:szCs w:val="22"/>
        </w:rPr>
        <w:t xml:space="preserve">.  </w:t>
      </w:r>
      <w:proofErr w:type="gramEnd"/>
      <w:r w:rsidRPr="00E51F6D">
        <w:rPr>
          <w:rFonts w:eastAsia="Calibri" w:cs="Arial"/>
          <w:szCs w:val="22"/>
        </w:rPr>
        <w:t>The Project will contribute to achievement of the SDG target 11.3, 11.4 and 11.A by ensuring local residents have the frameworks that allow them to better manage their territories</w:t>
      </w:r>
      <w:proofErr w:type="gramStart"/>
      <w:r w:rsidRPr="00E51F6D">
        <w:rPr>
          <w:rFonts w:eastAsia="Calibri" w:cs="Arial"/>
          <w:szCs w:val="22"/>
        </w:rPr>
        <w:t xml:space="preserve">.  </w:t>
      </w:r>
      <w:proofErr w:type="gramEnd"/>
    </w:p>
    <w:p w14:paraId="4E2F2137" w14:textId="77777777" w:rsidR="00ED07BC" w:rsidRPr="00E51F6D" w:rsidRDefault="00ED07BC" w:rsidP="00ED07BC">
      <w:pPr>
        <w:spacing w:after="160" w:line="259" w:lineRule="auto"/>
        <w:contextualSpacing/>
        <w:rPr>
          <w:rFonts w:eastAsia="Calibri" w:cs="Arial"/>
          <w:szCs w:val="22"/>
        </w:rPr>
      </w:pPr>
    </w:p>
    <w:p w14:paraId="733A6AE3" w14:textId="77777777" w:rsidR="00ED07BC" w:rsidRPr="00F90B35" w:rsidRDefault="00ED07BC" w:rsidP="00ED07BC">
      <w:pPr>
        <w:spacing w:after="160" w:line="259" w:lineRule="auto"/>
        <w:contextualSpacing/>
        <w:rPr>
          <w:rFonts w:cs="Arial"/>
          <w:b/>
          <w:i/>
          <w:szCs w:val="22"/>
        </w:rPr>
      </w:pPr>
    </w:p>
    <w:p w14:paraId="23237775" w14:textId="77777777" w:rsidR="00ED07BC" w:rsidRDefault="00ED07BC" w:rsidP="00ED07BC">
      <w:pPr>
        <w:spacing w:after="160" w:line="259" w:lineRule="auto"/>
        <w:ind w:left="1418" w:hanging="1418"/>
        <w:contextualSpacing/>
        <w:rPr>
          <w:rFonts w:cs="Arial"/>
          <w:b/>
          <w:bCs/>
          <w:i/>
          <w:iCs/>
          <w:color w:val="000000"/>
          <w:szCs w:val="22"/>
          <w:lang w:eastAsia="en-GB"/>
        </w:rPr>
      </w:pPr>
      <w:r w:rsidRPr="008C15F0">
        <w:rPr>
          <w:rFonts w:eastAsia="Calibri" w:cs="Arial"/>
          <w:b/>
          <w:bCs/>
          <w:i/>
          <w:iCs/>
          <w:szCs w:val="22"/>
        </w:rPr>
        <w:t>Outcome 1</w:t>
      </w:r>
      <w:r w:rsidRPr="008C15F0">
        <w:rPr>
          <w:rFonts w:eastAsia="Calibri" w:cs="Arial"/>
          <w:b/>
          <w:bCs/>
          <w:i/>
          <w:iCs/>
          <w:szCs w:val="22"/>
        </w:rPr>
        <w:tab/>
        <w:t xml:space="preserve">Capacities and </w:t>
      </w:r>
      <w:r w:rsidRPr="008C15F0">
        <w:rPr>
          <w:rFonts w:cs="Arial"/>
          <w:b/>
          <w:bCs/>
          <w:i/>
          <w:iCs/>
          <w:color w:val="000000"/>
          <w:szCs w:val="22"/>
          <w:lang w:eastAsia="en-GB"/>
        </w:rPr>
        <w:t xml:space="preserve">policy framework in place to </w:t>
      </w:r>
      <w:r>
        <w:rPr>
          <w:rFonts w:cs="Arial"/>
          <w:b/>
          <w:bCs/>
          <w:i/>
          <w:iCs/>
          <w:color w:val="000000"/>
          <w:szCs w:val="22"/>
          <w:lang w:eastAsia="en-GB"/>
        </w:rPr>
        <w:t xml:space="preserve">promote, </w:t>
      </w:r>
      <w:r w:rsidRPr="008C15F0">
        <w:rPr>
          <w:rFonts w:cs="Arial"/>
          <w:b/>
          <w:bCs/>
          <w:i/>
          <w:iCs/>
          <w:color w:val="000000"/>
          <w:szCs w:val="22"/>
          <w:lang w:eastAsia="en-GB"/>
        </w:rPr>
        <w:t>facilitate and monitor sustainable gender-responsive ecotourism development</w:t>
      </w:r>
    </w:p>
    <w:p w14:paraId="22AA9A0C" w14:textId="77777777" w:rsidR="00ED07BC" w:rsidRPr="008C15F0" w:rsidRDefault="00ED07BC" w:rsidP="00ED07BC">
      <w:pPr>
        <w:spacing w:after="160" w:line="259" w:lineRule="auto"/>
        <w:ind w:left="1418" w:hanging="1418"/>
        <w:contextualSpacing/>
        <w:rPr>
          <w:rFonts w:cs="Arial"/>
          <w:b/>
          <w:bCs/>
          <w:i/>
          <w:iCs/>
          <w:color w:val="000000"/>
          <w:szCs w:val="22"/>
          <w:lang w:eastAsia="en-GB"/>
        </w:rPr>
      </w:pPr>
    </w:p>
    <w:p w14:paraId="05E49056" w14:textId="77777777" w:rsidR="00ED07BC" w:rsidRDefault="00ED07BC" w:rsidP="00ED07BC">
      <w:pPr>
        <w:spacing w:after="160" w:line="259" w:lineRule="auto"/>
        <w:ind w:left="1418" w:hanging="1418"/>
        <w:contextualSpacing/>
        <w:rPr>
          <w:rFonts w:cs="Arial"/>
          <w:b/>
          <w:bCs/>
          <w:szCs w:val="22"/>
          <w:lang w:eastAsia="en-GB"/>
        </w:rPr>
      </w:pPr>
      <w:r w:rsidRPr="008C15F0">
        <w:rPr>
          <w:rFonts w:eastAsia="Calibri" w:cs="Arial"/>
          <w:b/>
          <w:bCs/>
          <w:szCs w:val="22"/>
        </w:rPr>
        <w:t>Output 1.1</w:t>
      </w:r>
      <w:r w:rsidRPr="008C15F0">
        <w:rPr>
          <w:rFonts w:eastAsia="Calibri" w:cs="Arial"/>
          <w:b/>
          <w:bCs/>
          <w:szCs w:val="22"/>
        </w:rPr>
        <w:tab/>
        <w:t>Gender-responsive ecot</w:t>
      </w:r>
      <w:r w:rsidRPr="008C15F0">
        <w:rPr>
          <w:rFonts w:cs="Arial"/>
          <w:b/>
          <w:bCs/>
          <w:szCs w:val="22"/>
          <w:lang w:eastAsia="en-GB"/>
        </w:rPr>
        <w:t xml:space="preserve">ourism development aligned and integrated with the national SDG effort </w:t>
      </w:r>
    </w:p>
    <w:p w14:paraId="2C81DBC8" w14:textId="77777777" w:rsidR="00ED07BC" w:rsidRPr="008C15F0" w:rsidRDefault="00ED07BC" w:rsidP="00ED07BC">
      <w:pPr>
        <w:spacing w:after="160" w:line="259" w:lineRule="auto"/>
        <w:ind w:left="1418" w:hanging="1418"/>
        <w:contextualSpacing/>
        <w:rPr>
          <w:rFonts w:cs="Arial"/>
          <w:b/>
          <w:bCs/>
          <w:szCs w:val="22"/>
          <w:lang w:eastAsia="en-GB"/>
        </w:rPr>
      </w:pPr>
    </w:p>
    <w:p w14:paraId="0CD94567" w14:textId="77777777" w:rsidR="00ED07BC" w:rsidRPr="008C15F0" w:rsidRDefault="00ED07BC" w:rsidP="00ED07BC">
      <w:pPr>
        <w:spacing w:after="160" w:line="259" w:lineRule="auto"/>
        <w:contextualSpacing/>
        <w:rPr>
          <w:rFonts w:cs="Arial"/>
          <w:szCs w:val="22"/>
        </w:rPr>
      </w:pPr>
      <w:r w:rsidRPr="008C15F0">
        <w:rPr>
          <w:rFonts w:eastAsia="Calibri" w:cs="Arial"/>
          <w:szCs w:val="22"/>
        </w:rPr>
        <w:t>The Project will strengthen dialogue between tourism p</w:t>
      </w:r>
      <w:r w:rsidRPr="008C15F0">
        <w:rPr>
          <w:rFonts w:cs="Arial"/>
          <w:szCs w:val="22"/>
        </w:rPr>
        <w:t>olicymakers and other line ministries to take advantage of tourism’s interlinkages with, and impacts on, other sectors and industries</w:t>
      </w:r>
      <w:proofErr w:type="gramStart"/>
      <w:r w:rsidRPr="008C15F0">
        <w:rPr>
          <w:rFonts w:cs="Arial"/>
          <w:szCs w:val="22"/>
        </w:rPr>
        <w:t xml:space="preserve">.  </w:t>
      </w:r>
      <w:proofErr w:type="gramEnd"/>
    </w:p>
    <w:p w14:paraId="0648274F" w14:textId="77777777" w:rsidR="00ED07BC" w:rsidRDefault="00ED07BC" w:rsidP="00ED07BC">
      <w:pPr>
        <w:spacing w:after="160" w:line="259" w:lineRule="auto"/>
        <w:contextualSpacing/>
        <w:rPr>
          <w:rFonts w:eastAsia="Calibri" w:cs="Arial"/>
          <w:iCs/>
          <w:szCs w:val="22"/>
        </w:rPr>
      </w:pPr>
    </w:p>
    <w:p w14:paraId="1918BF98" w14:textId="77777777" w:rsidR="00ED07BC" w:rsidRPr="008C15F0" w:rsidRDefault="00ED07BC" w:rsidP="00ED07BC">
      <w:pPr>
        <w:spacing w:after="160" w:line="259" w:lineRule="auto"/>
        <w:contextualSpacing/>
        <w:rPr>
          <w:rFonts w:eastAsia="Calibri" w:cs="Arial"/>
          <w:szCs w:val="22"/>
        </w:rPr>
      </w:pPr>
      <w:r w:rsidRPr="008C15F0">
        <w:rPr>
          <w:rFonts w:eastAsia="Calibri" w:cs="Arial"/>
          <w:iCs/>
          <w:szCs w:val="22"/>
        </w:rPr>
        <w:t>UNDP will support the Ministry of Tourism and Handicrafts to finalise the National Ecotourism Policy Charter and will facilitate UN WTO technical assistance to the Ministry in regard to national policy development, tourism marketing, and establishment of a monitoring and evaluation regime for ecotourism investment</w:t>
      </w:r>
      <w:proofErr w:type="gramStart"/>
      <w:r w:rsidRPr="008C15F0">
        <w:rPr>
          <w:rFonts w:eastAsia="Calibri" w:cs="Arial"/>
          <w:iCs/>
          <w:szCs w:val="22"/>
        </w:rPr>
        <w:t xml:space="preserve">.  </w:t>
      </w:r>
      <w:proofErr w:type="gramEnd"/>
      <w:r w:rsidRPr="008C15F0">
        <w:rPr>
          <w:rFonts w:eastAsia="Calibri" w:cs="Arial"/>
          <w:iCs/>
          <w:szCs w:val="22"/>
        </w:rPr>
        <w:t xml:space="preserve">UN WTOs initiative </w:t>
      </w:r>
      <w:r w:rsidRPr="008C15F0">
        <w:rPr>
          <w:rFonts w:eastAsia="Calibri" w:cs="Arial"/>
          <w:i/>
          <w:iCs/>
          <w:szCs w:val="22"/>
        </w:rPr>
        <w:t>Towards a Statistical Framework for Measuring Sustainable Tourism (MST)</w:t>
      </w:r>
      <w:r w:rsidRPr="008C15F0">
        <w:rPr>
          <w:rFonts w:eastAsia="Calibri" w:cs="Arial"/>
          <w:szCs w:val="22"/>
        </w:rPr>
        <w:t xml:space="preserve">, which supports the derivation of indicators for tracking tourism’s contribution towards the achievement of the SDGs, will be used to establish an integrated, </w:t>
      </w:r>
      <w:proofErr w:type="gramStart"/>
      <w:r w:rsidRPr="008C15F0">
        <w:rPr>
          <w:rFonts w:eastAsia="Calibri" w:cs="Arial"/>
          <w:szCs w:val="22"/>
        </w:rPr>
        <w:t>coherent</w:t>
      </w:r>
      <w:proofErr w:type="gramEnd"/>
      <w:r w:rsidRPr="008C15F0">
        <w:rPr>
          <w:rFonts w:eastAsia="Calibri" w:cs="Arial"/>
          <w:szCs w:val="22"/>
        </w:rPr>
        <w:t xml:space="preserve"> and robust information base for Guinea Bissau’s sustainable tourism policies</w:t>
      </w:r>
      <w:r w:rsidRPr="008C15F0">
        <w:rPr>
          <w:rFonts w:eastAsia="Calibri" w:cs="Arial"/>
          <w:szCs w:val="22"/>
          <w:vertAlign w:val="superscript"/>
        </w:rPr>
        <w:footnoteReference w:id="8"/>
      </w:r>
      <w:r w:rsidRPr="008C15F0">
        <w:rPr>
          <w:rFonts w:eastAsia="Calibri" w:cs="Arial"/>
          <w:szCs w:val="22"/>
        </w:rPr>
        <w:t>.</w:t>
      </w:r>
    </w:p>
    <w:p w14:paraId="657ADF0B" w14:textId="77777777" w:rsidR="00ED07BC" w:rsidRPr="008C15F0" w:rsidRDefault="00ED07BC" w:rsidP="00ED07BC">
      <w:pPr>
        <w:spacing w:after="160" w:line="259" w:lineRule="auto"/>
        <w:contextualSpacing/>
        <w:rPr>
          <w:rFonts w:eastAsia="Calibri" w:cs="Arial"/>
          <w:iCs/>
          <w:szCs w:val="22"/>
        </w:rPr>
      </w:pPr>
    </w:p>
    <w:p w14:paraId="546597B7" w14:textId="54BE88F7" w:rsidR="00ED07BC" w:rsidRPr="00EC2EA8" w:rsidRDefault="00ED07BC" w:rsidP="00EC2EA8">
      <w:pPr>
        <w:spacing w:after="160" w:line="259" w:lineRule="auto"/>
        <w:contextualSpacing/>
        <w:rPr>
          <w:rFonts w:eastAsia="Calibri" w:cs="Arial"/>
          <w:iCs/>
          <w:szCs w:val="22"/>
        </w:rPr>
      </w:pPr>
      <w:r w:rsidRPr="008C15F0">
        <w:rPr>
          <w:rFonts w:eastAsia="Calibri" w:cs="Arial"/>
          <w:iCs/>
          <w:szCs w:val="22"/>
        </w:rPr>
        <w:t xml:space="preserve">The Ministry will benefit from UNDP provision of SIDS analysis and experience in regard to tourism through south-south cooperation initiatives and through integration with the UN WTO-led </w:t>
      </w:r>
      <w:r w:rsidRPr="008C15F0">
        <w:rPr>
          <w:rFonts w:eastAsia="Calibri" w:cs="Arial"/>
          <w:szCs w:val="22"/>
        </w:rPr>
        <w:t>Sustainable Tourism Programme (STP) of the 10-Year Framework of Programmes on Sustainable Consumption and Production Patterns (10YFP)</w:t>
      </w:r>
      <w:proofErr w:type="gramStart"/>
      <w:r w:rsidRPr="008C15F0">
        <w:rPr>
          <w:rFonts w:eastAsia="Calibri" w:cs="Arial"/>
          <w:szCs w:val="22"/>
        </w:rPr>
        <w:t xml:space="preserve">. </w:t>
      </w:r>
      <w:r w:rsidRPr="008C15F0">
        <w:rPr>
          <w:rFonts w:eastAsia="Calibri" w:cs="Arial"/>
          <w:iCs/>
          <w:szCs w:val="22"/>
        </w:rPr>
        <w:t xml:space="preserve"> </w:t>
      </w:r>
      <w:proofErr w:type="gramEnd"/>
      <w:r w:rsidRPr="008C15F0">
        <w:rPr>
          <w:rFonts w:eastAsia="Calibri" w:cs="Arial"/>
          <w:iCs/>
          <w:szCs w:val="22"/>
        </w:rPr>
        <w:t>The Project will support particular focus on knowledge exchange with sector counterparts in Cabo Verde, given recent Cabo Verde experience of developing gender-responsive sector planning with the assistance of UN Women.</w:t>
      </w:r>
    </w:p>
    <w:p w14:paraId="587A2A89" w14:textId="77777777" w:rsidR="00ED07BC" w:rsidRDefault="00ED07BC" w:rsidP="00ED07BC">
      <w:pPr>
        <w:spacing w:after="160" w:line="259" w:lineRule="auto"/>
        <w:ind w:left="1418" w:hanging="1418"/>
        <w:contextualSpacing/>
        <w:rPr>
          <w:rFonts w:eastAsia="Calibri" w:cs="Arial"/>
          <w:b/>
          <w:bCs/>
          <w:i/>
          <w:iCs/>
          <w:szCs w:val="22"/>
          <w:lang w:eastAsia="en-GB"/>
        </w:rPr>
      </w:pPr>
    </w:p>
    <w:p w14:paraId="61BEA88D" w14:textId="77777777" w:rsidR="00ED07BC" w:rsidRPr="008C15F0" w:rsidRDefault="00ED07BC" w:rsidP="00ED07BC">
      <w:pPr>
        <w:spacing w:after="160" w:line="259" w:lineRule="auto"/>
        <w:ind w:left="1418" w:hanging="1418"/>
        <w:contextualSpacing/>
        <w:rPr>
          <w:rFonts w:cs="Arial"/>
          <w:szCs w:val="22"/>
          <w:lang w:eastAsia="en-GB"/>
        </w:rPr>
      </w:pPr>
      <w:r w:rsidRPr="008C15F0">
        <w:rPr>
          <w:rFonts w:eastAsia="Calibri" w:cs="Arial"/>
          <w:b/>
          <w:bCs/>
          <w:i/>
          <w:iCs/>
          <w:szCs w:val="22"/>
          <w:lang w:eastAsia="en-GB"/>
        </w:rPr>
        <w:t>Outcome 2</w:t>
      </w:r>
      <w:r w:rsidRPr="008C15F0">
        <w:rPr>
          <w:rFonts w:eastAsia="Calibri" w:cs="Arial"/>
          <w:b/>
          <w:bCs/>
          <w:i/>
          <w:iCs/>
          <w:szCs w:val="22"/>
          <w:lang w:eastAsia="en-GB"/>
        </w:rPr>
        <w:tab/>
      </w:r>
      <w:r w:rsidRPr="008C15F0">
        <w:rPr>
          <w:rFonts w:cs="Arial"/>
          <w:b/>
          <w:bCs/>
          <w:kern w:val="24"/>
          <w:szCs w:val="22"/>
          <w:lang w:eastAsia="en-GB"/>
        </w:rPr>
        <w:t xml:space="preserve">Inclusive and participatory processes establish local planning, </w:t>
      </w:r>
      <w:proofErr w:type="gramStart"/>
      <w:r w:rsidRPr="008C15F0">
        <w:rPr>
          <w:rFonts w:cs="Arial"/>
          <w:b/>
          <w:bCs/>
          <w:kern w:val="24"/>
          <w:szCs w:val="22"/>
          <w:lang w:eastAsia="en-GB"/>
        </w:rPr>
        <w:t>investment</w:t>
      </w:r>
      <w:proofErr w:type="gramEnd"/>
      <w:r w:rsidRPr="008C15F0">
        <w:rPr>
          <w:rFonts w:cs="Arial"/>
          <w:b/>
          <w:bCs/>
          <w:kern w:val="24"/>
          <w:szCs w:val="22"/>
          <w:lang w:eastAsia="en-GB"/>
        </w:rPr>
        <w:t xml:space="preserve"> and revenue frameworks</w:t>
      </w:r>
    </w:p>
    <w:p w14:paraId="6A5520CE" w14:textId="77777777" w:rsidR="00ED07BC" w:rsidRPr="008C15F0" w:rsidRDefault="00ED07BC" w:rsidP="00ED07BC">
      <w:pPr>
        <w:spacing w:after="160" w:line="259" w:lineRule="auto"/>
        <w:contextualSpacing/>
        <w:rPr>
          <w:rFonts w:eastAsia="Calibri" w:cs="Arial"/>
          <w:b/>
          <w:bCs/>
          <w:szCs w:val="22"/>
        </w:rPr>
      </w:pPr>
    </w:p>
    <w:p w14:paraId="5ED87B24" w14:textId="77777777" w:rsidR="00ED07BC" w:rsidRPr="008C15F0" w:rsidRDefault="00ED07BC" w:rsidP="00ED07BC">
      <w:pPr>
        <w:spacing w:after="160" w:line="259" w:lineRule="auto"/>
        <w:contextualSpacing/>
        <w:rPr>
          <w:rFonts w:eastAsia="Calibri" w:cs="Arial"/>
          <w:b/>
          <w:bCs/>
          <w:szCs w:val="22"/>
        </w:rPr>
      </w:pPr>
      <w:r w:rsidRPr="008C15F0">
        <w:rPr>
          <w:rFonts w:eastAsia="Calibri" w:cs="Arial"/>
          <w:b/>
          <w:bCs/>
          <w:szCs w:val="22"/>
        </w:rPr>
        <w:t>Output 2.1</w:t>
      </w:r>
      <w:r w:rsidRPr="008C15F0">
        <w:rPr>
          <w:rFonts w:eastAsia="Calibri" w:cs="Arial"/>
          <w:b/>
          <w:bCs/>
          <w:szCs w:val="22"/>
        </w:rPr>
        <w:tab/>
        <w:t>Local tourism data mapped</w:t>
      </w:r>
      <w:r>
        <w:rPr>
          <w:rFonts w:eastAsia="Calibri" w:cs="Arial"/>
          <w:b/>
          <w:bCs/>
          <w:szCs w:val="22"/>
        </w:rPr>
        <w:t>,</w:t>
      </w:r>
      <w:r w:rsidRPr="008C15F0">
        <w:rPr>
          <w:rFonts w:eastAsia="Calibri" w:cs="Arial"/>
          <w:b/>
          <w:bCs/>
          <w:szCs w:val="22"/>
        </w:rPr>
        <w:t xml:space="preserve"> and local community awareness enhanced.</w:t>
      </w:r>
    </w:p>
    <w:p w14:paraId="31F8FB08" w14:textId="77777777" w:rsidR="00ED07BC" w:rsidRDefault="00ED07BC" w:rsidP="00ED07BC">
      <w:pPr>
        <w:spacing w:after="160" w:line="259" w:lineRule="auto"/>
        <w:contextualSpacing/>
        <w:rPr>
          <w:rFonts w:eastAsia="Calibri" w:cs="Arial"/>
          <w:szCs w:val="22"/>
        </w:rPr>
      </w:pPr>
    </w:p>
    <w:p w14:paraId="37C32B69" w14:textId="45D252CD" w:rsidR="00ED07BC" w:rsidRPr="008C15F0" w:rsidRDefault="00ED07BC" w:rsidP="00A57720">
      <w:pPr>
        <w:spacing w:after="160" w:line="259" w:lineRule="auto"/>
        <w:rPr>
          <w:rFonts w:eastAsia="Calibri" w:cs="Arial"/>
          <w:szCs w:val="22"/>
        </w:rPr>
      </w:pPr>
      <w:r w:rsidRPr="008C15F0">
        <w:rPr>
          <w:rFonts w:eastAsia="Calibri" w:cs="Arial"/>
          <w:szCs w:val="22"/>
        </w:rPr>
        <w:t xml:space="preserve">UNDP will work with the Ministry of Tourism, local </w:t>
      </w:r>
      <w:proofErr w:type="gramStart"/>
      <w:r w:rsidRPr="008C15F0">
        <w:rPr>
          <w:rFonts w:eastAsia="Calibri" w:cs="Arial"/>
          <w:szCs w:val="22"/>
        </w:rPr>
        <w:t>Governments</w:t>
      </w:r>
      <w:proofErr w:type="gramEnd"/>
      <w:r w:rsidRPr="008C15F0">
        <w:rPr>
          <w:rFonts w:eastAsia="Calibri" w:cs="Arial"/>
          <w:szCs w:val="22"/>
        </w:rPr>
        <w:t xml:space="preserve"> and civil society groups in </w:t>
      </w:r>
      <w:proofErr w:type="spellStart"/>
      <w:r w:rsidRPr="008C15F0">
        <w:rPr>
          <w:rFonts w:eastAsia="Calibri" w:cs="Arial"/>
          <w:szCs w:val="22"/>
        </w:rPr>
        <w:t>Cacheu</w:t>
      </w:r>
      <w:proofErr w:type="spellEnd"/>
      <w:r w:rsidRPr="008C15F0">
        <w:rPr>
          <w:rFonts w:eastAsia="Calibri" w:cs="Arial"/>
          <w:szCs w:val="22"/>
        </w:rPr>
        <w:t xml:space="preserve"> and the </w:t>
      </w:r>
      <w:proofErr w:type="spellStart"/>
      <w:r w:rsidRPr="008C15F0">
        <w:rPr>
          <w:rFonts w:eastAsia="Calibri" w:cs="Arial"/>
          <w:szCs w:val="22"/>
        </w:rPr>
        <w:t>Bijagós</w:t>
      </w:r>
      <w:proofErr w:type="spellEnd"/>
      <w:r w:rsidRPr="008C15F0">
        <w:rPr>
          <w:rFonts w:eastAsia="Calibri" w:cs="Arial"/>
          <w:szCs w:val="22"/>
        </w:rPr>
        <w:t xml:space="preserve"> Islands to establish gender disaggregated baseline data according to the national monitoring and evaluation regime to be established under Output 1.1 linking the development of sustainable ecotourism to achievement of the SDGs.  Analysis will be made of current and potential tourism value chains in each location and local entrepreneurs and other target groups will be mobilised to the development planning processes foreseen in </w:t>
      </w:r>
      <w:r w:rsidR="006E19FC">
        <w:rPr>
          <w:rFonts w:eastAsia="Calibri" w:cs="Arial"/>
          <w:szCs w:val="22"/>
        </w:rPr>
        <w:t>the larger project</w:t>
      </w:r>
      <w:r w:rsidRPr="008C15F0">
        <w:rPr>
          <w:rFonts w:eastAsia="Calibri" w:cs="Arial"/>
          <w:szCs w:val="22"/>
        </w:rPr>
        <w:t>.</w:t>
      </w:r>
    </w:p>
    <w:p w14:paraId="4E2A8831" w14:textId="77777777" w:rsidR="00ED07BC" w:rsidRPr="008C15F0" w:rsidRDefault="00ED07BC" w:rsidP="00ED07BC">
      <w:pPr>
        <w:spacing w:after="160" w:line="259" w:lineRule="auto"/>
        <w:contextualSpacing/>
        <w:rPr>
          <w:rFonts w:eastAsia="Calibri" w:cs="Arial"/>
          <w:iCs/>
          <w:szCs w:val="22"/>
        </w:rPr>
      </w:pPr>
    </w:p>
    <w:p w14:paraId="50B78F39" w14:textId="77777777" w:rsidR="00ED07BC" w:rsidRPr="008C15F0" w:rsidRDefault="00ED07BC" w:rsidP="00ED07BC">
      <w:pPr>
        <w:spacing w:after="160" w:line="259" w:lineRule="auto"/>
        <w:ind w:left="1418" w:hanging="1418"/>
        <w:contextualSpacing/>
        <w:rPr>
          <w:rFonts w:eastAsia="Calibri" w:cs="Arial"/>
          <w:iCs/>
          <w:szCs w:val="22"/>
        </w:rPr>
      </w:pPr>
      <w:r w:rsidRPr="008C15F0">
        <w:rPr>
          <w:rFonts w:eastAsia="Calibri" w:cs="Arial"/>
          <w:b/>
          <w:bCs/>
          <w:szCs w:val="22"/>
        </w:rPr>
        <w:t>Output 2.2</w:t>
      </w:r>
      <w:r w:rsidRPr="008C15F0">
        <w:rPr>
          <w:rFonts w:eastAsia="Calibri" w:cs="Arial"/>
          <w:b/>
          <w:bCs/>
          <w:szCs w:val="22"/>
        </w:rPr>
        <w:tab/>
      </w:r>
      <w:r w:rsidRPr="008C15F0">
        <w:rPr>
          <w:rFonts w:cs="Arial"/>
          <w:b/>
          <w:bCs/>
          <w:szCs w:val="22"/>
          <w:lang w:eastAsia="en-GB"/>
        </w:rPr>
        <w:t xml:space="preserve">Gender responsive ecotourism action plans in place for the </w:t>
      </w:r>
      <w:proofErr w:type="spellStart"/>
      <w:r w:rsidRPr="008C15F0">
        <w:rPr>
          <w:rFonts w:cs="Arial"/>
          <w:b/>
          <w:bCs/>
          <w:szCs w:val="22"/>
          <w:lang w:eastAsia="en-GB"/>
        </w:rPr>
        <w:t>Bijagós</w:t>
      </w:r>
      <w:proofErr w:type="spellEnd"/>
      <w:r w:rsidRPr="008C15F0">
        <w:rPr>
          <w:rFonts w:cs="Arial"/>
          <w:b/>
          <w:bCs/>
          <w:szCs w:val="22"/>
          <w:lang w:eastAsia="en-GB"/>
        </w:rPr>
        <w:t xml:space="preserve"> Islands and the </w:t>
      </w:r>
      <w:proofErr w:type="spellStart"/>
      <w:r w:rsidRPr="008C15F0">
        <w:rPr>
          <w:rFonts w:cs="Arial"/>
          <w:b/>
          <w:bCs/>
          <w:szCs w:val="22"/>
          <w:lang w:eastAsia="en-GB"/>
        </w:rPr>
        <w:t>Cacheu</w:t>
      </w:r>
      <w:proofErr w:type="spellEnd"/>
      <w:r w:rsidRPr="008C15F0">
        <w:rPr>
          <w:rFonts w:cs="Arial"/>
          <w:b/>
          <w:bCs/>
          <w:szCs w:val="22"/>
          <w:lang w:eastAsia="en-GB"/>
        </w:rPr>
        <w:t xml:space="preserve"> River Basin </w:t>
      </w:r>
    </w:p>
    <w:p w14:paraId="2CFE6C3A" w14:textId="77777777" w:rsidR="00ED07BC" w:rsidRPr="008C15F0" w:rsidRDefault="00ED07BC" w:rsidP="00ED07BC">
      <w:pPr>
        <w:spacing w:after="160" w:line="259" w:lineRule="auto"/>
        <w:contextualSpacing/>
        <w:rPr>
          <w:rFonts w:eastAsia="Calibri" w:cs="Arial"/>
          <w:szCs w:val="22"/>
        </w:rPr>
      </w:pPr>
    </w:p>
    <w:p w14:paraId="378AC3D7" w14:textId="77777777" w:rsidR="00ED07BC" w:rsidRPr="008C15F0" w:rsidRDefault="00ED07BC" w:rsidP="00ED07BC">
      <w:pPr>
        <w:spacing w:after="160" w:line="259" w:lineRule="auto"/>
        <w:contextualSpacing/>
        <w:rPr>
          <w:rFonts w:eastAsia="Calibri" w:cs="Arial"/>
          <w:iCs/>
          <w:szCs w:val="22"/>
        </w:rPr>
      </w:pPr>
      <w:r w:rsidRPr="008C15F0">
        <w:rPr>
          <w:rFonts w:eastAsia="Calibri" w:cs="Arial"/>
          <w:szCs w:val="22"/>
        </w:rPr>
        <w:t xml:space="preserve">On behalf of the Ministry of Tourism and Handicrafts, gender-responsive </w:t>
      </w:r>
      <w:r w:rsidRPr="008C15F0">
        <w:rPr>
          <w:rFonts w:eastAsia="Calibri" w:cs="Arial"/>
          <w:iCs/>
          <w:szCs w:val="22"/>
        </w:rPr>
        <w:t>Ecotourism Action Plans (E-TAPs) will be developed on an inclusive and participatory basis, ensuring full involvement of local Government and local community representatives, civil society interest groups and the private sector</w:t>
      </w:r>
      <w:proofErr w:type="gramStart"/>
      <w:r w:rsidRPr="008C15F0">
        <w:rPr>
          <w:rFonts w:eastAsia="Calibri" w:cs="Arial"/>
          <w:iCs/>
          <w:szCs w:val="22"/>
        </w:rPr>
        <w:t xml:space="preserve">.  </w:t>
      </w:r>
      <w:proofErr w:type="gramEnd"/>
    </w:p>
    <w:p w14:paraId="6187CF9E" w14:textId="77777777" w:rsidR="00ED07BC" w:rsidRPr="008C15F0" w:rsidRDefault="00ED07BC" w:rsidP="00ED07BC">
      <w:pPr>
        <w:spacing w:after="160" w:line="259" w:lineRule="auto"/>
        <w:contextualSpacing/>
        <w:rPr>
          <w:rFonts w:eastAsia="Calibri" w:cs="Arial"/>
          <w:iCs/>
          <w:szCs w:val="22"/>
        </w:rPr>
      </w:pPr>
    </w:p>
    <w:p w14:paraId="3234C94D" w14:textId="71C9B5A7" w:rsidR="00ED07BC" w:rsidRPr="008C15F0" w:rsidRDefault="00ED07BC" w:rsidP="009D00A9">
      <w:pPr>
        <w:spacing w:after="160" w:line="259" w:lineRule="auto"/>
        <w:contextualSpacing/>
        <w:rPr>
          <w:rFonts w:eastAsia="Calibri" w:cs="Arial"/>
          <w:iCs/>
          <w:szCs w:val="22"/>
        </w:rPr>
      </w:pPr>
      <w:r w:rsidRPr="008C15F0">
        <w:rPr>
          <w:rFonts w:eastAsia="Calibri" w:cs="Arial"/>
          <w:iCs/>
          <w:szCs w:val="22"/>
        </w:rPr>
        <w:t>E-TAPs will map current and potential value chains in the tourism sector locally, bottlenecks to growth and opportunities for development, including potential new financing arrangements from potential local Government concessions and/or licensing arrangements (see Output 2.3)</w:t>
      </w:r>
      <w:proofErr w:type="gramStart"/>
      <w:r w:rsidRPr="008C15F0">
        <w:rPr>
          <w:rFonts w:eastAsia="Calibri" w:cs="Arial"/>
          <w:iCs/>
          <w:szCs w:val="22"/>
        </w:rPr>
        <w:t xml:space="preserve">.  </w:t>
      </w:r>
      <w:proofErr w:type="gramEnd"/>
      <w:r w:rsidRPr="008C15F0">
        <w:rPr>
          <w:rFonts w:eastAsia="Calibri" w:cs="Arial"/>
          <w:iCs/>
          <w:szCs w:val="22"/>
        </w:rPr>
        <w:t xml:space="preserve">The UNDP Impact Hub will support stakeholders with analysis, co-design methodology and identification of innovative financing solutions. </w:t>
      </w:r>
    </w:p>
    <w:p w14:paraId="2E1B4DD7" w14:textId="77777777" w:rsidR="00ED07BC" w:rsidRPr="008C15F0" w:rsidRDefault="00ED07BC" w:rsidP="00ED07BC">
      <w:pPr>
        <w:spacing w:after="160" w:line="259" w:lineRule="auto"/>
        <w:contextualSpacing/>
        <w:rPr>
          <w:rFonts w:eastAsia="Calibri" w:cs="Arial"/>
          <w:iCs/>
          <w:szCs w:val="22"/>
        </w:rPr>
      </w:pPr>
    </w:p>
    <w:p w14:paraId="6885F3CA" w14:textId="77777777" w:rsidR="00ED07BC" w:rsidRPr="008C15F0" w:rsidRDefault="00ED07BC" w:rsidP="00ED07BC">
      <w:pPr>
        <w:spacing w:after="160" w:line="259" w:lineRule="auto"/>
        <w:ind w:left="1418" w:hanging="1418"/>
        <w:contextualSpacing/>
        <w:rPr>
          <w:rFonts w:cs="Arial"/>
          <w:b/>
          <w:bCs/>
          <w:color w:val="000000"/>
          <w:szCs w:val="22"/>
          <w:lang w:eastAsia="en-GB"/>
        </w:rPr>
      </w:pPr>
      <w:r w:rsidRPr="008C15F0">
        <w:rPr>
          <w:rFonts w:eastAsia="Calibri" w:cs="Arial"/>
          <w:b/>
          <w:bCs/>
          <w:szCs w:val="22"/>
        </w:rPr>
        <w:t>Output 2.3</w:t>
      </w:r>
      <w:r w:rsidRPr="008C15F0">
        <w:rPr>
          <w:rFonts w:eastAsia="Calibri" w:cs="Arial"/>
          <w:b/>
          <w:bCs/>
          <w:szCs w:val="22"/>
        </w:rPr>
        <w:tab/>
        <w:t>Gender-responsive plans and mechanisms for land management in place in the target areas to ensure sustainable tourism</w:t>
      </w:r>
    </w:p>
    <w:p w14:paraId="75E67F8B" w14:textId="77777777" w:rsidR="00ED07BC" w:rsidRDefault="00ED07BC" w:rsidP="00ED07BC">
      <w:pPr>
        <w:spacing w:after="160" w:line="259" w:lineRule="auto"/>
        <w:contextualSpacing/>
        <w:rPr>
          <w:rFonts w:eastAsia="Calibri" w:cs="Arial"/>
          <w:iCs/>
          <w:szCs w:val="22"/>
        </w:rPr>
      </w:pPr>
    </w:p>
    <w:p w14:paraId="26B7FEAB" w14:textId="163BFAC1" w:rsidR="00ED07BC" w:rsidRPr="008C15F0" w:rsidRDefault="00ED07BC" w:rsidP="00ED07BC">
      <w:pPr>
        <w:spacing w:after="160" w:line="259" w:lineRule="auto"/>
        <w:contextualSpacing/>
        <w:rPr>
          <w:rFonts w:eastAsia="Calibri" w:cs="Arial"/>
          <w:szCs w:val="22"/>
        </w:rPr>
      </w:pPr>
      <w:r w:rsidRPr="008C15F0">
        <w:rPr>
          <w:rFonts w:eastAsia="Calibri" w:cs="Arial"/>
          <w:iCs/>
          <w:szCs w:val="22"/>
        </w:rPr>
        <w:t>UN</w:t>
      </w:r>
      <w:r w:rsidR="006F0C40">
        <w:rPr>
          <w:rFonts w:eastAsia="Calibri" w:cs="Arial"/>
          <w:iCs/>
          <w:szCs w:val="22"/>
        </w:rPr>
        <w:t>DP</w:t>
      </w:r>
      <w:r w:rsidR="00FA63CF">
        <w:rPr>
          <w:rFonts w:eastAsia="Calibri" w:cs="Arial"/>
          <w:iCs/>
          <w:szCs w:val="22"/>
        </w:rPr>
        <w:t xml:space="preserve"> </w:t>
      </w:r>
      <w:r w:rsidRPr="008C15F0">
        <w:rPr>
          <w:rFonts w:eastAsia="Calibri" w:cs="Arial"/>
          <w:iCs/>
          <w:szCs w:val="22"/>
        </w:rPr>
        <w:t>will work with the Ministry of Public Works, Housing and Urbanism, and local Government and communities in the two target areas to establish a Master and Zoning Plan associated with Tourism Development Guidelines (TDGs) to establish parameters for investment and sustainable exploitation of natural and cultural resources</w:t>
      </w:r>
      <w:proofErr w:type="gramStart"/>
      <w:r w:rsidRPr="008C15F0">
        <w:rPr>
          <w:rFonts w:eastAsia="Calibri" w:cs="Arial"/>
          <w:iCs/>
          <w:szCs w:val="22"/>
        </w:rPr>
        <w:t xml:space="preserve">.  </w:t>
      </w:r>
      <w:proofErr w:type="gramEnd"/>
      <w:r w:rsidRPr="008C15F0">
        <w:rPr>
          <w:rFonts w:eastAsia="Calibri" w:cs="Arial"/>
          <w:iCs/>
          <w:szCs w:val="22"/>
        </w:rPr>
        <w:t xml:space="preserve">The Plan will map potential threats and challenges arising from tourism development and establish mitigation measures </w:t>
      </w:r>
      <w:r w:rsidRPr="008C15F0">
        <w:rPr>
          <w:rFonts w:eastAsia="Calibri" w:cs="Arial"/>
          <w:szCs w:val="22"/>
        </w:rPr>
        <w:t>to preserve the unique cultural and environmental heritage of both locations, ensuring sustainable land-sea planning and natural resource management, as well as minimize disruption in the livelihoods of local communities</w:t>
      </w:r>
      <w:proofErr w:type="gramStart"/>
      <w:r w:rsidRPr="008C15F0">
        <w:rPr>
          <w:rFonts w:eastAsia="Calibri" w:cs="Arial"/>
          <w:szCs w:val="22"/>
        </w:rPr>
        <w:t xml:space="preserve">.  </w:t>
      </w:r>
      <w:proofErr w:type="gramEnd"/>
      <w:r w:rsidRPr="008C15F0">
        <w:rPr>
          <w:rFonts w:eastAsia="Calibri" w:cs="Arial"/>
          <w:szCs w:val="22"/>
        </w:rPr>
        <w:t>Such guidelines would establish the main parameters of tourism development, including spatial planning, land management, as well as operational elements such as visitor numbers, access to sites etc., and local by-laws regulating land concession and use, and provision of services (e.g., licencing requirements, opening hours etc.).</w:t>
      </w:r>
    </w:p>
    <w:p w14:paraId="108B0D1B" w14:textId="77777777" w:rsidR="00ED07BC" w:rsidRPr="008C15F0" w:rsidRDefault="00ED07BC" w:rsidP="00FA63CF">
      <w:pPr>
        <w:spacing w:after="160" w:line="259" w:lineRule="auto"/>
        <w:contextualSpacing/>
        <w:rPr>
          <w:rFonts w:eastAsia="Calibri" w:cs="Arial"/>
          <w:b/>
          <w:bCs/>
          <w:i/>
          <w:iCs/>
          <w:szCs w:val="22"/>
        </w:rPr>
      </w:pPr>
    </w:p>
    <w:p w14:paraId="418289F8" w14:textId="77777777" w:rsidR="00ED07BC" w:rsidRDefault="00ED07BC" w:rsidP="00ED07BC">
      <w:pPr>
        <w:spacing w:after="160" w:line="259" w:lineRule="auto"/>
        <w:ind w:left="1418" w:hanging="1418"/>
        <w:contextualSpacing/>
        <w:rPr>
          <w:rFonts w:eastAsia="Calibri" w:cs="Arial"/>
          <w:b/>
          <w:bCs/>
          <w:i/>
          <w:iCs/>
          <w:szCs w:val="22"/>
        </w:rPr>
      </w:pPr>
    </w:p>
    <w:p w14:paraId="47F3BBAC" w14:textId="77777777" w:rsidR="00ED07BC" w:rsidRPr="008C15F0" w:rsidRDefault="00ED07BC" w:rsidP="00ED07BC">
      <w:pPr>
        <w:spacing w:after="160" w:line="259" w:lineRule="auto"/>
        <w:ind w:left="1418" w:hanging="1418"/>
        <w:contextualSpacing/>
        <w:rPr>
          <w:rFonts w:cs="Arial"/>
          <w:b/>
          <w:bCs/>
          <w:i/>
          <w:iCs/>
          <w:color w:val="000000"/>
          <w:szCs w:val="22"/>
          <w:lang w:eastAsia="en-GB"/>
        </w:rPr>
      </w:pPr>
      <w:r w:rsidRPr="008C15F0">
        <w:rPr>
          <w:rFonts w:eastAsia="Calibri" w:cs="Arial"/>
          <w:b/>
          <w:bCs/>
          <w:i/>
          <w:iCs/>
          <w:szCs w:val="22"/>
        </w:rPr>
        <w:t>Outcome 3</w:t>
      </w:r>
      <w:r w:rsidRPr="008C15F0">
        <w:rPr>
          <w:rFonts w:eastAsia="Calibri" w:cs="Arial"/>
          <w:i/>
          <w:iCs/>
          <w:szCs w:val="22"/>
        </w:rPr>
        <w:tab/>
      </w:r>
      <w:r w:rsidRPr="00083530">
        <w:rPr>
          <w:rFonts w:eastAsia="Calibri" w:cs="Arial"/>
          <w:b/>
          <w:bCs/>
          <w:i/>
          <w:szCs w:val="22"/>
        </w:rPr>
        <w:t xml:space="preserve">Targeted investments in </w:t>
      </w:r>
      <w:r>
        <w:rPr>
          <w:rFonts w:eastAsia="Calibri" w:cs="Arial"/>
          <w:b/>
          <w:bCs/>
          <w:i/>
          <w:szCs w:val="22"/>
        </w:rPr>
        <w:t xml:space="preserve">renewable green energy and </w:t>
      </w:r>
      <w:r w:rsidRPr="00083530">
        <w:rPr>
          <w:rFonts w:eastAsia="Calibri" w:cs="Arial"/>
          <w:b/>
          <w:bCs/>
          <w:i/>
          <w:szCs w:val="22"/>
        </w:rPr>
        <w:t xml:space="preserve">sustainable ecotourism increases proportion of population with primary reliance on </w:t>
      </w:r>
      <w:r>
        <w:rPr>
          <w:rFonts w:eastAsia="Calibri" w:cs="Arial"/>
          <w:b/>
          <w:bCs/>
          <w:i/>
          <w:szCs w:val="22"/>
        </w:rPr>
        <w:t xml:space="preserve">ecotourism for livelihoods generation, </w:t>
      </w:r>
      <w:r w:rsidRPr="00083530">
        <w:rPr>
          <w:rFonts w:eastAsia="Calibri" w:cs="Arial"/>
          <w:b/>
          <w:bCs/>
          <w:i/>
          <w:szCs w:val="22"/>
        </w:rPr>
        <w:t xml:space="preserve">clean </w:t>
      </w:r>
      <w:proofErr w:type="gramStart"/>
      <w:r w:rsidRPr="00083530">
        <w:rPr>
          <w:rFonts w:eastAsia="Calibri" w:cs="Arial"/>
          <w:b/>
          <w:bCs/>
          <w:i/>
          <w:szCs w:val="22"/>
        </w:rPr>
        <w:t>fuels</w:t>
      </w:r>
      <w:proofErr w:type="gramEnd"/>
      <w:r w:rsidRPr="00083530">
        <w:rPr>
          <w:rFonts w:eastAsia="Calibri" w:cs="Arial"/>
          <w:b/>
          <w:bCs/>
          <w:i/>
          <w:szCs w:val="22"/>
        </w:rPr>
        <w:t xml:space="preserve"> and technology</w:t>
      </w:r>
      <w:r>
        <w:rPr>
          <w:rFonts w:eastAsia="Calibri" w:cs="Arial"/>
          <w:b/>
          <w:bCs/>
          <w:i/>
          <w:szCs w:val="22"/>
        </w:rPr>
        <w:t xml:space="preserve">, </w:t>
      </w:r>
      <w:r w:rsidRPr="004D1718">
        <w:rPr>
          <w:rFonts w:eastAsia="Calibri" w:cs="Arial"/>
          <w:b/>
          <w:bCs/>
          <w:i/>
          <w:szCs w:val="22"/>
        </w:rPr>
        <w:t>while preserving biodiversity and protecting environmental assets</w:t>
      </w:r>
    </w:p>
    <w:p w14:paraId="6C738162" w14:textId="77777777" w:rsidR="00ED07BC" w:rsidRDefault="00ED07BC" w:rsidP="00ED07BC">
      <w:pPr>
        <w:spacing w:after="160" w:line="259" w:lineRule="auto"/>
        <w:contextualSpacing/>
        <w:rPr>
          <w:rFonts w:cs="Arial"/>
          <w:b/>
          <w:bCs/>
          <w:szCs w:val="22"/>
        </w:rPr>
      </w:pPr>
    </w:p>
    <w:p w14:paraId="26378CE1" w14:textId="77777777" w:rsidR="00ED07BC" w:rsidRPr="008C15F0" w:rsidRDefault="00ED07BC" w:rsidP="00ED07BC">
      <w:pPr>
        <w:spacing w:after="160" w:line="259" w:lineRule="auto"/>
        <w:contextualSpacing/>
        <w:rPr>
          <w:rFonts w:cs="Arial"/>
          <w:b/>
          <w:bCs/>
          <w:color w:val="000000"/>
          <w:szCs w:val="22"/>
          <w:lang w:eastAsia="en-GB"/>
        </w:rPr>
      </w:pPr>
      <w:r w:rsidRPr="008C15F0">
        <w:rPr>
          <w:rFonts w:cs="Arial"/>
          <w:b/>
          <w:bCs/>
          <w:szCs w:val="22"/>
        </w:rPr>
        <w:t>Output 3.1</w:t>
      </w:r>
      <w:r w:rsidRPr="008C15F0">
        <w:rPr>
          <w:rFonts w:eastAsia="Calibri" w:cs="Arial"/>
          <w:szCs w:val="22"/>
          <w:lang w:val="en-US"/>
        </w:rPr>
        <w:tab/>
      </w:r>
      <w:r w:rsidRPr="008C15F0">
        <w:rPr>
          <w:rFonts w:cs="Arial"/>
          <w:b/>
          <w:bCs/>
          <w:color w:val="000000"/>
          <w:szCs w:val="22"/>
          <w:lang w:eastAsia="en-GB"/>
        </w:rPr>
        <w:t xml:space="preserve">Innovative partnership model for tourism </w:t>
      </w:r>
      <w:proofErr w:type="spellStart"/>
      <w:r w:rsidRPr="008C15F0">
        <w:rPr>
          <w:rFonts w:cs="Arial"/>
          <w:b/>
          <w:bCs/>
          <w:color w:val="000000"/>
          <w:szCs w:val="22"/>
          <w:lang w:eastAsia="en-GB"/>
        </w:rPr>
        <w:t>minigrids</w:t>
      </w:r>
      <w:proofErr w:type="spellEnd"/>
      <w:r w:rsidRPr="008C15F0">
        <w:rPr>
          <w:rFonts w:cs="Arial"/>
          <w:b/>
          <w:bCs/>
          <w:color w:val="000000"/>
          <w:szCs w:val="22"/>
          <w:lang w:eastAsia="en-GB"/>
        </w:rPr>
        <w:t xml:space="preserve"> established</w:t>
      </w:r>
    </w:p>
    <w:p w14:paraId="3C246C61" w14:textId="77777777" w:rsidR="00ED07BC" w:rsidRDefault="00ED07BC" w:rsidP="00ED07BC">
      <w:pPr>
        <w:spacing w:after="160" w:line="259" w:lineRule="auto"/>
        <w:contextualSpacing/>
        <w:rPr>
          <w:rFonts w:eastAsia="Calibri" w:cs="Arial"/>
          <w:szCs w:val="22"/>
        </w:rPr>
      </w:pPr>
    </w:p>
    <w:p w14:paraId="488396B6" w14:textId="77777777" w:rsidR="00F96F12" w:rsidRDefault="00F96F12" w:rsidP="00ED07BC">
      <w:pPr>
        <w:spacing w:after="160" w:line="259" w:lineRule="auto"/>
        <w:contextualSpacing/>
        <w:rPr>
          <w:rFonts w:eastAsia="Calibri" w:cs="Arial"/>
          <w:szCs w:val="22"/>
        </w:rPr>
      </w:pPr>
      <w:r>
        <w:rPr>
          <w:rFonts w:eastAsia="Calibri" w:cs="Arial"/>
          <w:szCs w:val="22"/>
        </w:rPr>
        <w:t>UNDP will u</w:t>
      </w:r>
      <w:r w:rsidRPr="00F96F12">
        <w:rPr>
          <w:rFonts w:eastAsia="Calibri" w:cs="Arial"/>
          <w:szCs w:val="22"/>
        </w:rPr>
        <w:t xml:space="preserve">ndertake location mapping and feasibility studies for ecotourism sector renewable energy </w:t>
      </w:r>
      <w:proofErr w:type="gramStart"/>
      <w:r w:rsidRPr="00F96F12">
        <w:rPr>
          <w:rFonts w:eastAsia="Calibri" w:cs="Arial"/>
          <w:szCs w:val="22"/>
        </w:rPr>
        <w:t>mini-grids</w:t>
      </w:r>
      <w:proofErr w:type="gramEnd"/>
      <w:r>
        <w:rPr>
          <w:rFonts w:eastAsia="Calibri" w:cs="Arial"/>
          <w:szCs w:val="22"/>
        </w:rPr>
        <w:t>.</w:t>
      </w:r>
    </w:p>
    <w:p w14:paraId="7C0E31BC" w14:textId="73C0DA4C" w:rsidR="00ED07BC" w:rsidRPr="008C15F0" w:rsidRDefault="00F96F12" w:rsidP="00ED07BC">
      <w:pPr>
        <w:spacing w:after="160" w:line="259" w:lineRule="auto"/>
        <w:contextualSpacing/>
        <w:rPr>
          <w:rFonts w:eastAsia="Calibri" w:cs="Arial"/>
          <w:szCs w:val="22"/>
        </w:rPr>
      </w:pPr>
      <w:r w:rsidRPr="00F96F12">
        <w:rPr>
          <w:rFonts w:eastAsia="Calibri" w:cs="Arial"/>
          <w:szCs w:val="22"/>
        </w:rPr>
        <w:t> </w:t>
      </w:r>
    </w:p>
    <w:p w14:paraId="4796EE56" w14:textId="77777777" w:rsidR="00ED07BC" w:rsidRPr="008C15F0" w:rsidRDefault="00ED07BC" w:rsidP="00ED07BC">
      <w:pPr>
        <w:spacing w:after="160" w:line="259" w:lineRule="auto"/>
        <w:ind w:left="1418" w:hanging="1418"/>
        <w:contextualSpacing/>
        <w:rPr>
          <w:rFonts w:eastAsia="Calibri" w:cs="Arial"/>
          <w:szCs w:val="22"/>
        </w:rPr>
      </w:pPr>
      <w:r w:rsidRPr="008C15F0">
        <w:rPr>
          <w:rFonts w:eastAsia="Calibri" w:cs="Arial"/>
          <w:b/>
          <w:bCs/>
          <w:szCs w:val="22"/>
        </w:rPr>
        <w:t>Output 3.2</w:t>
      </w:r>
      <w:r w:rsidRPr="008C15F0">
        <w:rPr>
          <w:rFonts w:eastAsia="Calibri" w:cs="Arial"/>
          <w:b/>
          <w:bCs/>
          <w:szCs w:val="22"/>
        </w:rPr>
        <w:tab/>
      </w:r>
      <w:r w:rsidRPr="008C15F0">
        <w:rPr>
          <w:rFonts w:cs="Arial"/>
          <w:b/>
          <w:bCs/>
          <w:color w:val="000000"/>
          <w:szCs w:val="22"/>
          <w:lang w:eastAsia="en-GB"/>
        </w:rPr>
        <w:t>Geospatial analysis conducted</w:t>
      </w:r>
      <w:r>
        <w:rPr>
          <w:rFonts w:cs="Arial"/>
          <w:b/>
          <w:bCs/>
          <w:color w:val="000000"/>
          <w:szCs w:val="22"/>
          <w:lang w:eastAsia="en-GB"/>
        </w:rPr>
        <w:t>,</w:t>
      </w:r>
      <w:r w:rsidRPr="008C15F0">
        <w:rPr>
          <w:rFonts w:cs="Arial"/>
          <w:b/>
          <w:bCs/>
          <w:color w:val="000000"/>
          <w:szCs w:val="22"/>
          <w:lang w:eastAsia="en-GB"/>
        </w:rPr>
        <w:t xml:space="preserve"> and women-led community user groups established</w:t>
      </w:r>
    </w:p>
    <w:p w14:paraId="04422898" w14:textId="77777777" w:rsidR="00ED07BC" w:rsidRPr="008C15F0" w:rsidRDefault="00ED07BC" w:rsidP="00ED07BC">
      <w:pPr>
        <w:tabs>
          <w:tab w:val="left" w:pos="3200"/>
        </w:tabs>
        <w:spacing w:after="160" w:line="259" w:lineRule="auto"/>
        <w:contextualSpacing/>
        <w:rPr>
          <w:rFonts w:eastAsia="Calibri" w:cs="Arial"/>
          <w:szCs w:val="22"/>
        </w:rPr>
      </w:pPr>
    </w:p>
    <w:p w14:paraId="791C1067" w14:textId="0255B1ED" w:rsidR="00ED07BC" w:rsidRPr="008C15F0" w:rsidRDefault="00ED07BC" w:rsidP="00ED07BC">
      <w:pPr>
        <w:tabs>
          <w:tab w:val="left" w:pos="3200"/>
        </w:tabs>
        <w:spacing w:after="160" w:line="259" w:lineRule="auto"/>
        <w:contextualSpacing/>
        <w:rPr>
          <w:rFonts w:eastAsia="Calibri" w:cs="Arial"/>
          <w:szCs w:val="22"/>
        </w:rPr>
      </w:pPr>
      <w:r w:rsidRPr="008C15F0">
        <w:rPr>
          <w:rFonts w:eastAsia="Calibri" w:cs="Arial"/>
          <w:szCs w:val="22"/>
        </w:rPr>
        <w:t xml:space="preserve">In line with </w:t>
      </w:r>
      <w:proofErr w:type="spellStart"/>
      <w:r w:rsidRPr="008C15F0">
        <w:rPr>
          <w:rFonts w:eastAsia="Calibri" w:cs="Arial"/>
          <w:szCs w:val="22"/>
        </w:rPr>
        <w:t>Bijagós</w:t>
      </w:r>
      <w:proofErr w:type="spellEnd"/>
      <w:r w:rsidRPr="008C15F0">
        <w:rPr>
          <w:rFonts w:eastAsia="Calibri" w:cs="Arial"/>
          <w:szCs w:val="22"/>
        </w:rPr>
        <w:t xml:space="preserve"> 2030, the </w:t>
      </w:r>
      <w:proofErr w:type="spellStart"/>
      <w:r w:rsidRPr="008C15F0">
        <w:rPr>
          <w:rFonts w:eastAsia="Calibri" w:cs="Arial"/>
          <w:szCs w:val="22"/>
        </w:rPr>
        <w:t>Bubaque</w:t>
      </w:r>
      <w:proofErr w:type="spellEnd"/>
      <w:r w:rsidRPr="008C15F0">
        <w:rPr>
          <w:rFonts w:eastAsia="Calibri" w:cs="Arial"/>
          <w:szCs w:val="22"/>
        </w:rPr>
        <w:t xml:space="preserve"> and </w:t>
      </w:r>
      <w:proofErr w:type="spellStart"/>
      <w:r w:rsidRPr="008C15F0">
        <w:rPr>
          <w:rFonts w:eastAsia="Calibri" w:cs="Arial"/>
          <w:szCs w:val="22"/>
        </w:rPr>
        <w:t>Bolama</w:t>
      </w:r>
      <w:proofErr w:type="spellEnd"/>
      <w:r w:rsidRPr="008C15F0">
        <w:rPr>
          <w:rFonts w:eastAsia="Calibri" w:cs="Arial"/>
          <w:szCs w:val="22"/>
        </w:rPr>
        <w:t xml:space="preserve"> Spatial Plans, and the Tourism Master Plan, the Project will conduct geospatial analysis for the definition of optimal modalities for energy provision for different locations within the target areas, and identification of suitable sites for deployment of solar </w:t>
      </w:r>
      <w:proofErr w:type="spellStart"/>
      <w:r w:rsidRPr="008C15F0">
        <w:rPr>
          <w:rFonts w:eastAsia="Calibri" w:cs="Arial"/>
          <w:szCs w:val="22"/>
        </w:rPr>
        <w:t>minigrids</w:t>
      </w:r>
      <w:proofErr w:type="spellEnd"/>
      <w:r w:rsidRPr="008C15F0">
        <w:rPr>
          <w:rFonts w:eastAsia="Calibri" w:cs="Arial"/>
          <w:szCs w:val="22"/>
        </w:rPr>
        <w:t xml:space="preserve"> where demand for electricity can be underpinned by investment in existing or start-up tourist businesses</w:t>
      </w:r>
      <w:r w:rsidR="00931605" w:rsidRPr="008C15F0">
        <w:rPr>
          <w:rFonts w:eastAsia="Calibri" w:cs="Arial"/>
          <w:szCs w:val="22"/>
        </w:rPr>
        <w:t xml:space="preserve">. </w:t>
      </w:r>
    </w:p>
    <w:p w14:paraId="44AE40AB" w14:textId="77777777" w:rsidR="00ED07BC" w:rsidRPr="008C15F0" w:rsidRDefault="00ED07BC" w:rsidP="00ED07BC">
      <w:pPr>
        <w:tabs>
          <w:tab w:val="left" w:pos="3200"/>
        </w:tabs>
        <w:spacing w:after="160" w:line="259" w:lineRule="auto"/>
        <w:contextualSpacing/>
        <w:rPr>
          <w:rFonts w:eastAsia="Calibri" w:cs="Arial"/>
          <w:szCs w:val="22"/>
        </w:rPr>
      </w:pPr>
    </w:p>
    <w:p w14:paraId="2DAA459F" w14:textId="3D530B0B" w:rsidR="00ED07BC" w:rsidRPr="00C070B7" w:rsidRDefault="00ED07BC" w:rsidP="00C070B7">
      <w:pPr>
        <w:pStyle w:val="Heading1"/>
        <w:pBdr>
          <w:top w:val="single" w:sz="4" w:space="0" w:color="auto"/>
        </w:pBdr>
      </w:pPr>
      <w:r w:rsidRPr="00C070B7">
        <w:t>Partnerships</w:t>
      </w:r>
    </w:p>
    <w:p w14:paraId="783DB7EE" w14:textId="77777777" w:rsidR="00ED07BC" w:rsidRDefault="00ED07BC" w:rsidP="00ED07BC">
      <w:pPr>
        <w:spacing w:after="160" w:line="259" w:lineRule="auto"/>
        <w:contextualSpacing/>
        <w:rPr>
          <w:rFonts w:eastAsia="Calibri" w:cs="Arial"/>
          <w:szCs w:val="22"/>
          <w:lang w:eastAsia="en-GB"/>
        </w:rPr>
      </w:pPr>
    </w:p>
    <w:p w14:paraId="72C61720" w14:textId="77777777" w:rsidR="00ED07BC" w:rsidRPr="007A5812" w:rsidRDefault="00ED07BC" w:rsidP="00ED07BC">
      <w:pPr>
        <w:spacing w:after="160" w:line="259" w:lineRule="auto"/>
        <w:contextualSpacing/>
        <w:rPr>
          <w:rFonts w:eastAsia="Calibri" w:cs="Arial"/>
          <w:szCs w:val="22"/>
          <w:u w:val="single"/>
        </w:rPr>
      </w:pPr>
      <w:r w:rsidRPr="007A5812">
        <w:rPr>
          <w:rFonts w:eastAsia="Calibri" w:cs="Arial"/>
          <w:szCs w:val="22"/>
          <w:u w:val="single"/>
        </w:rPr>
        <w:t>Government of Guinea Bissau</w:t>
      </w:r>
    </w:p>
    <w:p w14:paraId="34721598" w14:textId="77777777" w:rsidR="00ED07BC" w:rsidRPr="007A5812" w:rsidRDefault="00ED07BC" w:rsidP="00ED07BC">
      <w:pPr>
        <w:spacing w:after="160" w:line="259" w:lineRule="auto"/>
        <w:contextualSpacing/>
        <w:rPr>
          <w:rFonts w:eastAsia="Calibri" w:cs="Arial"/>
          <w:b/>
          <w:bCs/>
          <w:szCs w:val="22"/>
        </w:rPr>
      </w:pPr>
    </w:p>
    <w:p w14:paraId="17B34283" w14:textId="77777777" w:rsidR="00ED07BC" w:rsidRPr="007A5812" w:rsidRDefault="00ED07BC" w:rsidP="00ED07BC">
      <w:pPr>
        <w:spacing w:after="160" w:line="259" w:lineRule="auto"/>
        <w:contextualSpacing/>
        <w:rPr>
          <w:rFonts w:eastAsia="Calibri" w:cs="Arial"/>
          <w:szCs w:val="22"/>
        </w:rPr>
      </w:pPr>
      <w:r w:rsidRPr="007A5812">
        <w:rPr>
          <w:rFonts w:eastAsia="Calibri" w:cs="Arial"/>
          <w:szCs w:val="22"/>
        </w:rPr>
        <w:t xml:space="preserve">The Ministry of Tourism and Handicrafts of Guinea Bissau will act as primary Government counterpart for </w:t>
      </w:r>
      <w:r>
        <w:rPr>
          <w:rFonts w:eastAsia="Calibri" w:cs="Arial"/>
          <w:szCs w:val="22"/>
        </w:rPr>
        <w:t>Project</w:t>
      </w:r>
      <w:r w:rsidRPr="007A5812">
        <w:rPr>
          <w:rFonts w:eastAsia="Calibri" w:cs="Arial"/>
          <w:szCs w:val="22"/>
        </w:rPr>
        <w:t xml:space="preserve"> implementation, co-chairing the Project Board and leading implementation of key </w:t>
      </w:r>
      <w:r>
        <w:rPr>
          <w:rFonts w:eastAsia="Calibri" w:cs="Arial"/>
          <w:szCs w:val="22"/>
        </w:rPr>
        <w:t>Project</w:t>
      </w:r>
      <w:r w:rsidRPr="007A5812">
        <w:rPr>
          <w:rFonts w:eastAsia="Calibri" w:cs="Arial"/>
          <w:szCs w:val="22"/>
        </w:rPr>
        <w:t xml:space="preserve"> activities</w:t>
      </w:r>
      <w:proofErr w:type="gramStart"/>
      <w:r w:rsidRPr="007A5812">
        <w:rPr>
          <w:rFonts w:eastAsia="Calibri" w:cs="Arial"/>
          <w:szCs w:val="22"/>
        </w:rPr>
        <w:t xml:space="preserve">.  </w:t>
      </w:r>
      <w:proofErr w:type="gramEnd"/>
      <w:r w:rsidRPr="007A5812">
        <w:rPr>
          <w:rFonts w:eastAsia="Calibri" w:cs="Arial"/>
          <w:szCs w:val="22"/>
        </w:rPr>
        <w:t>The Ministry has requested UNDP support to implementation of the National Eco-Tourism Strategy 2019-2024 and has been engaged in the preparation of this project document.</w:t>
      </w:r>
    </w:p>
    <w:p w14:paraId="530B4A58" w14:textId="77777777" w:rsidR="00ED07BC" w:rsidRPr="007A5812" w:rsidRDefault="00ED07BC" w:rsidP="00ED07BC">
      <w:pPr>
        <w:spacing w:after="160" w:line="259" w:lineRule="auto"/>
        <w:contextualSpacing/>
        <w:rPr>
          <w:rFonts w:eastAsia="Calibri" w:cs="Arial"/>
          <w:szCs w:val="22"/>
        </w:rPr>
      </w:pPr>
    </w:p>
    <w:p w14:paraId="732FF8FE" w14:textId="77777777" w:rsidR="00ED07BC" w:rsidRPr="007A5812" w:rsidRDefault="00ED07BC" w:rsidP="00ED07BC">
      <w:pPr>
        <w:spacing w:after="160" w:line="259" w:lineRule="auto"/>
        <w:contextualSpacing/>
        <w:rPr>
          <w:rFonts w:eastAsia="Calibri" w:cs="Arial"/>
          <w:iCs/>
          <w:szCs w:val="22"/>
        </w:rPr>
      </w:pPr>
      <w:r w:rsidRPr="007A5812">
        <w:rPr>
          <w:rFonts w:eastAsia="Calibri" w:cs="Arial"/>
          <w:iCs/>
          <w:szCs w:val="22"/>
        </w:rPr>
        <w:t>With support of the Project, the Ministry of Tourism and Handicrafts will liaise with other Ministries, Departments and Agencies (MDAs) of the Government of Guinea Bissau in regard to integrating tourism into the national 2030 Agenda, both in terms of maximising exploitation of its potential to progress many of the SDGs, and in terms of avoiding or mitigating its negative effects on others</w:t>
      </w:r>
      <w:proofErr w:type="gramStart"/>
      <w:r w:rsidRPr="007A5812">
        <w:rPr>
          <w:rFonts w:eastAsia="Calibri" w:cs="Arial"/>
          <w:iCs/>
          <w:szCs w:val="22"/>
        </w:rPr>
        <w:t xml:space="preserve">.  </w:t>
      </w:r>
      <w:proofErr w:type="gramEnd"/>
      <w:r w:rsidRPr="007A5812">
        <w:rPr>
          <w:rFonts w:eastAsia="Calibri" w:cs="Arial"/>
          <w:iCs/>
          <w:szCs w:val="22"/>
        </w:rPr>
        <w:t>It will also work across Government to establish a conducive regulatory and fiscal framework (Ministry of Finance), market tourism abroad (Ministry of Foreign Affairs) and facilitate tourist arrivals (Ministry of Interior and</w:t>
      </w:r>
      <w:r w:rsidRPr="007A5812">
        <w:rPr>
          <w:rFonts w:eastAsia="Calibri" w:cs="Arial"/>
          <w:szCs w:val="22"/>
          <w:lang w:val="en-US"/>
        </w:rPr>
        <w:t xml:space="preserve"> </w:t>
      </w:r>
      <w:r w:rsidRPr="007A5812">
        <w:rPr>
          <w:rFonts w:eastAsia="Calibri" w:cs="Arial"/>
          <w:iCs/>
          <w:szCs w:val="22"/>
        </w:rPr>
        <w:t xml:space="preserve">Public Order), as well as spatial plans (Ministry of Public Works, Housing and Urbanism). </w:t>
      </w:r>
    </w:p>
    <w:p w14:paraId="12701F1D" w14:textId="77777777" w:rsidR="00ED07BC" w:rsidRPr="007A5812" w:rsidRDefault="00ED07BC" w:rsidP="00ED07BC">
      <w:pPr>
        <w:spacing w:after="160" w:line="259" w:lineRule="auto"/>
        <w:contextualSpacing/>
        <w:rPr>
          <w:rFonts w:eastAsia="Calibri" w:cs="Arial"/>
          <w:iCs/>
          <w:szCs w:val="22"/>
        </w:rPr>
      </w:pPr>
    </w:p>
    <w:p w14:paraId="7266524E" w14:textId="77777777" w:rsidR="00ED07BC" w:rsidRPr="007A5812" w:rsidRDefault="00ED07BC" w:rsidP="00ED07BC">
      <w:pPr>
        <w:spacing w:after="160" w:line="259" w:lineRule="auto"/>
        <w:contextualSpacing/>
        <w:rPr>
          <w:rFonts w:eastAsia="Calibri" w:cs="Arial"/>
          <w:szCs w:val="22"/>
        </w:rPr>
      </w:pPr>
      <w:r w:rsidRPr="007A5812">
        <w:rPr>
          <w:rFonts w:eastAsia="Calibri" w:cs="Arial"/>
          <w:szCs w:val="22"/>
        </w:rPr>
        <w:t xml:space="preserve">The Ministry of Tourism and Handicrafts will establish vertical coordination with local Government in the Region of </w:t>
      </w:r>
      <w:proofErr w:type="spellStart"/>
      <w:r w:rsidRPr="007A5812">
        <w:rPr>
          <w:rFonts w:eastAsia="Calibri" w:cs="Arial"/>
          <w:szCs w:val="22"/>
        </w:rPr>
        <w:t>Bolama-Bijagós</w:t>
      </w:r>
      <w:proofErr w:type="spellEnd"/>
      <w:r w:rsidRPr="007A5812">
        <w:rPr>
          <w:rFonts w:eastAsia="Calibri" w:cs="Arial"/>
          <w:szCs w:val="22"/>
        </w:rPr>
        <w:t xml:space="preserve"> and </w:t>
      </w:r>
      <w:proofErr w:type="spellStart"/>
      <w:r w:rsidRPr="007A5812">
        <w:rPr>
          <w:rFonts w:eastAsia="Calibri" w:cs="Arial"/>
          <w:szCs w:val="22"/>
        </w:rPr>
        <w:t>Cacheu</w:t>
      </w:r>
      <w:proofErr w:type="spellEnd"/>
      <w:r w:rsidRPr="007A5812">
        <w:rPr>
          <w:rFonts w:eastAsia="Calibri" w:cs="Arial"/>
          <w:szCs w:val="22"/>
        </w:rPr>
        <w:t xml:space="preserve"> River Basin, to lead tourism development planning in each target area as per the objectives and methodology of the </w:t>
      </w:r>
      <w:r>
        <w:rPr>
          <w:rFonts w:eastAsia="Calibri" w:cs="Arial"/>
          <w:szCs w:val="22"/>
        </w:rPr>
        <w:t>Project</w:t>
      </w:r>
      <w:r w:rsidRPr="007A5812">
        <w:rPr>
          <w:rFonts w:eastAsia="Calibri" w:cs="Arial"/>
          <w:szCs w:val="22"/>
        </w:rPr>
        <w:t>, in order for the Ministry of Tourism and Handicrafts to evaluate the approach for potential replication in other regions</w:t>
      </w:r>
      <w:proofErr w:type="gramStart"/>
      <w:r w:rsidRPr="007A5812">
        <w:rPr>
          <w:rFonts w:eastAsia="Calibri" w:cs="Arial"/>
          <w:szCs w:val="22"/>
        </w:rPr>
        <w:t xml:space="preserve">.  </w:t>
      </w:r>
      <w:proofErr w:type="gramEnd"/>
      <w:r w:rsidRPr="007A5812">
        <w:rPr>
          <w:rFonts w:eastAsia="Calibri" w:cs="Arial"/>
          <w:szCs w:val="22"/>
        </w:rPr>
        <w:t xml:space="preserve">Local Governments in the target areas will also have a lead role in prioritising geographic areas for </w:t>
      </w:r>
      <w:proofErr w:type="spellStart"/>
      <w:r w:rsidRPr="007A5812">
        <w:rPr>
          <w:rFonts w:eastAsia="Calibri" w:cs="Arial"/>
          <w:szCs w:val="22"/>
        </w:rPr>
        <w:t>minigrid</w:t>
      </w:r>
      <w:proofErr w:type="spellEnd"/>
      <w:r w:rsidRPr="007A5812">
        <w:rPr>
          <w:rFonts w:eastAsia="Calibri" w:cs="Arial"/>
          <w:szCs w:val="22"/>
        </w:rPr>
        <w:t xml:space="preserve"> installation and establishing </w:t>
      </w:r>
      <w:r>
        <w:rPr>
          <w:rFonts w:eastAsia="Calibri" w:cs="Arial"/>
          <w:szCs w:val="22"/>
        </w:rPr>
        <w:t xml:space="preserve">pilot </w:t>
      </w:r>
      <w:r w:rsidRPr="007A5812">
        <w:rPr>
          <w:rFonts w:eastAsia="Calibri" w:cs="Arial"/>
          <w:szCs w:val="22"/>
        </w:rPr>
        <w:t>hybrid ownership and management models.</w:t>
      </w:r>
    </w:p>
    <w:p w14:paraId="5A707212" w14:textId="77777777" w:rsidR="00ED07BC" w:rsidRPr="007A5812" w:rsidRDefault="00ED07BC" w:rsidP="00ED07BC">
      <w:pPr>
        <w:spacing w:after="160" w:line="259" w:lineRule="auto"/>
        <w:contextualSpacing/>
        <w:rPr>
          <w:rFonts w:eastAsia="Calibri" w:cs="Arial"/>
          <w:iCs/>
          <w:szCs w:val="22"/>
        </w:rPr>
      </w:pPr>
    </w:p>
    <w:p w14:paraId="26D50092" w14:textId="77777777" w:rsidR="00ED07BC" w:rsidRPr="00EE0BA1" w:rsidRDefault="00ED07BC" w:rsidP="00ED07BC">
      <w:pPr>
        <w:spacing w:after="160" w:line="259" w:lineRule="auto"/>
        <w:contextualSpacing/>
        <w:rPr>
          <w:rFonts w:eastAsia="Calibri" w:cs="Arial"/>
          <w:szCs w:val="22"/>
          <w:u w:val="single"/>
        </w:rPr>
      </w:pPr>
      <w:r w:rsidRPr="00EE0BA1">
        <w:rPr>
          <w:rFonts w:eastAsia="Calibri" w:cs="Arial"/>
          <w:szCs w:val="22"/>
          <w:u w:val="single"/>
        </w:rPr>
        <w:t xml:space="preserve">Local Communities and Civil Society in </w:t>
      </w:r>
      <w:proofErr w:type="spellStart"/>
      <w:r w:rsidRPr="00EE0BA1">
        <w:rPr>
          <w:rFonts w:eastAsia="Calibri" w:cs="Arial"/>
          <w:szCs w:val="22"/>
          <w:u w:val="single"/>
        </w:rPr>
        <w:t>Bijagós</w:t>
      </w:r>
      <w:proofErr w:type="spellEnd"/>
      <w:r w:rsidRPr="00EE0BA1">
        <w:rPr>
          <w:rFonts w:eastAsia="Calibri" w:cs="Arial"/>
          <w:szCs w:val="22"/>
          <w:u w:val="single"/>
        </w:rPr>
        <w:t xml:space="preserve"> Islands and </w:t>
      </w:r>
      <w:proofErr w:type="spellStart"/>
      <w:r w:rsidRPr="00EE0BA1">
        <w:rPr>
          <w:rFonts w:eastAsia="Calibri" w:cs="Arial"/>
          <w:szCs w:val="22"/>
          <w:u w:val="single"/>
        </w:rPr>
        <w:t>Cacheu</w:t>
      </w:r>
      <w:proofErr w:type="spellEnd"/>
      <w:r w:rsidRPr="00EE0BA1">
        <w:rPr>
          <w:rFonts w:eastAsia="Calibri" w:cs="Arial"/>
          <w:szCs w:val="22"/>
          <w:u w:val="single"/>
        </w:rPr>
        <w:t xml:space="preserve"> Region</w:t>
      </w:r>
    </w:p>
    <w:p w14:paraId="5483A752" w14:textId="77777777" w:rsidR="00ED07BC" w:rsidRPr="00FB7D7A" w:rsidRDefault="00ED07BC" w:rsidP="00ED07BC">
      <w:pPr>
        <w:spacing w:after="160" w:line="259" w:lineRule="auto"/>
        <w:contextualSpacing/>
        <w:rPr>
          <w:rFonts w:eastAsia="Calibri" w:cs="Arial"/>
          <w:b/>
          <w:bCs/>
          <w:szCs w:val="22"/>
        </w:rPr>
      </w:pPr>
    </w:p>
    <w:p w14:paraId="59B6DD2A" w14:textId="77777777" w:rsidR="00ED07BC" w:rsidRPr="00FB7D7A" w:rsidRDefault="00ED07BC" w:rsidP="00ED07BC">
      <w:pPr>
        <w:tabs>
          <w:tab w:val="left" w:pos="3200"/>
        </w:tabs>
        <w:spacing w:after="160" w:line="259" w:lineRule="auto"/>
        <w:contextualSpacing/>
        <w:rPr>
          <w:rFonts w:eastAsia="Calibri" w:cs="Arial"/>
          <w:iCs/>
          <w:szCs w:val="22"/>
        </w:rPr>
      </w:pPr>
      <w:r w:rsidRPr="00FB7D7A">
        <w:rPr>
          <w:rFonts w:eastAsia="Calibri" w:cs="Arial"/>
          <w:iCs/>
          <w:szCs w:val="22"/>
        </w:rPr>
        <w:t>The impact of tourism, positive and negative, is lived and felt in destination communities</w:t>
      </w:r>
      <w:proofErr w:type="gramStart"/>
      <w:r w:rsidRPr="00FB7D7A">
        <w:rPr>
          <w:rFonts w:eastAsia="Calibri" w:cs="Arial"/>
          <w:iCs/>
          <w:szCs w:val="22"/>
        </w:rPr>
        <w:t xml:space="preserve">.  </w:t>
      </w:r>
      <w:proofErr w:type="gramEnd"/>
      <w:r w:rsidRPr="00FB7D7A">
        <w:rPr>
          <w:rFonts w:eastAsia="Calibri" w:cs="Arial"/>
          <w:iCs/>
          <w:szCs w:val="22"/>
        </w:rPr>
        <w:t>It is for local people themselves to define the trajectory of tourism development in their own communities, given the trade-offs that will be necessary in progressing toward different SDG targets, and the need to meet the LNOB agenda locally</w:t>
      </w:r>
      <w:proofErr w:type="gramStart"/>
      <w:r w:rsidRPr="00FB7D7A">
        <w:rPr>
          <w:rFonts w:eastAsia="Calibri" w:cs="Arial"/>
          <w:iCs/>
          <w:szCs w:val="22"/>
        </w:rPr>
        <w:t xml:space="preserve">.  </w:t>
      </w:r>
      <w:proofErr w:type="gramEnd"/>
      <w:r w:rsidRPr="00FB7D7A">
        <w:rPr>
          <w:rFonts w:eastAsia="Calibri" w:cs="Arial"/>
          <w:iCs/>
          <w:szCs w:val="22"/>
        </w:rPr>
        <w:t xml:space="preserve">An inclusive and participatory approach to development planning can ensure buy-in and ownership, as well as promote sustainability and investment. </w:t>
      </w:r>
    </w:p>
    <w:p w14:paraId="574F6F12" w14:textId="77777777" w:rsidR="00ED07BC" w:rsidRPr="00FB7D7A" w:rsidRDefault="00ED07BC" w:rsidP="00ED07BC">
      <w:pPr>
        <w:tabs>
          <w:tab w:val="left" w:pos="3200"/>
        </w:tabs>
        <w:spacing w:after="160" w:line="259" w:lineRule="auto"/>
        <w:contextualSpacing/>
        <w:rPr>
          <w:rFonts w:eastAsia="Calibri" w:cs="Arial"/>
          <w:iCs/>
          <w:szCs w:val="22"/>
        </w:rPr>
      </w:pPr>
    </w:p>
    <w:p w14:paraId="1D64E513" w14:textId="77777777" w:rsidR="00ED07BC" w:rsidRPr="00FB7D7A" w:rsidRDefault="00ED07BC" w:rsidP="00ED07BC">
      <w:pPr>
        <w:tabs>
          <w:tab w:val="left" w:pos="3200"/>
        </w:tabs>
        <w:spacing w:after="160" w:line="259" w:lineRule="auto"/>
        <w:contextualSpacing/>
        <w:rPr>
          <w:rFonts w:eastAsia="Calibri" w:cs="Arial"/>
          <w:iCs/>
          <w:szCs w:val="22"/>
        </w:rPr>
      </w:pPr>
      <w:r w:rsidRPr="00FB7D7A">
        <w:rPr>
          <w:rFonts w:cs="Arial"/>
          <w:szCs w:val="22"/>
        </w:rPr>
        <w:t>Development is too often perceived at community-level as a top-down process, in which local people have little say or agency</w:t>
      </w:r>
      <w:proofErr w:type="gramStart"/>
      <w:r w:rsidRPr="00FB7D7A">
        <w:rPr>
          <w:rFonts w:cs="Arial"/>
          <w:szCs w:val="22"/>
        </w:rPr>
        <w:t xml:space="preserve">.  </w:t>
      </w:r>
      <w:proofErr w:type="gramEnd"/>
      <w:r w:rsidRPr="00FB7D7A">
        <w:rPr>
          <w:rFonts w:cs="Arial"/>
          <w:szCs w:val="22"/>
        </w:rPr>
        <w:t>This perception can be effectively bridged by NGOs and CBOs that have local knowledge and credibility</w:t>
      </w:r>
      <w:proofErr w:type="gramStart"/>
      <w:r w:rsidRPr="00FB7D7A">
        <w:rPr>
          <w:rFonts w:cs="Arial"/>
          <w:szCs w:val="22"/>
        </w:rPr>
        <w:t xml:space="preserve">.  </w:t>
      </w:r>
      <w:proofErr w:type="gramEnd"/>
      <w:r w:rsidRPr="00FB7D7A">
        <w:rPr>
          <w:rFonts w:cs="Arial"/>
          <w:szCs w:val="22"/>
        </w:rPr>
        <w:t>NGOs and CBOs have a particularly significant role to play in mobilising the public to the local 2030 Agenda, in development planning, and as technical partners to implementation and monitoring</w:t>
      </w:r>
      <w:proofErr w:type="gramStart"/>
      <w:r w:rsidRPr="00FB7D7A">
        <w:rPr>
          <w:rFonts w:cs="Arial"/>
          <w:szCs w:val="22"/>
        </w:rPr>
        <w:t xml:space="preserve">.  </w:t>
      </w:r>
      <w:proofErr w:type="gramEnd"/>
      <w:r w:rsidRPr="00FB7D7A">
        <w:rPr>
          <w:rFonts w:eastAsia="Calibri" w:cs="Arial"/>
          <w:szCs w:val="22"/>
        </w:rPr>
        <w:t>They are also expected to advocate for cross-cutting issues, challenges and possible solutions that can add value and impact, and to promote accountability of Government for effectiveness and cost-efficiency of service provision, rule of law and respect for human rights.</w:t>
      </w:r>
    </w:p>
    <w:p w14:paraId="42B4D415" w14:textId="77777777" w:rsidR="00ED07BC" w:rsidRPr="00FB7D7A" w:rsidRDefault="00ED07BC" w:rsidP="00ED07BC">
      <w:pPr>
        <w:spacing w:after="160" w:line="259" w:lineRule="auto"/>
        <w:contextualSpacing/>
        <w:rPr>
          <w:rFonts w:eastAsia="Calibri" w:cs="Arial"/>
          <w:b/>
          <w:bCs/>
          <w:szCs w:val="22"/>
        </w:rPr>
      </w:pPr>
    </w:p>
    <w:p w14:paraId="2E38FCBA" w14:textId="77777777" w:rsidR="00ED07BC" w:rsidRPr="00EE0BA1" w:rsidRDefault="00ED07BC" w:rsidP="00ED07BC">
      <w:pPr>
        <w:spacing w:after="160" w:line="259" w:lineRule="auto"/>
        <w:contextualSpacing/>
        <w:rPr>
          <w:rFonts w:eastAsia="Calibri" w:cs="Arial"/>
          <w:szCs w:val="22"/>
          <w:u w:val="single"/>
        </w:rPr>
      </w:pPr>
      <w:r w:rsidRPr="00EE0BA1">
        <w:rPr>
          <w:rFonts w:eastAsia="Calibri" w:cs="Arial"/>
          <w:szCs w:val="22"/>
          <w:u w:val="single"/>
        </w:rPr>
        <w:t>Tourism Private Sector</w:t>
      </w:r>
    </w:p>
    <w:p w14:paraId="5B442FE7" w14:textId="77777777" w:rsidR="00ED07BC" w:rsidRPr="00FB7D7A" w:rsidRDefault="00ED07BC" w:rsidP="00ED07BC">
      <w:pPr>
        <w:spacing w:after="160" w:line="259" w:lineRule="auto"/>
        <w:contextualSpacing/>
        <w:rPr>
          <w:rFonts w:eastAsia="Calibri" w:cs="Arial"/>
          <w:b/>
          <w:bCs/>
          <w:szCs w:val="22"/>
        </w:rPr>
      </w:pPr>
    </w:p>
    <w:p w14:paraId="61EEA3EE" w14:textId="77777777" w:rsidR="00ED07BC" w:rsidRPr="00FB7D7A" w:rsidRDefault="00ED07BC" w:rsidP="00ED07BC">
      <w:pPr>
        <w:spacing w:after="160" w:line="259" w:lineRule="auto"/>
        <w:contextualSpacing/>
        <w:rPr>
          <w:rFonts w:eastAsia="Calibri" w:cs="Arial"/>
          <w:szCs w:val="22"/>
        </w:rPr>
      </w:pPr>
      <w:r w:rsidRPr="00FB7D7A">
        <w:rPr>
          <w:rFonts w:eastAsia="Calibri" w:cs="Arial"/>
          <w:szCs w:val="22"/>
        </w:rPr>
        <w:t xml:space="preserve">The private sector in Guinea Bissau is composed of a few </w:t>
      </w:r>
      <w:proofErr w:type="gramStart"/>
      <w:r w:rsidRPr="00FB7D7A">
        <w:rPr>
          <w:rFonts w:eastAsia="Calibri" w:cs="Arial"/>
          <w:szCs w:val="22"/>
        </w:rPr>
        <w:t>finance</w:t>
      </w:r>
      <w:proofErr w:type="gramEnd"/>
      <w:r w:rsidRPr="00FB7D7A">
        <w:rPr>
          <w:rFonts w:eastAsia="Calibri" w:cs="Arial"/>
          <w:szCs w:val="22"/>
        </w:rPr>
        <w:t xml:space="preserve">, trade, transport and service enterprises, primarily located in the capital. Industrial production remains small-scaled and largely limited to the processing of agricultural products. The emerging tourism sector is focused on sport fishing in the </w:t>
      </w:r>
      <w:proofErr w:type="spellStart"/>
      <w:r w:rsidRPr="00FB7D7A">
        <w:rPr>
          <w:rFonts w:eastAsia="Calibri" w:cs="Arial"/>
          <w:szCs w:val="22"/>
        </w:rPr>
        <w:t>Bijagós</w:t>
      </w:r>
      <w:proofErr w:type="spellEnd"/>
      <w:r w:rsidRPr="00FB7D7A">
        <w:rPr>
          <w:rFonts w:eastAsia="Calibri" w:cs="Arial"/>
          <w:szCs w:val="22"/>
        </w:rPr>
        <w:t xml:space="preserve"> archipelago. In general, the private sector is characterized by a high degree of informality, with micro, small and medium enterprises (MSMEs) lacking operational capacity and sufficient incentives to formalise their enterprises.</w:t>
      </w:r>
    </w:p>
    <w:p w14:paraId="1B13DAB3" w14:textId="77777777" w:rsidR="00ED07BC" w:rsidRPr="00FB7D7A" w:rsidRDefault="00ED07BC" w:rsidP="00ED07BC">
      <w:pPr>
        <w:spacing w:after="160" w:line="259" w:lineRule="auto"/>
        <w:contextualSpacing/>
        <w:rPr>
          <w:rFonts w:eastAsia="Calibri" w:cs="Arial"/>
          <w:szCs w:val="22"/>
        </w:rPr>
      </w:pPr>
    </w:p>
    <w:p w14:paraId="63B9B475" w14:textId="77777777" w:rsidR="00ED07BC" w:rsidRPr="00FB7D7A" w:rsidRDefault="00ED07BC" w:rsidP="00ED07BC">
      <w:pPr>
        <w:spacing w:after="160" w:line="259" w:lineRule="auto"/>
        <w:contextualSpacing/>
        <w:rPr>
          <w:rFonts w:eastAsia="Calibri" w:cs="Arial"/>
          <w:szCs w:val="22"/>
        </w:rPr>
      </w:pPr>
      <w:r w:rsidRPr="00FB7D7A">
        <w:rPr>
          <w:rFonts w:cs="Arial"/>
          <w:szCs w:val="22"/>
        </w:rPr>
        <w:t>The 2021 UNDP study “</w:t>
      </w:r>
      <w:r w:rsidRPr="00FB7D7A">
        <w:rPr>
          <w:rFonts w:cs="Arial"/>
          <w:i/>
          <w:iCs/>
          <w:szCs w:val="22"/>
        </w:rPr>
        <w:t>Building forward better for businesses in Guinea-Bissau</w:t>
      </w:r>
      <w:r w:rsidRPr="00FB7D7A">
        <w:rPr>
          <w:rFonts w:cs="Arial"/>
          <w:szCs w:val="22"/>
        </w:rPr>
        <w:t>” highlighted lack of enabling environment, weak governance, corruption, high costs and poor access to finance (particularly microfinance) as the chief among challenges facing the private sector. It is estimated that only 2.7 percent of businesses in Guinea-Bissau has access to bank credit, as opposed to 20.7 percent of businesses in Sub-Saharan Africa as a whole.</w:t>
      </w:r>
      <w:r w:rsidRPr="00FB7D7A">
        <w:rPr>
          <w:rFonts w:cs="Arial"/>
          <w:szCs w:val="22"/>
          <w:vertAlign w:val="superscript"/>
        </w:rPr>
        <w:footnoteReference w:id="9"/>
      </w:r>
      <w:r w:rsidRPr="00FB7D7A">
        <w:rPr>
          <w:rFonts w:cs="Arial"/>
          <w:szCs w:val="22"/>
        </w:rPr>
        <w:t xml:space="preserve">  This issue is currently being addressed by UNDP through their Financial inclusion project</w:t>
      </w:r>
      <w:proofErr w:type="gramStart"/>
      <w:r w:rsidRPr="00FB7D7A">
        <w:rPr>
          <w:rFonts w:cs="Arial"/>
          <w:szCs w:val="22"/>
        </w:rPr>
        <w:t xml:space="preserve">.  </w:t>
      </w:r>
      <w:proofErr w:type="gramEnd"/>
      <w:r w:rsidRPr="00FB7D7A">
        <w:rPr>
          <w:rFonts w:cs="Arial"/>
          <w:szCs w:val="22"/>
        </w:rPr>
        <w:t>Another key constraint is lack of access to public electricity provision, affecting 59% of firms outside of the capital Bissau</w:t>
      </w:r>
      <w:proofErr w:type="gramStart"/>
      <w:r w:rsidRPr="00FB7D7A">
        <w:rPr>
          <w:rFonts w:cs="Arial"/>
          <w:szCs w:val="22"/>
        </w:rPr>
        <w:t xml:space="preserve">.  </w:t>
      </w:r>
      <w:proofErr w:type="gramEnd"/>
      <w:r w:rsidRPr="00FB7D7A">
        <w:rPr>
          <w:rFonts w:cs="Arial"/>
          <w:szCs w:val="22"/>
        </w:rPr>
        <w:t xml:space="preserve">Neither the </w:t>
      </w:r>
      <w:proofErr w:type="spellStart"/>
      <w:r w:rsidRPr="00FB7D7A">
        <w:rPr>
          <w:rFonts w:cs="Arial"/>
          <w:szCs w:val="22"/>
        </w:rPr>
        <w:t>Bijagós</w:t>
      </w:r>
      <w:proofErr w:type="spellEnd"/>
      <w:r w:rsidRPr="00FB7D7A">
        <w:rPr>
          <w:rFonts w:cs="Arial"/>
          <w:szCs w:val="22"/>
        </w:rPr>
        <w:t xml:space="preserve"> Islands nor the </w:t>
      </w:r>
      <w:proofErr w:type="spellStart"/>
      <w:r w:rsidRPr="00FB7D7A">
        <w:rPr>
          <w:rFonts w:cs="Arial"/>
          <w:szCs w:val="22"/>
        </w:rPr>
        <w:t>Cacheu</w:t>
      </w:r>
      <w:proofErr w:type="spellEnd"/>
      <w:r w:rsidRPr="00FB7D7A">
        <w:rPr>
          <w:rFonts w:cs="Arial"/>
          <w:szCs w:val="22"/>
        </w:rPr>
        <w:t xml:space="preserve"> Region have prospects of connection to the national grid.</w:t>
      </w:r>
    </w:p>
    <w:p w14:paraId="664CC584" w14:textId="77777777" w:rsidR="00ED07BC" w:rsidRPr="00FB7D7A" w:rsidRDefault="00ED07BC" w:rsidP="00ED07BC">
      <w:pPr>
        <w:spacing w:after="160" w:line="259" w:lineRule="auto"/>
        <w:contextualSpacing/>
        <w:rPr>
          <w:rFonts w:eastAsia="Calibri" w:cs="Arial"/>
          <w:szCs w:val="22"/>
        </w:rPr>
      </w:pPr>
    </w:p>
    <w:p w14:paraId="2A425111" w14:textId="77777777" w:rsidR="00ED07BC" w:rsidRPr="00FB7D7A" w:rsidRDefault="00ED07BC" w:rsidP="00ED07BC">
      <w:pPr>
        <w:spacing w:after="160" w:line="259" w:lineRule="auto"/>
        <w:contextualSpacing/>
        <w:rPr>
          <w:rFonts w:eastAsia="Calibri" w:cs="Arial"/>
          <w:szCs w:val="22"/>
        </w:rPr>
      </w:pPr>
      <w:r w:rsidRPr="00FB7D7A">
        <w:rPr>
          <w:rFonts w:eastAsia="Calibri" w:cs="Arial"/>
          <w:szCs w:val="22"/>
        </w:rPr>
        <w:t>The tourism private sector can contribute to all 17 SDGs, but relate mostly to SDGs 11, 12, 13, 1, 4, and 8, on ‘Responsible Consumption and Production’, ‘Climate Action’, ‘No Poverty’, ‘Quality Education’ and ‘Decent Work and Economic Growth’, respectively</w:t>
      </w:r>
      <w:proofErr w:type="gramStart"/>
      <w:r w:rsidRPr="00FB7D7A">
        <w:rPr>
          <w:rFonts w:eastAsia="Calibri" w:cs="Arial"/>
          <w:szCs w:val="22"/>
        </w:rPr>
        <w:t xml:space="preserve">. </w:t>
      </w:r>
      <w:r>
        <w:rPr>
          <w:rFonts w:eastAsia="Calibri" w:cs="Arial"/>
          <w:szCs w:val="22"/>
        </w:rPr>
        <w:t xml:space="preserve"> </w:t>
      </w:r>
      <w:proofErr w:type="gramEnd"/>
      <w:r>
        <w:rPr>
          <w:rFonts w:eastAsia="Calibri" w:cs="Arial"/>
          <w:szCs w:val="22"/>
        </w:rPr>
        <w:t xml:space="preserve"> </w:t>
      </w:r>
      <w:r w:rsidRPr="00FB7D7A">
        <w:rPr>
          <w:rFonts w:eastAsia="Calibri" w:cs="Arial"/>
          <w:szCs w:val="22"/>
        </w:rPr>
        <w:t xml:space="preserve">The </w:t>
      </w:r>
      <w:r>
        <w:rPr>
          <w:rFonts w:eastAsia="Calibri" w:cs="Arial"/>
          <w:szCs w:val="22"/>
        </w:rPr>
        <w:t>Project</w:t>
      </w:r>
      <w:r w:rsidRPr="00FB7D7A">
        <w:rPr>
          <w:rFonts w:eastAsia="Calibri" w:cs="Arial"/>
          <w:szCs w:val="22"/>
        </w:rPr>
        <w:t xml:space="preserve"> will engage in private sector dialogue and awareness raising, promote ecotourism accreditation schemes and provide capacity development support and targeted capital grants to incentivise both a tangible greening of local operations during the course of implementation and a broader cultural shift</w:t>
      </w:r>
      <w:r>
        <w:rPr>
          <w:rFonts w:eastAsia="Calibri" w:cs="Arial"/>
          <w:szCs w:val="22"/>
        </w:rPr>
        <w:t xml:space="preserve">, supporting </w:t>
      </w:r>
      <w:r w:rsidRPr="00FB7D7A">
        <w:rPr>
          <w:rFonts w:eastAsia="Calibri" w:cs="Arial"/>
          <w:szCs w:val="22"/>
        </w:rPr>
        <w:t xml:space="preserve">tourism companies </w:t>
      </w:r>
      <w:r>
        <w:rPr>
          <w:rFonts w:eastAsia="Calibri" w:cs="Arial"/>
          <w:szCs w:val="22"/>
        </w:rPr>
        <w:t xml:space="preserve">to </w:t>
      </w:r>
      <w:r w:rsidRPr="00FB7D7A">
        <w:rPr>
          <w:rFonts w:eastAsia="Calibri" w:cs="Arial"/>
          <w:szCs w:val="22"/>
        </w:rPr>
        <w:t>recognize that aligning business goals with the SDGs can bring about greater efficiencies, cost savings and competitiveness</w:t>
      </w:r>
      <w:r>
        <w:rPr>
          <w:rFonts w:eastAsia="Calibri" w:cs="Arial"/>
          <w:szCs w:val="22"/>
        </w:rPr>
        <w:t>,</w:t>
      </w:r>
      <w:r w:rsidRPr="00FB7D7A">
        <w:rPr>
          <w:rFonts w:eastAsia="Calibri" w:cs="Arial"/>
          <w:szCs w:val="22"/>
        </w:rPr>
        <w:t xml:space="preserve"> while enhancing their social license to operate.</w:t>
      </w:r>
    </w:p>
    <w:p w14:paraId="4D2CB32B" w14:textId="77777777" w:rsidR="00ED07BC" w:rsidRPr="00FB7D7A" w:rsidRDefault="00ED07BC" w:rsidP="00ED07BC">
      <w:pPr>
        <w:spacing w:after="160" w:line="259" w:lineRule="auto"/>
        <w:contextualSpacing/>
        <w:rPr>
          <w:rFonts w:eastAsia="Calibri" w:cs="Arial"/>
          <w:szCs w:val="22"/>
        </w:rPr>
      </w:pPr>
    </w:p>
    <w:p w14:paraId="46E26917" w14:textId="77777777" w:rsidR="00ED07BC" w:rsidRPr="00B0072D" w:rsidRDefault="00ED07BC" w:rsidP="00ED07BC">
      <w:pPr>
        <w:spacing w:before="240" w:after="160" w:line="259" w:lineRule="auto"/>
        <w:contextualSpacing/>
        <w:rPr>
          <w:rFonts w:cs="Arial"/>
          <w:bCs/>
          <w:iCs/>
          <w:szCs w:val="22"/>
          <w:u w:val="single"/>
        </w:rPr>
      </w:pPr>
      <w:r w:rsidRPr="00B0072D">
        <w:rPr>
          <w:rFonts w:cs="Arial"/>
          <w:bCs/>
          <w:iCs/>
          <w:szCs w:val="22"/>
          <w:u w:val="single"/>
        </w:rPr>
        <w:t>Specialised UN Agencies</w:t>
      </w:r>
    </w:p>
    <w:p w14:paraId="76E6637B" w14:textId="77777777" w:rsidR="00ED07BC" w:rsidRPr="00B0072D" w:rsidRDefault="00ED07BC" w:rsidP="00ED07BC">
      <w:pPr>
        <w:spacing w:before="240" w:after="160" w:line="259" w:lineRule="auto"/>
        <w:contextualSpacing/>
        <w:rPr>
          <w:rFonts w:cs="Arial"/>
          <w:b/>
          <w:i/>
          <w:szCs w:val="22"/>
        </w:rPr>
      </w:pPr>
    </w:p>
    <w:p w14:paraId="7F835480" w14:textId="5E05287B" w:rsidR="00ED07BC" w:rsidRDefault="009E3419" w:rsidP="00ED07BC">
      <w:pPr>
        <w:spacing w:after="160" w:line="259" w:lineRule="auto"/>
        <w:contextualSpacing/>
        <w:rPr>
          <w:rFonts w:eastAsia="Calibri" w:cs="Arial"/>
          <w:iCs/>
          <w:szCs w:val="22"/>
        </w:rPr>
      </w:pPr>
      <w:r>
        <w:rPr>
          <w:rFonts w:eastAsia="Calibri" w:cs="Arial"/>
          <w:szCs w:val="22"/>
        </w:rPr>
        <w:t xml:space="preserve">UNDP will build partnership with </w:t>
      </w:r>
      <w:r w:rsidR="00ED07BC" w:rsidRPr="00B0072D">
        <w:rPr>
          <w:rFonts w:eastAsia="Calibri" w:cs="Arial"/>
          <w:szCs w:val="22"/>
        </w:rPr>
        <w:t xml:space="preserve">UN-Habitat </w:t>
      </w:r>
      <w:r>
        <w:rPr>
          <w:rFonts w:eastAsia="Calibri" w:cs="Arial"/>
          <w:szCs w:val="22"/>
        </w:rPr>
        <w:t>and World Bank as well</w:t>
      </w:r>
      <w:r w:rsidR="007626DF">
        <w:rPr>
          <w:rFonts w:eastAsia="Calibri" w:cs="Arial"/>
          <w:szCs w:val="22"/>
        </w:rPr>
        <w:t xml:space="preserve"> as facilitate technical assistance from Worl</w:t>
      </w:r>
      <w:r w:rsidR="00782712">
        <w:rPr>
          <w:rFonts w:eastAsia="Calibri" w:cs="Arial"/>
          <w:szCs w:val="22"/>
        </w:rPr>
        <w:t>d</w:t>
      </w:r>
      <w:r w:rsidR="007626DF">
        <w:rPr>
          <w:rFonts w:eastAsia="Calibri" w:cs="Arial"/>
          <w:szCs w:val="22"/>
        </w:rPr>
        <w:t xml:space="preserve"> Tourism Organization. </w:t>
      </w:r>
      <w:r w:rsidR="00782712" w:rsidRPr="00B0072D">
        <w:rPr>
          <w:rFonts w:eastAsia="Calibri" w:cs="Arial"/>
          <w:szCs w:val="22"/>
        </w:rPr>
        <w:t xml:space="preserve">UN-Habitat </w:t>
      </w:r>
      <w:r w:rsidR="00ED07BC" w:rsidRPr="00B0072D">
        <w:rPr>
          <w:rFonts w:eastAsia="Calibri" w:cs="Arial"/>
          <w:szCs w:val="22"/>
        </w:rPr>
        <w:t xml:space="preserve">has a unique contribution to make </w:t>
      </w:r>
      <w:r w:rsidR="00ED07BC" w:rsidRPr="00B0072D">
        <w:rPr>
          <w:rFonts w:cs="Arial"/>
          <w:bCs/>
          <w:iCs/>
          <w:szCs w:val="22"/>
        </w:rPr>
        <w:t xml:space="preserve">to </w:t>
      </w:r>
      <w:r w:rsidR="00ED07BC" w:rsidRPr="00B0072D">
        <w:rPr>
          <w:rFonts w:eastAsia="Calibri" w:cs="Arial"/>
          <w:color w:val="0A0A0A"/>
          <w:szCs w:val="22"/>
          <w:lang w:eastAsia="en-GB"/>
        </w:rPr>
        <w:t xml:space="preserve">strengthen national and </w:t>
      </w:r>
      <w:r w:rsidR="00ED07BC" w:rsidRPr="00B0072D">
        <w:rPr>
          <w:rFonts w:eastAsia="Calibri" w:cs="Arial"/>
          <w:iCs/>
          <w:szCs w:val="22"/>
        </w:rPr>
        <w:t>regional development planning</w:t>
      </w:r>
      <w:r w:rsidR="00ED07BC" w:rsidRPr="00B0072D">
        <w:rPr>
          <w:rFonts w:eastAsia="Calibri" w:cs="Arial"/>
          <w:szCs w:val="22"/>
        </w:rPr>
        <w:t xml:space="preserve"> </w:t>
      </w:r>
      <w:r w:rsidR="00ED07BC">
        <w:rPr>
          <w:rFonts w:eastAsia="Calibri" w:cs="Arial"/>
          <w:szCs w:val="22"/>
        </w:rPr>
        <w:t>through its</w:t>
      </w:r>
      <w:r w:rsidR="00ED07BC" w:rsidRPr="00B0072D">
        <w:rPr>
          <w:rFonts w:cs="Arial"/>
          <w:bCs/>
          <w:iCs/>
          <w:szCs w:val="22"/>
        </w:rPr>
        <w:t xml:space="preserve"> Spatial Development Framework (SDF) that supports Government </w:t>
      </w:r>
      <w:r w:rsidR="00ED07BC">
        <w:rPr>
          <w:rFonts w:cs="Arial"/>
          <w:bCs/>
          <w:iCs/>
          <w:szCs w:val="22"/>
        </w:rPr>
        <w:t>to establish</w:t>
      </w:r>
      <w:r w:rsidR="00ED07BC" w:rsidRPr="00B0072D">
        <w:rPr>
          <w:rFonts w:eastAsia="Calibri" w:cs="Arial"/>
          <w:iCs/>
          <w:szCs w:val="22"/>
        </w:rPr>
        <w:t xml:space="preserve"> spatial vision and strategy specific to a given region with a view to maximizing the benefits from investments and bringing about more spatially balanced and efficient regional development patterns</w:t>
      </w:r>
      <w:proofErr w:type="gramStart"/>
      <w:r w:rsidR="00ED07BC" w:rsidRPr="00B0072D">
        <w:rPr>
          <w:rFonts w:eastAsia="Calibri" w:cs="Arial"/>
          <w:iCs/>
          <w:szCs w:val="22"/>
        </w:rPr>
        <w:t xml:space="preserve">.  </w:t>
      </w:r>
      <w:proofErr w:type="gramEnd"/>
      <w:r w:rsidR="00ED07BC" w:rsidRPr="00B0072D">
        <w:rPr>
          <w:rFonts w:eastAsia="Calibri" w:cs="Arial"/>
          <w:iCs/>
          <w:szCs w:val="22"/>
        </w:rPr>
        <w:t xml:space="preserve">The approach has also been applied at the Regional and Local levels, combined with Spatial Planning methods, which resulted in the already mentioned </w:t>
      </w:r>
      <w:proofErr w:type="spellStart"/>
      <w:r w:rsidR="00ED07BC" w:rsidRPr="00B0072D">
        <w:rPr>
          <w:rFonts w:eastAsia="Calibri" w:cs="Arial"/>
          <w:iCs/>
          <w:szCs w:val="22"/>
        </w:rPr>
        <w:t>Bijagós</w:t>
      </w:r>
      <w:proofErr w:type="spellEnd"/>
      <w:r w:rsidR="00ED07BC" w:rsidRPr="00B0072D">
        <w:rPr>
          <w:rFonts w:eastAsia="Calibri" w:cs="Arial"/>
          <w:iCs/>
          <w:szCs w:val="22"/>
        </w:rPr>
        <w:t xml:space="preserve"> 2030 and Territorial Plans for </w:t>
      </w:r>
      <w:proofErr w:type="spellStart"/>
      <w:r w:rsidR="00ED07BC" w:rsidRPr="00B0072D">
        <w:rPr>
          <w:rFonts w:eastAsia="Calibri" w:cs="Arial"/>
          <w:iCs/>
          <w:szCs w:val="22"/>
        </w:rPr>
        <w:t>Bubaque</w:t>
      </w:r>
      <w:proofErr w:type="spellEnd"/>
      <w:r w:rsidR="00ED07BC" w:rsidRPr="00B0072D">
        <w:rPr>
          <w:rFonts w:eastAsia="Calibri" w:cs="Arial"/>
          <w:iCs/>
          <w:szCs w:val="22"/>
        </w:rPr>
        <w:t xml:space="preserve"> and </w:t>
      </w:r>
      <w:proofErr w:type="spellStart"/>
      <w:r w:rsidR="00ED07BC" w:rsidRPr="00B0072D">
        <w:rPr>
          <w:rFonts w:eastAsia="Calibri" w:cs="Arial"/>
          <w:iCs/>
          <w:szCs w:val="22"/>
        </w:rPr>
        <w:t>Bolama</w:t>
      </w:r>
      <w:proofErr w:type="spellEnd"/>
      <w:r w:rsidR="00ED07BC" w:rsidRPr="00B0072D">
        <w:rPr>
          <w:rFonts w:eastAsia="Calibri" w:cs="Arial"/>
          <w:iCs/>
          <w:szCs w:val="22"/>
        </w:rPr>
        <w:t>.</w:t>
      </w:r>
    </w:p>
    <w:p w14:paraId="06EEEE3C" w14:textId="4C6B8EDC" w:rsidR="00782712" w:rsidRDefault="00782712" w:rsidP="00ED07BC">
      <w:pPr>
        <w:spacing w:after="160" w:line="259" w:lineRule="auto"/>
        <w:contextualSpacing/>
        <w:rPr>
          <w:rFonts w:eastAsia="Calibri" w:cs="Arial"/>
          <w:iCs/>
          <w:szCs w:val="22"/>
        </w:rPr>
      </w:pPr>
    </w:p>
    <w:p w14:paraId="55546C2E" w14:textId="2C4831F2" w:rsidR="00E25478" w:rsidRPr="00B0072D" w:rsidRDefault="00E25478" w:rsidP="00ED07BC">
      <w:pPr>
        <w:spacing w:after="160" w:line="259" w:lineRule="auto"/>
        <w:contextualSpacing/>
        <w:rPr>
          <w:rFonts w:eastAsia="Calibri" w:cs="Arial"/>
          <w:iCs/>
          <w:szCs w:val="22"/>
        </w:rPr>
      </w:pPr>
      <w:r>
        <w:rPr>
          <w:rFonts w:eastAsia="Calibri" w:cs="Arial"/>
          <w:iCs/>
          <w:szCs w:val="22"/>
        </w:rPr>
        <w:t>The World Bank has invested heavily in the energy sector</w:t>
      </w:r>
      <w:r w:rsidR="00C2084D">
        <w:rPr>
          <w:rFonts w:eastAsia="Calibri" w:cs="Arial"/>
          <w:iCs/>
          <w:szCs w:val="22"/>
        </w:rPr>
        <w:t xml:space="preserve"> in Guinea Bissau and currently a new large investment </w:t>
      </w:r>
      <w:r w:rsidR="00E8552C">
        <w:rPr>
          <w:rFonts w:eastAsia="Calibri" w:cs="Arial"/>
          <w:iCs/>
          <w:szCs w:val="22"/>
        </w:rPr>
        <w:t>is</w:t>
      </w:r>
      <w:r w:rsidR="00C2084D">
        <w:rPr>
          <w:rFonts w:eastAsia="Calibri" w:cs="Arial"/>
          <w:iCs/>
          <w:szCs w:val="22"/>
        </w:rPr>
        <w:t xml:space="preserve"> planned </w:t>
      </w:r>
      <w:r w:rsidR="0067566D">
        <w:rPr>
          <w:rFonts w:eastAsia="Calibri" w:cs="Arial"/>
          <w:iCs/>
          <w:szCs w:val="22"/>
        </w:rPr>
        <w:t>which focus on sustainable renewable energy models linked to local development</w:t>
      </w:r>
      <w:r w:rsidR="00E8552C">
        <w:rPr>
          <w:rFonts w:eastAsia="Calibri" w:cs="Arial"/>
          <w:iCs/>
          <w:szCs w:val="22"/>
        </w:rPr>
        <w:t xml:space="preserve">. This is an opportunity for close collaboration between UNDP and World Bank. </w:t>
      </w:r>
    </w:p>
    <w:p w14:paraId="6C4DA536" w14:textId="77777777" w:rsidR="00ED07BC" w:rsidRPr="00B0072D" w:rsidRDefault="00ED07BC" w:rsidP="00ED07BC">
      <w:pPr>
        <w:spacing w:before="240" w:after="160" w:line="259" w:lineRule="auto"/>
        <w:contextualSpacing/>
        <w:rPr>
          <w:rFonts w:cs="Arial"/>
          <w:b/>
          <w:i/>
          <w:szCs w:val="22"/>
        </w:rPr>
      </w:pPr>
    </w:p>
    <w:p w14:paraId="79C80C6A" w14:textId="77777777" w:rsidR="00ED07BC" w:rsidRPr="00B0072D" w:rsidRDefault="00ED07BC" w:rsidP="00ED07BC">
      <w:pPr>
        <w:spacing w:after="160" w:line="259" w:lineRule="auto"/>
        <w:contextualSpacing/>
        <w:rPr>
          <w:rFonts w:eastAsia="Calibri" w:cs="Arial"/>
          <w:szCs w:val="22"/>
        </w:rPr>
      </w:pPr>
      <w:r w:rsidRPr="00B0072D">
        <w:rPr>
          <w:rFonts w:eastAsia="Calibri" w:cs="Arial"/>
          <w:szCs w:val="22"/>
          <w:lang w:eastAsia="en-GB"/>
        </w:rPr>
        <w:t>UNDP will also provide a logistical platform for the provision of specialised expertise from the World Tourism Organisation (UNWTO)</w:t>
      </w:r>
      <w:proofErr w:type="gramStart"/>
      <w:r w:rsidRPr="00B0072D">
        <w:rPr>
          <w:rFonts w:eastAsia="Calibri" w:cs="Arial"/>
          <w:szCs w:val="22"/>
          <w:lang w:eastAsia="en-GB"/>
        </w:rPr>
        <w:t xml:space="preserve">.  </w:t>
      </w:r>
      <w:proofErr w:type="gramEnd"/>
      <w:r w:rsidRPr="00B0072D">
        <w:rPr>
          <w:rFonts w:eastAsia="Calibri" w:cs="Arial"/>
          <w:szCs w:val="22"/>
          <w:lang w:eastAsia="en-GB"/>
        </w:rPr>
        <w:t xml:space="preserve">In 2015, International Year of Tourism, UNDP and UNWTO launched the publication </w:t>
      </w:r>
      <w:r w:rsidRPr="00B0072D">
        <w:rPr>
          <w:rFonts w:eastAsia="Calibri" w:cs="Arial"/>
          <w:i/>
          <w:iCs/>
          <w:szCs w:val="22"/>
        </w:rPr>
        <w:t>Tourism and the Sustainable Development Goals – Journey to 2030</w:t>
      </w:r>
      <w:r w:rsidRPr="00B0072D">
        <w:rPr>
          <w:rFonts w:eastAsia="Calibri" w:cs="Arial"/>
          <w:i/>
          <w:iCs/>
          <w:szCs w:val="22"/>
          <w:vertAlign w:val="superscript"/>
        </w:rPr>
        <w:footnoteReference w:id="10"/>
      </w:r>
      <w:r w:rsidRPr="00B0072D">
        <w:rPr>
          <w:rFonts w:eastAsia="Calibri" w:cs="Arial"/>
          <w:szCs w:val="22"/>
        </w:rPr>
        <w:t>, to guide how governments, the private sector and development cooperation agencies can best work together to enhance the contribution of tourism to the 2030 Agenda for Sustainable Development</w:t>
      </w:r>
      <w:proofErr w:type="gramStart"/>
      <w:r w:rsidRPr="00B0072D">
        <w:rPr>
          <w:rFonts w:eastAsia="Calibri" w:cs="Arial"/>
          <w:szCs w:val="22"/>
        </w:rPr>
        <w:t xml:space="preserve">.  </w:t>
      </w:r>
      <w:proofErr w:type="gramEnd"/>
      <w:r w:rsidRPr="00B0072D">
        <w:rPr>
          <w:rFonts w:eastAsia="Calibri" w:cs="Arial"/>
          <w:szCs w:val="22"/>
        </w:rPr>
        <w:t>UNDP and UNWTO are currently collaborating to support development of a National Tourism Strategy for neighbouring Guinea.</w:t>
      </w:r>
    </w:p>
    <w:p w14:paraId="27A7CB33" w14:textId="77777777" w:rsidR="00ED07BC" w:rsidRDefault="00ED07BC" w:rsidP="00ED07BC">
      <w:pPr>
        <w:spacing w:before="240" w:after="160" w:line="259" w:lineRule="auto"/>
        <w:contextualSpacing/>
        <w:rPr>
          <w:rFonts w:cs="Arial"/>
          <w:b/>
          <w:i/>
          <w:szCs w:val="22"/>
        </w:rPr>
      </w:pPr>
    </w:p>
    <w:p w14:paraId="4CF34DB6" w14:textId="77777777" w:rsidR="00704256" w:rsidRPr="00704256" w:rsidRDefault="00704256" w:rsidP="00704256">
      <w:pPr>
        <w:jc w:val="left"/>
        <w:rPr>
          <w:iCs/>
          <w:lang w:val="en-US"/>
        </w:rPr>
      </w:pPr>
    </w:p>
    <w:p w14:paraId="2CF9301C" w14:textId="5F04BEDD" w:rsidR="00704256" w:rsidRPr="00581281" w:rsidRDefault="00704256" w:rsidP="00581281">
      <w:pPr>
        <w:pStyle w:val="Heading1"/>
        <w:pBdr>
          <w:top w:val="single" w:sz="4" w:space="0" w:color="auto"/>
        </w:pBdr>
      </w:pPr>
      <w:r w:rsidRPr="00581281">
        <w:t>Project Management</w:t>
      </w:r>
    </w:p>
    <w:p w14:paraId="0F9ED675" w14:textId="77777777" w:rsidR="00704256" w:rsidRDefault="00704256" w:rsidP="001B368C">
      <w:pPr>
        <w:rPr>
          <w:iCs/>
        </w:rPr>
      </w:pPr>
      <w:r>
        <w:rPr>
          <w:iCs/>
        </w:rPr>
        <w:t xml:space="preserve">The project will be implemented </w:t>
      </w:r>
      <w:r w:rsidR="00077F50">
        <w:rPr>
          <w:iCs/>
        </w:rPr>
        <w:t>through Direct Implementation Modality (DIM)</w:t>
      </w:r>
      <w:r>
        <w:rPr>
          <w:iCs/>
        </w:rPr>
        <w:t xml:space="preserve"> by the UNDP</w:t>
      </w:r>
      <w:r w:rsidR="009B1CBA">
        <w:rPr>
          <w:iCs/>
        </w:rPr>
        <w:t xml:space="preserve"> office</w:t>
      </w:r>
      <w:r>
        <w:rPr>
          <w:iCs/>
        </w:rPr>
        <w:t xml:space="preserve"> in Guinea-Bissau in collaboration with state institutions and stakeholders. Long and short term local and international exerts will be involved as and when required. The project will seek to tap into the knowledge and experience of UNDP in other contexts as well as of other international partners and regional organizations. </w:t>
      </w:r>
    </w:p>
    <w:p w14:paraId="5B95EF30" w14:textId="77777777" w:rsidR="00704256" w:rsidRDefault="00704256" w:rsidP="001B368C">
      <w:pPr>
        <w:rPr>
          <w:iCs/>
        </w:rPr>
        <w:sectPr w:rsidR="00704256" w:rsidSect="00FD6216">
          <w:footerReference w:type="default" r:id="rId14"/>
          <w:footerReference w:type="first" r:id="rId15"/>
          <w:pgSz w:w="11906" w:h="16838" w:code="9"/>
          <w:pgMar w:top="864" w:right="1152" w:bottom="864" w:left="1152" w:header="720" w:footer="432" w:gutter="0"/>
          <w:cols w:space="708"/>
          <w:titlePg/>
          <w:docGrid w:linePitch="360"/>
        </w:sectPr>
      </w:pPr>
    </w:p>
    <w:p w14:paraId="55A15F0B" w14:textId="73AEB638" w:rsidR="00704256" w:rsidRDefault="3CB3FDFE" w:rsidP="2F216552">
      <w:pPr>
        <w:pStyle w:val="ListParagraph"/>
        <w:rPr>
          <w:rStyle w:val="Hyperlink"/>
          <w:rFonts w:ascii="Century Gothic" w:eastAsia="Century Gothic" w:hAnsi="Century Gothic" w:cs="Century Gothic"/>
          <w:b/>
          <w:bCs/>
          <w:smallCaps/>
          <w:sz w:val="28"/>
          <w:szCs w:val="28"/>
        </w:rPr>
      </w:pPr>
      <w:r>
        <w:t xml:space="preserve"> </w:t>
      </w:r>
      <w:r w:rsidR="0FA5408B" w:rsidRPr="2F216552">
        <w:rPr>
          <w:rFonts w:ascii="Century Gothic" w:eastAsia="Century Gothic" w:hAnsi="Century Gothic" w:cs="Century Gothic"/>
          <w:smallCaps/>
          <w:sz w:val="28"/>
          <w:szCs w:val="28"/>
        </w:rPr>
        <w:t>I.</w:t>
      </w:r>
      <w:r w:rsidR="0FA5408B" w:rsidRPr="2F216552">
        <w:rPr>
          <w:rFonts w:ascii="Times New Roman" w:eastAsia="Times New Roman" w:hAnsi="Times New Roman"/>
          <w:smallCaps/>
          <w:sz w:val="14"/>
          <w:szCs w:val="14"/>
        </w:rPr>
        <w:t xml:space="preserve">               </w:t>
      </w:r>
      <w:r w:rsidR="0FA5408B" w:rsidRPr="2F216552">
        <w:rPr>
          <w:rFonts w:ascii="Century Gothic" w:eastAsia="Century Gothic" w:hAnsi="Century Gothic" w:cs="Century Gothic"/>
          <w:smallCaps/>
          <w:sz w:val="28"/>
          <w:szCs w:val="28"/>
        </w:rPr>
        <w:t>Results Framework</w:t>
      </w:r>
      <w:hyperlink r:id="rId16" w:anchor="_ftn1" w:history="1">
        <w:r w:rsidR="0FA5408B" w:rsidRPr="2F216552">
          <w:rPr>
            <w:rStyle w:val="Hyperlink"/>
            <w:rFonts w:ascii="Century Gothic" w:eastAsia="Century Gothic" w:hAnsi="Century Gothic" w:cs="Century Gothic"/>
            <w:smallCaps/>
            <w:sz w:val="28"/>
            <w:szCs w:val="28"/>
          </w:rPr>
          <w:t>[1]</w:t>
        </w:r>
      </w:hyperlink>
    </w:p>
    <w:tbl>
      <w:tblPr>
        <w:tblW w:w="12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3380"/>
        <w:gridCol w:w="1560"/>
        <w:gridCol w:w="992"/>
        <w:gridCol w:w="709"/>
        <w:gridCol w:w="850"/>
        <w:gridCol w:w="2268"/>
      </w:tblGrid>
      <w:tr w:rsidR="006207D5" w:rsidRPr="00ED57D5" w14:paraId="4DA58707" w14:textId="77777777" w:rsidTr="00450154">
        <w:trPr>
          <w:gridAfter w:val="2"/>
          <w:wAfter w:w="3118" w:type="dxa"/>
          <w:trHeight w:val="50"/>
          <w:tblHeader/>
        </w:trPr>
        <w:tc>
          <w:tcPr>
            <w:tcW w:w="2857" w:type="dxa"/>
            <w:vMerge w:val="restart"/>
            <w:shd w:val="clear" w:color="auto" w:fill="FFFF99"/>
          </w:tcPr>
          <w:p w14:paraId="475C6800" w14:textId="77777777" w:rsidR="006207D5" w:rsidRPr="00ED57D5" w:rsidRDefault="006207D5" w:rsidP="00964F1E">
            <w:pPr>
              <w:spacing w:before="60"/>
              <w:jc w:val="center"/>
              <w:rPr>
                <w:rFonts w:cs="Arial"/>
                <w:b/>
                <w:sz w:val="20"/>
                <w:szCs w:val="20"/>
              </w:rPr>
            </w:pPr>
            <w:r>
              <w:rPr>
                <w:rFonts w:cs="Arial"/>
                <w:b/>
                <w:sz w:val="20"/>
                <w:szCs w:val="20"/>
              </w:rPr>
              <w:t xml:space="preserve">EXPECTED </w:t>
            </w:r>
            <w:r w:rsidRPr="00ED57D5">
              <w:rPr>
                <w:rFonts w:cs="Arial"/>
                <w:b/>
                <w:sz w:val="20"/>
                <w:szCs w:val="20"/>
              </w:rPr>
              <w:t xml:space="preserve">OUTPUTS </w:t>
            </w:r>
          </w:p>
        </w:tc>
        <w:tc>
          <w:tcPr>
            <w:tcW w:w="3380" w:type="dxa"/>
            <w:vMerge w:val="restart"/>
            <w:shd w:val="clear" w:color="auto" w:fill="FFFF99"/>
          </w:tcPr>
          <w:p w14:paraId="3F0EAA88" w14:textId="77777777" w:rsidR="006207D5" w:rsidRPr="00ED57D5" w:rsidRDefault="006207D5" w:rsidP="00964F1E">
            <w:pPr>
              <w:spacing w:before="60"/>
              <w:jc w:val="center"/>
              <w:rPr>
                <w:rFonts w:cs="Arial"/>
                <w:b/>
                <w:sz w:val="20"/>
                <w:szCs w:val="20"/>
              </w:rPr>
            </w:pPr>
            <w:r w:rsidRPr="00ED57D5">
              <w:rPr>
                <w:rFonts w:cs="Arial"/>
                <w:b/>
                <w:sz w:val="20"/>
                <w:szCs w:val="20"/>
              </w:rPr>
              <w:t>OUTPUT INDICATORS</w:t>
            </w:r>
            <w:r w:rsidRPr="00ED57D5">
              <w:rPr>
                <w:rStyle w:val="FootnoteReference"/>
                <w:rFonts w:cs="Arial"/>
                <w:b/>
                <w:sz w:val="20"/>
                <w:szCs w:val="20"/>
              </w:rPr>
              <w:footnoteReference w:id="11"/>
            </w:r>
          </w:p>
        </w:tc>
        <w:tc>
          <w:tcPr>
            <w:tcW w:w="1560" w:type="dxa"/>
            <w:vMerge w:val="restart"/>
            <w:shd w:val="clear" w:color="auto" w:fill="FFFF99"/>
          </w:tcPr>
          <w:p w14:paraId="30B0F7C7" w14:textId="77777777" w:rsidR="006207D5" w:rsidRPr="00ED57D5" w:rsidRDefault="006207D5" w:rsidP="00964F1E">
            <w:pPr>
              <w:spacing w:before="60"/>
              <w:jc w:val="center"/>
              <w:rPr>
                <w:rFonts w:cs="Arial"/>
                <w:b/>
                <w:sz w:val="20"/>
                <w:szCs w:val="20"/>
              </w:rPr>
            </w:pPr>
            <w:r>
              <w:rPr>
                <w:rFonts w:cs="Arial"/>
                <w:b/>
                <w:sz w:val="20"/>
                <w:szCs w:val="20"/>
              </w:rPr>
              <w:t>DATA SOURCE</w:t>
            </w:r>
          </w:p>
        </w:tc>
        <w:tc>
          <w:tcPr>
            <w:tcW w:w="1701" w:type="dxa"/>
            <w:gridSpan w:val="2"/>
            <w:shd w:val="clear" w:color="auto" w:fill="FFFF99"/>
          </w:tcPr>
          <w:p w14:paraId="101E5501" w14:textId="77777777" w:rsidR="006207D5" w:rsidRPr="00ED57D5" w:rsidRDefault="006207D5" w:rsidP="00964F1E">
            <w:pPr>
              <w:spacing w:before="60"/>
              <w:jc w:val="center"/>
              <w:rPr>
                <w:rFonts w:cs="Arial"/>
                <w:b/>
                <w:sz w:val="20"/>
                <w:szCs w:val="20"/>
              </w:rPr>
            </w:pPr>
            <w:r w:rsidRPr="00ED57D5">
              <w:rPr>
                <w:rFonts w:cs="Arial"/>
                <w:b/>
                <w:sz w:val="20"/>
                <w:szCs w:val="20"/>
              </w:rPr>
              <w:t>BASELINE</w:t>
            </w:r>
          </w:p>
        </w:tc>
      </w:tr>
      <w:tr w:rsidR="006207D5" w:rsidRPr="00B4063F" w14:paraId="246E818D" w14:textId="77777777" w:rsidTr="00450154">
        <w:trPr>
          <w:tblHeader/>
        </w:trPr>
        <w:tc>
          <w:tcPr>
            <w:tcW w:w="2857" w:type="dxa"/>
            <w:vMerge/>
            <w:shd w:val="clear" w:color="auto" w:fill="FFFF99"/>
          </w:tcPr>
          <w:p w14:paraId="6239FE45" w14:textId="77777777" w:rsidR="006207D5" w:rsidRPr="00C54E60" w:rsidRDefault="006207D5" w:rsidP="00964F1E">
            <w:pPr>
              <w:spacing w:before="60"/>
              <w:jc w:val="center"/>
              <w:rPr>
                <w:rFonts w:cs="Arial"/>
                <w:b/>
                <w:sz w:val="20"/>
                <w:szCs w:val="20"/>
              </w:rPr>
            </w:pPr>
          </w:p>
        </w:tc>
        <w:tc>
          <w:tcPr>
            <w:tcW w:w="3380" w:type="dxa"/>
            <w:vMerge/>
            <w:shd w:val="clear" w:color="auto" w:fill="FFFF99"/>
          </w:tcPr>
          <w:p w14:paraId="65DC7807" w14:textId="77777777" w:rsidR="006207D5" w:rsidRPr="00C54E60" w:rsidRDefault="006207D5" w:rsidP="00964F1E">
            <w:pPr>
              <w:spacing w:before="60"/>
              <w:jc w:val="center"/>
              <w:rPr>
                <w:rFonts w:cs="Arial"/>
                <w:b/>
                <w:sz w:val="20"/>
                <w:szCs w:val="20"/>
              </w:rPr>
            </w:pPr>
          </w:p>
        </w:tc>
        <w:tc>
          <w:tcPr>
            <w:tcW w:w="1560" w:type="dxa"/>
            <w:vMerge/>
            <w:shd w:val="clear" w:color="auto" w:fill="FFFF99"/>
          </w:tcPr>
          <w:p w14:paraId="55F59203" w14:textId="77777777" w:rsidR="006207D5" w:rsidRPr="00C54E60" w:rsidRDefault="006207D5" w:rsidP="00964F1E">
            <w:pPr>
              <w:spacing w:before="60"/>
              <w:jc w:val="center"/>
              <w:rPr>
                <w:rFonts w:cs="Arial"/>
                <w:b/>
                <w:sz w:val="20"/>
                <w:szCs w:val="20"/>
              </w:rPr>
            </w:pPr>
          </w:p>
        </w:tc>
        <w:tc>
          <w:tcPr>
            <w:tcW w:w="992" w:type="dxa"/>
            <w:tcBorders>
              <w:bottom w:val="single" w:sz="4" w:space="0" w:color="auto"/>
            </w:tcBorders>
            <w:shd w:val="clear" w:color="auto" w:fill="FFFF99"/>
          </w:tcPr>
          <w:p w14:paraId="48EF6564" w14:textId="77777777" w:rsidR="006207D5" w:rsidRPr="00ED57D5" w:rsidRDefault="006207D5" w:rsidP="00964F1E">
            <w:pPr>
              <w:spacing w:before="60"/>
              <w:jc w:val="center"/>
              <w:rPr>
                <w:rFonts w:cs="Arial"/>
                <w:b/>
                <w:sz w:val="20"/>
                <w:szCs w:val="20"/>
              </w:rPr>
            </w:pPr>
            <w:r w:rsidRPr="00ED57D5">
              <w:rPr>
                <w:rFonts w:cs="Arial"/>
                <w:b/>
                <w:sz w:val="20"/>
                <w:szCs w:val="20"/>
              </w:rPr>
              <w:t>Value</w:t>
            </w:r>
          </w:p>
          <w:p w14:paraId="2311812D" w14:textId="77777777" w:rsidR="006207D5" w:rsidRPr="00ED57D5" w:rsidDel="00A84123" w:rsidRDefault="006207D5" w:rsidP="00964F1E">
            <w:pPr>
              <w:spacing w:before="60"/>
              <w:rPr>
                <w:b/>
                <w:i/>
                <w:sz w:val="20"/>
                <w:szCs w:val="20"/>
              </w:rPr>
            </w:pPr>
          </w:p>
        </w:tc>
        <w:tc>
          <w:tcPr>
            <w:tcW w:w="709" w:type="dxa"/>
            <w:tcBorders>
              <w:bottom w:val="single" w:sz="4" w:space="0" w:color="auto"/>
            </w:tcBorders>
            <w:shd w:val="clear" w:color="auto" w:fill="FFFF99"/>
          </w:tcPr>
          <w:p w14:paraId="719558A3" w14:textId="77777777" w:rsidR="006207D5" w:rsidRPr="00ED57D5" w:rsidRDefault="006207D5" w:rsidP="00964F1E">
            <w:pPr>
              <w:spacing w:before="60"/>
              <w:jc w:val="center"/>
              <w:rPr>
                <w:rFonts w:cs="Arial"/>
                <w:b/>
                <w:sz w:val="20"/>
                <w:szCs w:val="20"/>
              </w:rPr>
            </w:pPr>
            <w:r w:rsidRPr="00ED57D5">
              <w:rPr>
                <w:rFonts w:cs="Arial"/>
                <w:b/>
                <w:sz w:val="20"/>
                <w:szCs w:val="20"/>
              </w:rPr>
              <w:t>Year</w:t>
            </w:r>
          </w:p>
          <w:p w14:paraId="09765563" w14:textId="77777777" w:rsidR="006207D5" w:rsidRPr="00ED57D5" w:rsidRDefault="006207D5" w:rsidP="00964F1E">
            <w:pPr>
              <w:pStyle w:val="Header"/>
              <w:spacing w:before="60"/>
              <w:rPr>
                <w:rFonts w:cs="Arial"/>
                <w:b/>
                <w:sz w:val="20"/>
                <w:szCs w:val="20"/>
              </w:rPr>
            </w:pPr>
          </w:p>
        </w:tc>
        <w:tc>
          <w:tcPr>
            <w:tcW w:w="850" w:type="dxa"/>
            <w:tcBorders>
              <w:bottom w:val="single" w:sz="4" w:space="0" w:color="auto"/>
            </w:tcBorders>
            <w:shd w:val="clear" w:color="auto" w:fill="FFFF99"/>
          </w:tcPr>
          <w:p w14:paraId="60836F4A" w14:textId="77777777" w:rsidR="006207D5" w:rsidRPr="00ED57D5" w:rsidDel="00BD7C58" w:rsidRDefault="006207D5" w:rsidP="00964F1E">
            <w:pPr>
              <w:pStyle w:val="Heading2"/>
              <w:spacing w:before="60"/>
              <w:ind w:left="0"/>
              <w:jc w:val="center"/>
              <w:rPr>
                <w:rFonts w:ascii="Arial" w:hAnsi="Arial" w:cs="Arial"/>
                <w:sz w:val="20"/>
                <w:szCs w:val="20"/>
              </w:rPr>
            </w:pPr>
            <w:r w:rsidRPr="00ED57D5">
              <w:rPr>
                <w:rFonts w:ascii="Arial" w:hAnsi="Arial" w:cs="Arial"/>
                <w:sz w:val="20"/>
                <w:szCs w:val="20"/>
              </w:rPr>
              <w:t>FINAL</w:t>
            </w:r>
          </w:p>
        </w:tc>
        <w:tc>
          <w:tcPr>
            <w:tcW w:w="2268" w:type="dxa"/>
            <w:tcBorders>
              <w:bottom w:val="single" w:sz="4" w:space="0" w:color="auto"/>
            </w:tcBorders>
            <w:shd w:val="clear" w:color="auto" w:fill="FFFF99"/>
          </w:tcPr>
          <w:p w14:paraId="2D515675" w14:textId="77777777" w:rsidR="006207D5" w:rsidRPr="00B4063F" w:rsidRDefault="006207D5" w:rsidP="00964F1E">
            <w:pPr>
              <w:pStyle w:val="Heading2"/>
              <w:spacing w:before="60"/>
              <w:ind w:left="94"/>
              <w:jc w:val="center"/>
              <w:rPr>
                <w:rFonts w:ascii="Arial" w:hAnsi="Arial" w:cs="Arial"/>
                <w:sz w:val="20"/>
                <w:szCs w:val="20"/>
              </w:rPr>
            </w:pPr>
            <w:r w:rsidRPr="00ED57D5">
              <w:rPr>
                <w:rFonts w:ascii="Arial" w:hAnsi="Arial" w:cs="Arial"/>
                <w:sz w:val="20"/>
                <w:szCs w:val="20"/>
              </w:rPr>
              <w:t>DATA COLLECTION METHODS &amp; RISKS</w:t>
            </w:r>
          </w:p>
        </w:tc>
      </w:tr>
      <w:tr w:rsidR="006207D5" w:rsidRPr="00AC5062" w14:paraId="4AF53EC1" w14:textId="77777777" w:rsidTr="00450154">
        <w:trPr>
          <w:trHeight w:val="530"/>
          <w:tblHeader/>
        </w:trPr>
        <w:tc>
          <w:tcPr>
            <w:tcW w:w="2857" w:type="dxa"/>
            <w:vMerge w:val="restart"/>
            <w:shd w:val="clear" w:color="auto" w:fill="E2EFD9"/>
          </w:tcPr>
          <w:p w14:paraId="3E6CB6CB" w14:textId="77777777" w:rsidR="006207D5" w:rsidRPr="00AC5062" w:rsidRDefault="006207D5" w:rsidP="00964F1E">
            <w:pPr>
              <w:spacing w:before="60"/>
              <w:jc w:val="left"/>
              <w:rPr>
                <w:rFonts w:cs="Arial"/>
                <w:b/>
                <w:bCs/>
                <w:color w:val="000000"/>
                <w:sz w:val="20"/>
                <w:szCs w:val="20"/>
                <w:lang w:eastAsia="en-GB"/>
              </w:rPr>
            </w:pPr>
            <w:r w:rsidRPr="00AC5062">
              <w:rPr>
                <w:rFonts w:cs="Arial"/>
                <w:b/>
                <w:bCs/>
                <w:color w:val="000000"/>
                <w:sz w:val="20"/>
                <w:szCs w:val="20"/>
                <w:lang w:eastAsia="en-GB"/>
              </w:rPr>
              <w:t>Out</w:t>
            </w:r>
            <w:r>
              <w:rPr>
                <w:rFonts w:cs="Arial"/>
                <w:b/>
                <w:bCs/>
                <w:color w:val="000000"/>
                <w:sz w:val="20"/>
                <w:szCs w:val="20"/>
                <w:lang w:eastAsia="en-GB"/>
              </w:rPr>
              <w:t>come</w:t>
            </w:r>
            <w:r w:rsidRPr="00AC5062">
              <w:rPr>
                <w:rFonts w:cs="Arial"/>
                <w:b/>
                <w:bCs/>
                <w:color w:val="000000"/>
                <w:sz w:val="20"/>
                <w:szCs w:val="20"/>
                <w:lang w:eastAsia="en-GB"/>
              </w:rPr>
              <w:t xml:space="preserve"> 1:</w:t>
            </w:r>
            <w:r w:rsidRPr="00AC5062">
              <w:rPr>
                <w:rFonts w:cs="Arial"/>
                <w:color w:val="000000"/>
                <w:sz w:val="20"/>
                <w:szCs w:val="20"/>
                <w:lang w:eastAsia="en-GB"/>
              </w:rPr>
              <w:t xml:space="preserve"> Capacities and policy framework in place to </w:t>
            </w:r>
            <w:r>
              <w:rPr>
                <w:rFonts w:cs="Arial"/>
                <w:color w:val="000000"/>
                <w:sz w:val="20"/>
                <w:szCs w:val="20"/>
                <w:lang w:eastAsia="en-GB"/>
              </w:rPr>
              <w:t xml:space="preserve">promote, </w:t>
            </w:r>
            <w:r w:rsidRPr="00AC5062">
              <w:rPr>
                <w:rFonts w:cs="Arial"/>
                <w:color w:val="000000"/>
                <w:sz w:val="20"/>
                <w:szCs w:val="20"/>
                <w:lang w:eastAsia="en-GB"/>
              </w:rPr>
              <w:t>facilitate and monitor sustainable gender-responsive ecotourism development</w:t>
            </w:r>
          </w:p>
        </w:tc>
        <w:tc>
          <w:tcPr>
            <w:tcW w:w="3380" w:type="dxa"/>
            <w:shd w:val="clear" w:color="auto" w:fill="E2EFD9"/>
          </w:tcPr>
          <w:p w14:paraId="6BAD68E7" w14:textId="77777777" w:rsidR="006207D5" w:rsidRPr="00AC5062" w:rsidRDefault="006207D5" w:rsidP="00964F1E">
            <w:pPr>
              <w:spacing w:before="60"/>
              <w:jc w:val="left"/>
              <w:rPr>
                <w:rFonts w:cs="Arial"/>
                <w:bCs/>
                <w:iCs/>
                <w:sz w:val="20"/>
                <w:szCs w:val="20"/>
              </w:rPr>
            </w:pPr>
            <w:r w:rsidRPr="00AC5062">
              <w:rPr>
                <w:rFonts w:cs="Arial"/>
                <w:color w:val="333333"/>
                <w:sz w:val="20"/>
                <w:szCs w:val="20"/>
                <w:lang w:eastAsia="en-GB"/>
              </w:rPr>
              <w:t>1.1 Number of sustainable tourism strategies or policies and implemented action plans with agreed monitoring and evaluation tools (SDG Indicator 12.B.1)</w:t>
            </w:r>
          </w:p>
        </w:tc>
        <w:tc>
          <w:tcPr>
            <w:tcW w:w="1560" w:type="dxa"/>
            <w:shd w:val="clear" w:color="auto" w:fill="E2EFD9"/>
          </w:tcPr>
          <w:p w14:paraId="769E59FB" w14:textId="77777777" w:rsidR="006207D5" w:rsidRPr="00AC5062" w:rsidDel="00A84123" w:rsidRDefault="006207D5" w:rsidP="00964F1E">
            <w:pPr>
              <w:spacing w:before="60"/>
              <w:jc w:val="center"/>
              <w:rPr>
                <w:rFonts w:cs="Arial"/>
                <w:i/>
                <w:sz w:val="20"/>
                <w:szCs w:val="20"/>
              </w:rPr>
            </w:pPr>
            <w:r>
              <w:rPr>
                <w:rFonts w:cs="Arial"/>
                <w:i/>
                <w:sz w:val="20"/>
                <w:szCs w:val="20"/>
              </w:rPr>
              <w:t>Project documents/ Official Gazette</w:t>
            </w:r>
          </w:p>
        </w:tc>
        <w:tc>
          <w:tcPr>
            <w:tcW w:w="992" w:type="dxa"/>
            <w:shd w:val="clear" w:color="auto" w:fill="E2EFD9"/>
          </w:tcPr>
          <w:p w14:paraId="33EED9F6" w14:textId="77777777" w:rsidR="006207D5" w:rsidRPr="00AC5062" w:rsidDel="00BD7C58" w:rsidRDefault="006207D5" w:rsidP="00964F1E">
            <w:pPr>
              <w:pStyle w:val="Header"/>
              <w:spacing w:before="60"/>
              <w:jc w:val="center"/>
              <w:rPr>
                <w:rFonts w:cs="Arial"/>
                <w:sz w:val="20"/>
                <w:szCs w:val="20"/>
              </w:rPr>
            </w:pPr>
            <w:r w:rsidRPr="00AC5062">
              <w:rPr>
                <w:rFonts w:cs="Arial"/>
                <w:sz w:val="20"/>
                <w:szCs w:val="20"/>
              </w:rPr>
              <w:t>0</w:t>
            </w:r>
          </w:p>
        </w:tc>
        <w:tc>
          <w:tcPr>
            <w:tcW w:w="709" w:type="dxa"/>
            <w:shd w:val="clear" w:color="auto" w:fill="E2EFD9"/>
          </w:tcPr>
          <w:p w14:paraId="6D2C7BDF" w14:textId="77777777" w:rsidR="006207D5" w:rsidRPr="00AC5062" w:rsidDel="00BD7C58" w:rsidRDefault="006207D5" w:rsidP="00964F1E">
            <w:pPr>
              <w:pStyle w:val="Header"/>
              <w:spacing w:before="60"/>
              <w:jc w:val="center"/>
              <w:rPr>
                <w:rFonts w:cs="Arial"/>
                <w:sz w:val="20"/>
                <w:szCs w:val="20"/>
              </w:rPr>
            </w:pPr>
            <w:r>
              <w:rPr>
                <w:rFonts w:cs="Arial"/>
                <w:sz w:val="20"/>
                <w:szCs w:val="20"/>
              </w:rPr>
              <w:t>2021</w:t>
            </w:r>
          </w:p>
        </w:tc>
        <w:tc>
          <w:tcPr>
            <w:tcW w:w="850" w:type="dxa"/>
            <w:shd w:val="clear" w:color="auto" w:fill="E2EFD9"/>
          </w:tcPr>
          <w:p w14:paraId="2244B287" w14:textId="77777777" w:rsidR="006207D5" w:rsidRPr="00AC5062" w:rsidDel="00BD7C58" w:rsidRDefault="006207D5" w:rsidP="00964F1E">
            <w:pPr>
              <w:spacing w:before="60"/>
              <w:jc w:val="center"/>
              <w:rPr>
                <w:rFonts w:cs="Arial"/>
                <w:sz w:val="20"/>
                <w:szCs w:val="20"/>
              </w:rPr>
            </w:pPr>
            <w:r w:rsidRPr="00AC5062">
              <w:rPr>
                <w:rFonts w:cs="Arial"/>
                <w:sz w:val="20"/>
                <w:szCs w:val="20"/>
              </w:rPr>
              <w:t>Min. 6</w:t>
            </w:r>
          </w:p>
        </w:tc>
        <w:tc>
          <w:tcPr>
            <w:tcW w:w="2268" w:type="dxa"/>
            <w:shd w:val="clear" w:color="auto" w:fill="E2EFD9"/>
          </w:tcPr>
          <w:p w14:paraId="4081B478" w14:textId="77777777" w:rsidR="006207D5" w:rsidRPr="00AC5062" w:rsidRDefault="006207D5" w:rsidP="00964F1E">
            <w:pPr>
              <w:spacing w:before="60"/>
              <w:jc w:val="center"/>
              <w:rPr>
                <w:rFonts w:cs="Arial"/>
                <w:sz w:val="20"/>
                <w:szCs w:val="20"/>
              </w:rPr>
            </w:pPr>
          </w:p>
        </w:tc>
      </w:tr>
      <w:tr w:rsidR="006207D5" w:rsidRPr="00B4063F" w:rsidDel="00BD7C58" w14:paraId="0B5D54A1" w14:textId="77777777" w:rsidTr="00450154">
        <w:trPr>
          <w:trHeight w:val="530"/>
          <w:tblHeader/>
        </w:trPr>
        <w:tc>
          <w:tcPr>
            <w:tcW w:w="2857" w:type="dxa"/>
            <w:vMerge/>
          </w:tcPr>
          <w:p w14:paraId="3D753FD0" w14:textId="77777777" w:rsidR="006207D5" w:rsidRPr="00B4063F" w:rsidRDefault="006207D5" w:rsidP="00964F1E">
            <w:pPr>
              <w:spacing w:before="60"/>
              <w:jc w:val="left"/>
              <w:rPr>
                <w:rFonts w:cs="Arial"/>
                <w:i/>
                <w:sz w:val="20"/>
                <w:szCs w:val="20"/>
              </w:rPr>
            </w:pPr>
          </w:p>
        </w:tc>
        <w:tc>
          <w:tcPr>
            <w:tcW w:w="3380" w:type="dxa"/>
          </w:tcPr>
          <w:p w14:paraId="561DF643" w14:textId="77777777" w:rsidR="006207D5" w:rsidRPr="00B4063F" w:rsidRDefault="006207D5" w:rsidP="00964F1E">
            <w:pPr>
              <w:pStyle w:val="Header"/>
              <w:spacing w:before="60"/>
              <w:jc w:val="left"/>
              <w:rPr>
                <w:rFonts w:cs="Arial"/>
                <w:bCs/>
                <w:iCs/>
                <w:sz w:val="20"/>
                <w:szCs w:val="20"/>
              </w:rPr>
            </w:pPr>
            <w:r w:rsidRPr="00B4063F">
              <w:rPr>
                <w:rFonts w:cs="Arial"/>
                <w:bCs/>
                <w:iCs/>
                <w:sz w:val="20"/>
                <w:szCs w:val="20"/>
              </w:rPr>
              <w:t>1.</w:t>
            </w:r>
            <w:r>
              <w:rPr>
                <w:rFonts w:cs="Arial"/>
                <w:bCs/>
                <w:iCs/>
                <w:sz w:val="20"/>
                <w:szCs w:val="20"/>
              </w:rPr>
              <w:t>2</w:t>
            </w:r>
            <w:r w:rsidRPr="00B4063F">
              <w:rPr>
                <w:rFonts w:cs="Arial"/>
                <w:bCs/>
                <w:iCs/>
                <w:sz w:val="20"/>
                <w:szCs w:val="20"/>
              </w:rPr>
              <w:t xml:space="preserve"> </w:t>
            </w:r>
            <w:r w:rsidRPr="00B4063F">
              <w:rPr>
                <w:rFonts w:cs="Arial"/>
                <w:bCs/>
                <w:iCs/>
                <w:color w:val="000000"/>
                <w:sz w:val="20"/>
                <w:szCs w:val="20"/>
                <w:lang w:eastAsia="en-GB"/>
              </w:rPr>
              <w:t># of inter-Governmental consultations led by Ministry of Tourism (must include Min. Women, Family &amp; Social Solidarity)</w:t>
            </w:r>
          </w:p>
        </w:tc>
        <w:tc>
          <w:tcPr>
            <w:tcW w:w="1560" w:type="dxa"/>
          </w:tcPr>
          <w:p w14:paraId="567D512A" w14:textId="77777777" w:rsidR="006207D5" w:rsidRDefault="006207D5" w:rsidP="00964F1E">
            <w:pPr>
              <w:pStyle w:val="Header"/>
              <w:spacing w:before="60"/>
              <w:jc w:val="center"/>
              <w:rPr>
                <w:rFonts w:cs="Arial"/>
                <w:i/>
                <w:sz w:val="20"/>
                <w:szCs w:val="20"/>
              </w:rPr>
            </w:pPr>
            <w:r>
              <w:rPr>
                <w:rFonts w:cs="Arial"/>
                <w:i/>
                <w:sz w:val="20"/>
                <w:szCs w:val="20"/>
              </w:rPr>
              <w:t>Meeting Reports</w:t>
            </w:r>
          </w:p>
          <w:p w14:paraId="209F9685" w14:textId="77777777" w:rsidR="006207D5" w:rsidRPr="00B4063F" w:rsidRDefault="006207D5" w:rsidP="00964F1E">
            <w:pPr>
              <w:pStyle w:val="Header"/>
              <w:spacing w:before="60"/>
              <w:rPr>
                <w:rFonts w:cs="Arial"/>
                <w:i/>
                <w:sz w:val="20"/>
                <w:szCs w:val="20"/>
              </w:rPr>
            </w:pPr>
          </w:p>
        </w:tc>
        <w:tc>
          <w:tcPr>
            <w:tcW w:w="992" w:type="dxa"/>
            <w:shd w:val="clear" w:color="auto" w:fill="auto"/>
          </w:tcPr>
          <w:p w14:paraId="255E3320" w14:textId="77777777" w:rsidR="006207D5" w:rsidRPr="00C80C75" w:rsidRDefault="006207D5" w:rsidP="00964F1E">
            <w:pPr>
              <w:pStyle w:val="Header"/>
              <w:spacing w:before="60"/>
              <w:jc w:val="center"/>
              <w:rPr>
                <w:rFonts w:cs="Arial"/>
                <w:iCs/>
                <w:sz w:val="20"/>
                <w:szCs w:val="20"/>
              </w:rPr>
            </w:pPr>
            <w:r w:rsidRPr="00C80C75">
              <w:rPr>
                <w:rFonts w:cs="Arial"/>
                <w:iCs/>
                <w:sz w:val="20"/>
                <w:szCs w:val="20"/>
              </w:rPr>
              <w:t>N/A</w:t>
            </w:r>
          </w:p>
        </w:tc>
        <w:tc>
          <w:tcPr>
            <w:tcW w:w="709" w:type="dxa"/>
          </w:tcPr>
          <w:p w14:paraId="29DC1F0E" w14:textId="77777777" w:rsidR="006207D5" w:rsidRPr="00C80C75" w:rsidRDefault="006207D5" w:rsidP="00964F1E">
            <w:pPr>
              <w:pStyle w:val="Header"/>
              <w:spacing w:before="60"/>
              <w:jc w:val="center"/>
              <w:rPr>
                <w:rFonts w:cs="Arial"/>
                <w:iCs/>
                <w:sz w:val="20"/>
                <w:szCs w:val="20"/>
              </w:rPr>
            </w:pPr>
            <w:r w:rsidRPr="00C80C75">
              <w:rPr>
                <w:rFonts w:cs="Arial"/>
                <w:iCs/>
                <w:sz w:val="20"/>
                <w:szCs w:val="20"/>
              </w:rPr>
              <w:t>2021</w:t>
            </w:r>
          </w:p>
        </w:tc>
        <w:tc>
          <w:tcPr>
            <w:tcW w:w="850" w:type="dxa"/>
          </w:tcPr>
          <w:p w14:paraId="32E7A58B" w14:textId="77777777" w:rsidR="006207D5" w:rsidRPr="00C80C75" w:rsidDel="00BD7C58" w:rsidRDefault="006207D5" w:rsidP="00964F1E">
            <w:pPr>
              <w:spacing w:before="60"/>
              <w:jc w:val="center"/>
              <w:rPr>
                <w:rFonts w:cs="Arial"/>
                <w:iCs/>
                <w:sz w:val="20"/>
                <w:szCs w:val="20"/>
              </w:rPr>
            </w:pPr>
            <w:r>
              <w:rPr>
                <w:rFonts w:cs="Arial"/>
                <w:iCs/>
                <w:sz w:val="20"/>
                <w:szCs w:val="20"/>
              </w:rPr>
              <w:t>8</w:t>
            </w:r>
          </w:p>
        </w:tc>
        <w:tc>
          <w:tcPr>
            <w:tcW w:w="2268" w:type="dxa"/>
            <w:shd w:val="clear" w:color="auto" w:fill="auto"/>
          </w:tcPr>
          <w:p w14:paraId="7BC68EB3" w14:textId="77777777" w:rsidR="006207D5" w:rsidRPr="00B4063F" w:rsidDel="00BD7C58" w:rsidRDefault="006207D5" w:rsidP="00964F1E">
            <w:pPr>
              <w:spacing w:before="60"/>
              <w:jc w:val="left"/>
              <w:rPr>
                <w:rFonts w:cs="Arial"/>
                <w:i/>
                <w:sz w:val="20"/>
                <w:szCs w:val="20"/>
              </w:rPr>
            </w:pPr>
          </w:p>
        </w:tc>
      </w:tr>
      <w:tr w:rsidR="006207D5" w:rsidRPr="00B4063F" w14:paraId="49EDC05C" w14:textId="77777777" w:rsidTr="00450154">
        <w:trPr>
          <w:trHeight w:val="530"/>
          <w:tblHeader/>
        </w:trPr>
        <w:tc>
          <w:tcPr>
            <w:tcW w:w="2857" w:type="dxa"/>
            <w:vMerge/>
          </w:tcPr>
          <w:p w14:paraId="168451AC" w14:textId="77777777" w:rsidR="006207D5" w:rsidRPr="00B4063F" w:rsidRDefault="006207D5" w:rsidP="00964F1E">
            <w:pPr>
              <w:spacing w:before="60"/>
              <w:jc w:val="left"/>
              <w:rPr>
                <w:rFonts w:cs="Arial"/>
                <w:i/>
                <w:sz w:val="20"/>
                <w:szCs w:val="20"/>
              </w:rPr>
            </w:pPr>
          </w:p>
        </w:tc>
        <w:tc>
          <w:tcPr>
            <w:tcW w:w="3380" w:type="dxa"/>
          </w:tcPr>
          <w:p w14:paraId="6D3DFB43" w14:textId="77777777" w:rsidR="006207D5" w:rsidRPr="00B4063F" w:rsidRDefault="006207D5" w:rsidP="00964F1E">
            <w:pPr>
              <w:pStyle w:val="Header"/>
              <w:spacing w:before="60"/>
              <w:jc w:val="left"/>
              <w:rPr>
                <w:rFonts w:cs="Arial"/>
                <w:bCs/>
                <w:iCs/>
                <w:sz w:val="20"/>
                <w:szCs w:val="20"/>
              </w:rPr>
            </w:pPr>
            <w:r w:rsidRPr="00B4063F">
              <w:rPr>
                <w:rFonts w:cs="Arial"/>
                <w:bCs/>
                <w:iCs/>
                <w:sz w:val="20"/>
                <w:szCs w:val="20"/>
              </w:rPr>
              <w:t>1.</w:t>
            </w:r>
            <w:r>
              <w:rPr>
                <w:rFonts w:cs="Arial"/>
                <w:bCs/>
                <w:iCs/>
                <w:sz w:val="20"/>
                <w:szCs w:val="20"/>
              </w:rPr>
              <w:t>3</w:t>
            </w:r>
            <w:r w:rsidRPr="00B4063F">
              <w:rPr>
                <w:rFonts w:cs="Arial"/>
                <w:bCs/>
                <w:iCs/>
                <w:sz w:val="20"/>
                <w:szCs w:val="20"/>
              </w:rPr>
              <w:t xml:space="preserve"> </w:t>
            </w:r>
            <w:r w:rsidRPr="00B4063F">
              <w:rPr>
                <w:rFonts w:cs="Arial"/>
                <w:bCs/>
                <w:iCs/>
                <w:color w:val="000000"/>
                <w:sz w:val="20"/>
                <w:szCs w:val="20"/>
                <w:lang w:eastAsia="en-GB"/>
              </w:rPr>
              <w:t>Gender-responsive and SDG-aligned M&amp;E framework in place for National Ecotourism Strategy</w:t>
            </w:r>
          </w:p>
        </w:tc>
        <w:tc>
          <w:tcPr>
            <w:tcW w:w="1560" w:type="dxa"/>
          </w:tcPr>
          <w:p w14:paraId="7DDD39FD" w14:textId="77777777" w:rsidR="006207D5" w:rsidRPr="00B4063F" w:rsidRDefault="006207D5" w:rsidP="00964F1E">
            <w:pPr>
              <w:pStyle w:val="Header"/>
              <w:spacing w:before="60"/>
              <w:jc w:val="center"/>
              <w:rPr>
                <w:rFonts w:cs="Arial"/>
                <w:i/>
                <w:sz w:val="20"/>
                <w:szCs w:val="20"/>
              </w:rPr>
            </w:pPr>
            <w:r>
              <w:rPr>
                <w:rFonts w:cs="Arial"/>
                <w:i/>
                <w:sz w:val="20"/>
                <w:szCs w:val="20"/>
              </w:rPr>
              <w:t>Project documents</w:t>
            </w:r>
          </w:p>
        </w:tc>
        <w:tc>
          <w:tcPr>
            <w:tcW w:w="992" w:type="dxa"/>
            <w:shd w:val="clear" w:color="auto" w:fill="auto"/>
          </w:tcPr>
          <w:p w14:paraId="2B069A78" w14:textId="77777777" w:rsidR="006207D5" w:rsidRPr="00C80C75" w:rsidRDefault="006207D5" w:rsidP="00964F1E">
            <w:pPr>
              <w:pStyle w:val="Header"/>
              <w:spacing w:before="60"/>
              <w:jc w:val="center"/>
              <w:rPr>
                <w:rFonts w:cs="Arial"/>
                <w:iCs/>
                <w:sz w:val="20"/>
                <w:szCs w:val="20"/>
              </w:rPr>
            </w:pPr>
            <w:r w:rsidRPr="00C80C75">
              <w:rPr>
                <w:rFonts w:cs="Arial"/>
                <w:iCs/>
                <w:sz w:val="20"/>
                <w:szCs w:val="20"/>
              </w:rPr>
              <w:t>0</w:t>
            </w:r>
          </w:p>
        </w:tc>
        <w:tc>
          <w:tcPr>
            <w:tcW w:w="709" w:type="dxa"/>
          </w:tcPr>
          <w:p w14:paraId="3760B54D" w14:textId="77777777" w:rsidR="006207D5" w:rsidRPr="00C80C75" w:rsidRDefault="006207D5" w:rsidP="00964F1E">
            <w:pPr>
              <w:pStyle w:val="Header"/>
              <w:spacing w:before="60"/>
              <w:jc w:val="center"/>
              <w:rPr>
                <w:rFonts w:cs="Arial"/>
                <w:iCs/>
                <w:sz w:val="20"/>
                <w:szCs w:val="20"/>
              </w:rPr>
            </w:pPr>
            <w:r w:rsidRPr="00C80C75">
              <w:rPr>
                <w:rFonts w:cs="Arial"/>
                <w:iCs/>
                <w:sz w:val="20"/>
                <w:szCs w:val="20"/>
              </w:rPr>
              <w:t>2021</w:t>
            </w:r>
          </w:p>
        </w:tc>
        <w:tc>
          <w:tcPr>
            <w:tcW w:w="850" w:type="dxa"/>
          </w:tcPr>
          <w:p w14:paraId="0FE9322D" w14:textId="77777777" w:rsidR="006207D5" w:rsidRPr="00C80C75" w:rsidDel="00BD7C58" w:rsidRDefault="006207D5" w:rsidP="00964F1E">
            <w:pPr>
              <w:spacing w:before="60"/>
              <w:jc w:val="center"/>
              <w:rPr>
                <w:rFonts w:cs="Arial"/>
                <w:iCs/>
                <w:sz w:val="20"/>
                <w:szCs w:val="20"/>
              </w:rPr>
            </w:pPr>
            <w:r w:rsidRPr="00C80C75">
              <w:rPr>
                <w:rFonts w:cs="Arial"/>
                <w:iCs/>
                <w:sz w:val="20"/>
                <w:szCs w:val="20"/>
              </w:rPr>
              <w:t>1</w:t>
            </w:r>
          </w:p>
        </w:tc>
        <w:tc>
          <w:tcPr>
            <w:tcW w:w="2268" w:type="dxa"/>
            <w:shd w:val="clear" w:color="auto" w:fill="auto"/>
          </w:tcPr>
          <w:p w14:paraId="00369B3A" w14:textId="77777777" w:rsidR="006207D5" w:rsidRPr="00B4063F" w:rsidRDefault="006207D5" w:rsidP="00964F1E">
            <w:pPr>
              <w:spacing w:before="60"/>
              <w:jc w:val="left"/>
              <w:rPr>
                <w:rFonts w:cs="Arial"/>
                <w:i/>
                <w:sz w:val="20"/>
                <w:szCs w:val="20"/>
              </w:rPr>
            </w:pPr>
          </w:p>
        </w:tc>
      </w:tr>
      <w:tr w:rsidR="006207D5" w:rsidRPr="00B4063F" w14:paraId="5BB572E7" w14:textId="77777777" w:rsidTr="00450154">
        <w:trPr>
          <w:trHeight w:val="530"/>
          <w:tblHeader/>
        </w:trPr>
        <w:tc>
          <w:tcPr>
            <w:tcW w:w="2857" w:type="dxa"/>
            <w:vMerge w:val="restart"/>
            <w:shd w:val="clear" w:color="auto" w:fill="E2EFD9"/>
            <w:vAlign w:val="center"/>
          </w:tcPr>
          <w:p w14:paraId="5E5CA061" w14:textId="77777777" w:rsidR="006207D5" w:rsidRPr="00AC5062" w:rsidRDefault="006207D5" w:rsidP="00964F1E">
            <w:pPr>
              <w:spacing w:before="60"/>
              <w:jc w:val="left"/>
              <w:rPr>
                <w:rFonts w:cs="Arial"/>
                <w:b/>
                <w:sz w:val="20"/>
                <w:szCs w:val="20"/>
              </w:rPr>
            </w:pPr>
            <w:r w:rsidRPr="001473E3">
              <w:rPr>
                <w:rFonts w:cs="Arial"/>
                <w:b/>
                <w:bCs/>
                <w:color w:val="000000"/>
                <w:sz w:val="20"/>
                <w:szCs w:val="20"/>
                <w:lang w:eastAsia="en-GB"/>
              </w:rPr>
              <w:t xml:space="preserve">Outcome 2: </w:t>
            </w:r>
            <w:r w:rsidRPr="001473E3">
              <w:rPr>
                <w:rFonts w:cs="Arial"/>
                <w:kern w:val="24"/>
                <w:sz w:val="20"/>
                <w:szCs w:val="20"/>
              </w:rPr>
              <w:t>Inclusive and participatory processes establish local investment and revenue frameworks</w:t>
            </w:r>
          </w:p>
        </w:tc>
        <w:tc>
          <w:tcPr>
            <w:tcW w:w="3380" w:type="dxa"/>
            <w:shd w:val="clear" w:color="auto" w:fill="E2EFD9"/>
            <w:vAlign w:val="center"/>
          </w:tcPr>
          <w:p w14:paraId="22817F8F" w14:textId="77777777" w:rsidR="006207D5" w:rsidRPr="00AC5062" w:rsidRDefault="006207D5" w:rsidP="00964F1E">
            <w:pPr>
              <w:spacing w:before="60"/>
              <w:jc w:val="left"/>
              <w:rPr>
                <w:rFonts w:cs="Arial"/>
                <w:color w:val="000000"/>
                <w:sz w:val="20"/>
                <w:szCs w:val="20"/>
                <w:lang w:eastAsia="en-GB"/>
              </w:rPr>
            </w:pPr>
            <w:r w:rsidRPr="00AC5062">
              <w:rPr>
                <w:rFonts w:cs="Arial"/>
                <w:color w:val="333333"/>
                <w:sz w:val="20"/>
                <w:szCs w:val="20"/>
                <w:lang w:eastAsia="en-GB"/>
              </w:rPr>
              <w:t>2.1 Tourism direct GDP as a proportion of total GDP and in growth rate (SDG Indicator 8.9.1)</w:t>
            </w:r>
          </w:p>
        </w:tc>
        <w:tc>
          <w:tcPr>
            <w:tcW w:w="1560" w:type="dxa"/>
            <w:shd w:val="clear" w:color="auto" w:fill="E2EFD9"/>
          </w:tcPr>
          <w:p w14:paraId="5D074E04" w14:textId="77777777" w:rsidR="006207D5" w:rsidRDefault="006207D5" w:rsidP="00964F1E">
            <w:pPr>
              <w:spacing w:before="60"/>
              <w:jc w:val="center"/>
              <w:rPr>
                <w:rFonts w:cs="Arial"/>
                <w:i/>
                <w:sz w:val="20"/>
                <w:szCs w:val="20"/>
              </w:rPr>
            </w:pPr>
          </w:p>
          <w:p w14:paraId="7C48CAB6" w14:textId="77777777" w:rsidR="006207D5" w:rsidRPr="00B4063F" w:rsidDel="00A84123" w:rsidRDefault="006207D5" w:rsidP="00964F1E">
            <w:pPr>
              <w:spacing w:before="60"/>
              <w:jc w:val="center"/>
              <w:rPr>
                <w:rFonts w:cs="Arial"/>
                <w:i/>
                <w:sz w:val="20"/>
                <w:szCs w:val="20"/>
              </w:rPr>
            </w:pPr>
            <w:r w:rsidRPr="008A60B9">
              <w:rPr>
                <w:rFonts w:cs="Arial"/>
                <w:i/>
                <w:sz w:val="20"/>
                <w:szCs w:val="20"/>
                <w:highlight w:val="yellow"/>
              </w:rPr>
              <w:t>[check]</w:t>
            </w:r>
          </w:p>
        </w:tc>
        <w:tc>
          <w:tcPr>
            <w:tcW w:w="992" w:type="dxa"/>
            <w:shd w:val="clear" w:color="auto" w:fill="E2EFD9"/>
          </w:tcPr>
          <w:p w14:paraId="0F95B177" w14:textId="77777777" w:rsidR="006207D5" w:rsidRPr="00B4063F" w:rsidDel="00BD7C58" w:rsidRDefault="006207D5" w:rsidP="00964F1E">
            <w:pPr>
              <w:pStyle w:val="Header"/>
              <w:spacing w:before="60"/>
              <w:jc w:val="left"/>
              <w:rPr>
                <w:rFonts w:cs="Arial"/>
                <w:sz w:val="20"/>
                <w:szCs w:val="20"/>
              </w:rPr>
            </w:pPr>
          </w:p>
        </w:tc>
        <w:tc>
          <w:tcPr>
            <w:tcW w:w="709" w:type="dxa"/>
            <w:shd w:val="clear" w:color="auto" w:fill="E2EFD9"/>
          </w:tcPr>
          <w:p w14:paraId="7CC5D3C1" w14:textId="77777777" w:rsidR="006207D5" w:rsidRPr="00B4063F" w:rsidDel="00BD7C58" w:rsidRDefault="006207D5" w:rsidP="00964F1E">
            <w:pPr>
              <w:pStyle w:val="Header"/>
              <w:spacing w:before="60"/>
              <w:jc w:val="left"/>
              <w:rPr>
                <w:rFonts w:cs="Arial"/>
                <w:sz w:val="20"/>
                <w:szCs w:val="20"/>
              </w:rPr>
            </w:pPr>
          </w:p>
        </w:tc>
        <w:tc>
          <w:tcPr>
            <w:tcW w:w="850" w:type="dxa"/>
            <w:shd w:val="clear" w:color="auto" w:fill="E2EFD9"/>
          </w:tcPr>
          <w:p w14:paraId="739DBADF" w14:textId="77777777" w:rsidR="006207D5" w:rsidRPr="00B4063F" w:rsidDel="00BD7C58" w:rsidRDefault="006207D5" w:rsidP="00964F1E">
            <w:pPr>
              <w:spacing w:before="60"/>
              <w:jc w:val="left"/>
              <w:rPr>
                <w:rFonts w:cs="Arial"/>
                <w:i/>
                <w:sz w:val="20"/>
                <w:szCs w:val="20"/>
              </w:rPr>
            </w:pPr>
          </w:p>
        </w:tc>
        <w:tc>
          <w:tcPr>
            <w:tcW w:w="2268" w:type="dxa"/>
            <w:shd w:val="clear" w:color="auto" w:fill="E2EFD9"/>
          </w:tcPr>
          <w:p w14:paraId="0516EE02" w14:textId="77777777" w:rsidR="006207D5" w:rsidRPr="00B4063F" w:rsidRDefault="006207D5" w:rsidP="00964F1E">
            <w:pPr>
              <w:spacing w:before="60"/>
              <w:jc w:val="left"/>
              <w:rPr>
                <w:rFonts w:cs="Arial"/>
                <w:i/>
                <w:sz w:val="20"/>
                <w:szCs w:val="20"/>
              </w:rPr>
            </w:pPr>
          </w:p>
        </w:tc>
      </w:tr>
      <w:tr w:rsidR="006207D5" w:rsidRPr="00B4063F" w14:paraId="7EAC964C" w14:textId="77777777" w:rsidTr="00450154">
        <w:trPr>
          <w:trHeight w:val="530"/>
          <w:tblHeader/>
        </w:trPr>
        <w:tc>
          <w:tcPr>
            <w:tcW w:w="2857" w:type="dxa"/>
            <w:vMerge/>
            <w:shd w:val="clear" w:color="auto" w:fill="E2EFD9"/>
            <w:vAlign w:val="center"/>
          </w:tcPr>
          <w:p w14:paraId="5B060040" w14:textId="77777777" w:rsidR="006207D5" w:rsidRPr="001473E3" w:rsidRDefault="006207D5" w:rsidP="00964F1E">
            <w:pPr>
              <w:spacing w:before="60"/>
              <w:jc w:val="left"/>
              <w:rPr>
                <w:rFonts w:cs="Arial"/>
                <w:b/>
                <w:bCs/>
                <w:color w:val="000000"/>
                <w:sz w:val="20"/>
                <w:szCs w:val="20"/>
                <w:lang w:eastAsia="en-GB"/>
              </w:rPr>
            </w:pPr>
          </w:p>
        </w:tc>
        <w:tc>
          <w:tcPr>
            <w:tcW w:w="3380" w:type="dxa"/>
            <w:shd w:val="clear" w:color="auto" w:fill="E2EFD9"/>
            <w:vAlign w:val="center"/>
          </w:tcPr>
          <w:p w14:paraId="10448C84" w14:textId="77777777" w:rsidR="006207D5" w:rsidRPr="00AC5062" w:rsidRDefault="006207D5" w:rsidP="00964F1E">
            <w:pPr>
              <w:spacing w:before="60"/>
              <w:jc w:val="left"/>
              <w:rPr>
                <w:rFonts w:cs="Arial"/>
                <w:color w:val="333333"/>
                <w:sz w:val="20"/>
                <w:szCs w:val="20"/>
                <w:lang w:eastAsia="en-GB"/>
              </w:rPr>
            </w:pPr>
            <w:r w:rsidRPr="00AC5062">
              <w:rPr>
                <w:rFonts w:cs="Arial"/>
                <w:color w:val="333333"/>
                <w:sz w:val="20"/>
                <w:szCs w:val="20"/>
                <w:lang w:eastAsia="en-GB"/>
              </w:rPr>
              <w:t>2.2 Proportion of jobs in sustainable tourism industries out of total tourism jobs (SDG Indicator 8.9.2)</w:t>
            </w:r>
          </w:p>
        </w:tc>
        <w:tc>
          <w:tcPr>
            <w:tcW w:w="1560" w:type="dxa"/>
            <w:shd w:val="clear" w:color="auto" w:fill="E2EFD9"/>
          </w:tcPr>
          <w:p w14:paraId="30CF61B2" w14:textId="77777777" w:rsidR="006207D5" w:rsidRDefault="006207D5" w:rsidP="00964F1E">
            <w:pPr>
              <w:spacing w:before="60"/>
              <w:jc w:val="center"/>
              <w:rPr>
                <w:rFonts w:cs="Arial"/>
                <w:i/>
                <w:sz w:val="20"/>
                <w:szCs w:val="20"/>
              </w:rPr>
            </w:pPr>
          </w:p>
          <w:p w14:paraId="1EE3B6EB" w14:textId="77777777" w:rsidR="006207D5" w:rsidRPr="00B4063F" w:rsidDel="00A84123" w:rsidRDefault="006207D5" w:rsidP="00964F1E">
            <w:pPr>
              <w:spacing w:before="60"/>
              <w:jc w:val="center"/>
              <w:rPr>
                <w:rFonts w:cs="Arial"/>
                <w:i/>
                <w:sz w:val="20"/>
                <w:szCs w:val="20"/>
              </w:rPr>
            </w:pPr>
            <w:r w:rsidRPr="008A60B9">
              <w:rPr>
                <w:rFonts w:cs="Arial"/>
                <w:i/>
                <w:sz w:val="20"/>
                <w:szCs w:val="20"/>
                <w:highlight w:val="yellow"/>
              </w:rPr>
              <w:t>[check]</w:t>
            </w:r>
          </w:p>
        </w:tc>
        <w:tc>
          <w:tcPr>
            <w:tcW w:w="992" w:type="dxa"/>
            <w:shd w:val="clear" w:color="auto" w:fill="E2EFD9"/>
          </w:tcPr>
          <w:p w14:paraId="20ED1344" w14:textId="77777777" w:rsidR="006207D5" w:rsidRPr="00B4063F" w:rsidDel="00BD7C58" w:rsidRDefault="006207D5" w:rsidP="00964F1E">
            <w:pPr>
              <w:pStyle w:val="Header"/>
              <w:spacing w:before="60"/>
              <w:jc w:val="left"/>
              <w:rPr>
                <w:rFonts w:cs="Arial"/>
                <w:sz w:val="20"/>
                <w:szCs w:val="20"/>
              </w:rPr>
            </w:pPr>
          </w:p>
        </w:tc>
        <w:tc>
          <w:tcPr>
            <w:tcW w:w="709" w:type="dxa"/>
            <w:shd w:val="clear" w:color="auto" w:fill="E2EFD9"/>
          </w:tcPr>
          <w:p w14:paraId="4208CC87" w14:textId="77777777" w:rsidR="006207D5" w:rsidRPr="00B4063F" w:rsidDel="00BD7C58" w:rsidRDefault="006207D5" w:rsidP="00964F1E">
            <w:pPr>
              <w:pStyle w:val="Header"/>
              <w:spacing w:before="60"/>
              <w:jc w:val="left"/>
              <w:rPr>
                <w:rFonts w:cs="Arial"/>
                <w:sz w:val="20"/>
                <w:szCs w:val="20"/>
              </w:rPr>
            </w:pPr>
          </w:p>
        </w:tc>
        <w:tc>
          <w:tcPr>
            <w:tcW w:w="850" w:type="dxa"/>
            <w:shd w:val="clear" w:color="auto" w:fill="E2EFD9"/>
          </w:tcPr>
          <w:p w14:paraId="5750D60B" w14:textId="77777777" w:rsidR="006207D5" w:rsidRPr="00B4063F" w:rsidDel="00BD7C58" w:rsidRDefault="006207D5" w:rsidP="00964F1E">
            <w:pPr>
              <w:spacing w:before="60"/>
              <w:jc w:val="left"/>
              <w:rPr>
                <w:rFonts w:cs="Arial"/>
                <w:i/>
                <w:sz w:val="20"/>
                <w:szCs w:val="20"/>
              </w:rPr>
            </w:pPr>
          </w:p>
        </w:tc>
        <w:tc>
          <w:tcPr>
            <w:tcW w:w="2268" w:type="dxa"/>
            <w:shd w:val="clear" w:color="auto" w:fill="E2EFD9"/>
          </w:tcPr>
          <w:p w14:paraId="53304AA6" w14:textId="77777777" w:rsidR="006207D5" w:rsidRPr="00B4063F" w:rsidRDefault="006207D5" w:rsidP="00964F1E">
            <w:pPr>
              <w:spacing w:before="60"/>
              <w:jc w:val="left"/>
              <w:rPr>
                <w:rFonts w:cs="Arial"/>
                <w:i/>
                <w:sz w:val="20"/>
                <w:szCs w:val="20"/>
              </w:rPr>
            </w:pPr>
          </w:p>
        </w:tc>
      </w:tr>
      <w:tr w:rsidR="006207D5" w:rsidRPr="00B4063F" w14:paraId="58798CF3" w14:textId="77777777" w:rsidTr="00450154">
        <w:trPr>
          <w:trHeight w:val="530"/>
          <w:tblHeader/>
        </w:trPr>
        <w:tc>
          <w:tcPr>
            <w:tcW w:w="2857" w:type="dxa"/>
            <w:vMerge/>
          </w:tcPr>
          <w:p w14:paraId="3E0ED333" w14:textId="77777777" w:rsidR="006207D5" w:rsidRPr="00B4063F" w:rsidRDefault="006207D5" w:rsidP="00964F1E">
            <w:pPr>
              <w:spacing w:before="60"/>
              <w:jc w:val="left"/>
              <w:rPr>
                <w:rFonts w:cs="Arial"/>
                <w:i/>
                <w:sz w:val="20"/>
                <w:szCs w:val="20"/>
              </w:rPr>
            </w:pPr>
          </w:p>
        </w:tc>
        <w:tc>
          <w:tcPr>
            <w:tcW w:w="3380" w:type="dxa"/>
            <w:vAlign w:val="center"/>
          </w:tcPr>
          <w:p w14:paraId="59C93374" w14:textId="77777777" w:rsidR="006207D5" w:rsidRPr="00B4063F" w:rsidDel="00A84123" w:rsidRDefault="006207D5" w:rsidP="00964F1E">
            <w:pPr>
              <w:spacing w:before="60"/>
              <w:jc w:val="left"/>
              <w:rPr>
                <w:rFonts w:cs="Arial"/>
                <w:i/>
                <w:sz w:val="20"/>
                <w:szCs w:val="20"/>
              </w:rPr>
            </w:pPr>
            <w:r w:rsidRPr="00B4063F">
              <w:rPr>
                <w:rFonts w:cs="Arial"/>
                <w:color w:val="000000"/>
                <w:sz w:val="20"/>
                <w:szCs w:val="20"/>
                <w:lang w:eastAsia="en-GB"/>
              </w:rPr>
              <w:t>2.</w:t>
            </w:r>
            <w:r>
              <w:rPr>
                <w:rFonts w:cs="Arial"/>
                <w:color w:val="000000"/>
                <w:sz w:val="20"/>
                <w:szCs w:val="20"/>
                <w:lang w:eastAsia="en-GB"/>
              </w:rPr>
              <w:t>3</w:t>
            </w:r>
            <w:r w:rsidRPr="00B4063F">
              <w:rPr>
                <w:rFonts w:cs="Arial"/>
                <w:color w:val="000000"/>
                <w:sz w:val="20"/>
                <w:szCs w:val="20"/>
                <w:lang w:eastAsia="en-GB"/>
              </w:rPr>
              <w:t xml:space="preserve"> Gender disaggregated sector mapping and value chain analysis exercises undertaken in target areas</w:t>
            </w:r>
          </w:p>
        </w:tc>
        <w:tc>
          <w:tcPr>
            <w:tcW w:w="1560" w:type="dxa"/>
          </w:tcPr>
          <w:p w14:paraId="16C7C083" w14:textId="77777777" w:rsidR="006207D5" w:rsidRPr="008A60B9" w:rsidDel="00A84123" w:rsidRDefault="006207D5" w:rsidP="00964F1E">
            <w:pPr>
              <w:spacing w:before="60"/>
              <w:jc w:val="center"/>
              <w:rPr>
                <w:rFonts w:cs="Arial"/>
                <w:i/>
                <w:sz w:val="20"/>
                <w:szCs w:val="20"/>
              </w:rPr>
            </w:pPr>
            <w:r w:rsidRPr="008A60B9">
              <w:rPr>
                <w:rFonts w:cs="Arial"/>
                <w:i/>
                <w:sz w:val="20"/>
                <w:szCs w:val="20"/>
              </w:rPr>
              <w:t>Project documents</w:t>
            </w:r>
          </w:p>
        </w:tc>
        <w:tc>
          <w:tcPr>
            <w:tcW w:w="992" w:type="dxa"/>
            <w:shd w:val="clear" w:color="auto" w:fill="auto"/>
          </w:tcPr>
          <w:p w14:paraId="08310D20" w14:textId="77777777" w:rsidR="006207D5" w:rsidRPr="008A60B9" w:rsidDel="00BD7C58" w:rsidRDefault="006207D5" w:rsidP="00964F1E">
            <w:pPr>
              <w:pStyle w:val="Header"/>
              <w:spacing w:before="60"/>
              <w:jc w:val="center"/>
              <w:rPr>
                <w:rFonts w:cs="Arial"/>
                <w:iCs/>
                <w:sz w:val="20"/>
                <w:szCs w:val="20"/>
              </w:rPr>
            </w:pPr>
            <w:r w:rsidRPr="008A60B9">
              <w:rPr>
                <w:rFonts w:cs="Arial"/>
                <w:iCs/>
                <w:sz w:val="20"/>
                <w:szCs w:val="20"/>
              </w:rPr>
              <w:t>N/A</w:t>
            </w:r>
          </w:p>
        </w:tc>
        <w:tc>
          <w:tcPr>
            <w:tcW w:w="709" w:type="dxa"/>
          </w:tcPr>
          <w:p w14:paraId="5CD14C8E" w14:textId="77777777" w:rsidR="006207D5" w:rsidRPr="008A60B9" w:rsidDel="00BD7C58" w:rsidRDefault="006207D5" w:rsidP="00964F1E">
            <w:pPr>
              <w:pStyle w:val="Header"/>
              <w:spacing w:before="60"/>
              <w:jc w:val="center"/>
              <w:rPr>
                <w:rFonts w:cs="Arial"/>
                <w:iCs/>
                <w:sz w:val="20"/>
                <w:szCs w:val="20"/>
              </w:rPr>
            </w:pPr>
          </w:p>
        </w:tc>
        <w:tc>
          <w:tcPr>
            <w:tcW w:w="850" w:type="dxa"/>
          </w:tcPr>
          <w:p w14:paraId="267B3DA9" w14:textId="77777777" w:rsidR="006207D5" w:rsidRPr="008A60B9" w:rsidDel="00BD7C58" w:rsidRDefault="006207D5" w:rsidP="00964F1E">
            <w:pPr>
              <w:spacing w:before="60"/>
              <w:jc w:val="center"/>
              <w:rPr>
                <w:rFonts w:cs="Arial"/>
                <w:iCs/>
                <w:sz w:val="20"/>
                <w:szCs w:val="20"/>
              </w:rPr>
            </w:pPr>
            <w:r w:rsidRPr="008A60B9">
              <w:rPr>
                <w:rFonts w:cs="Arial"/>
                <w:iCs/>
                <w:sz w:val="20"/>
                <w:szCs w:val="20"/>
              </w:rPr>
              <w:t>2</w:t>
            </w:r>
          </w:p>
        </w:tc>
        <w:tc>
          <w:tcPr>
            <w:tcW w:w="2268" w:type="dxa"/>
            <w:shd w:val="clear" w:color="auto" w:fill="auto"/>
          </w:tcPr>
          <w:p w14:paraId="60F95688" w14:textId="77777777" w:rsidR="006207D5" w:rsidRPr="00B4063F" w:rsidRDefault="006207D5" w:rsidP="00964F1E">
            <w:pPr>
              <w:spacing w:before="60"/>
              <w:jc w:val="left"/>
              <w:rPr>
                <w:rFonts w:cs="Arial"/>
                <w:i/>
                <w:sz w:val="20"/>
                <w:szCs w:val="20"/>
              </w:rPr>
            </w:pPr>
          </w:p>
        </w:tc>
      </w:tr>
      <w:tr w:rsidR="00D6249F" w:rsidRPr="00B4063F" w14:paraId="1C626F5C" w14:textId="77777777" w:rsidTr="000332E1">
        <w:trPr>
          <w:trHeight w:val="530"/>
          <w:tblHeader/>
        </w:trPr>
        <w:tc>
          <w:tcPr>
            <w:tcW w:w="2857" w:type="dxa"/>
            <w:vMerge w:val="restart"/>
            <w:shd w:val="clear" w:color="auto" w:fill="E2EFD9"/>
          </w:tcPr>
          <w:p w14:paraId="099575EE" w14:textId="77777777" w:rsidR="00D6249F" w:rsidRPr="00AC5062" w:rsidRDefault="00D6249F" w:rsidP="00450154">
            <w:pPr>
              <w:spacing w:before="60"/>
              <w:jc w:val="left"/>
              <w:rPr>
                <w:rFonts w:cs="Arial"/>
                <w:b/>
                <w:sz w:val="20"/>
                <w:szCs w:val="20"/>
              </w:rPr>
            </w:pPr>
            <w:r w:rsidRPr="00AC5062">
              <w:rPr>
                <w:rFonts w:cs="Arial"/>
                <w:b/>
                <w:bCs/>
                <w:color w:val="000000"/>
                <w:sz w:val="20"/>
                <w:szCs w:val="20"/>
                <w:lang w:eastAsia="en-GB"/>
              </w:rPr>
              <w:t>Outcome 3:</w:t>
            </w:r>
            <w:r w:rsidRPr="00AC5062">
              <w:rPr>
                <w:rFonts w:cs="Arial"/>
                <w:color w:val="000000"/>
                <w:sz w:val="20"/>
                <w:szCs w:val="20"/>
                <w:lang w:eastAsia="en-GB"/>
              </w:rPr>
              <w:t xml:space="preserve"> </w:t>
            </w:r>
            <w:r w:rsidRPr="00931EAC">
              <w:rPr>
                <w:rFonts w:cs="Arial"/>
                <w:kern w:val="24"/>
                <w:sz w:val="20"/>
                <w:szCs w:val="20"/>
              </w:rPr>
              <w:t xml:space="preserve">Targeted investments in renewable green energy and sustainable ecotourism increases proportion of population with primary reliance on ecotourism for livelihoods generation, clean </w:t>
            </w:r>
            <w:proofErr w:type="gramStart"/>
            <w:r w:rsidRPr="00931EAC">
              <w:rPr>
                <w:rFonts w:cs="Arial"/>
                <w:kern w:val="24"/>
                <w:sz w:val="20"/>
                <w:szCs w:val="20"/>
              </w:rPr>
              <w:t>fuels</w:t>
            </w:r>
            <w:proofErr w:type="gramEnd"/>
            <w:r w:rsidRPr="00931EAC">
              <w:rPr>
                <w:rFonts w:cs="Arial"/>
                <w:kern w:val="24"/>
                <w:sz w:val="20"/>
                <w:szCs w:val="20"/>
              </w:rPr>
              <w:t xml:space="preserve"> and technology, while preserving biodiversity and protecting environmental assets</w:t>
            </w:r>
          </w:p>
        </w:tc>
        <w:tc>
          <w:tcPr>
            <w:tcW w:w="3380" w:type="dxa"/>
            <w:shd w:val="clear" w:color="auto" w:fill="auto"/>
          </w:tcPr>
          <w:p w14:paraId="45D9E202" w14:textId="095D0895" w:rsidR="00D6249F" w:rsidRPr="00AC5062" w:rsidRDefault="00D6249F" w:rsidP="00450154">
            <w:pPr>
              <w:spacing w:before="60"/>
              <w:jc w:val="left"/>
              <w:rPr>
                <w:rFonts w:cs="Arial"/>
                <w:color w:val="000000"/>
                <w:sz w:val="20"/>
                <w:szCs w:val="20"/>
                <w:lang w:eastAsia="en-GB"/>
              </w:rPr>
            </w:pPr>
            <w:r>
              <w:rPr>
                <w:rFonts w:cs="Arial"/>
                <w:color w:val="000000"/>
                <w:sz w:val="20"/>
                <w:szCs w:val="20"/>
                <w:lang w:eastAsia="en-GB"/>
              </w:rPr>
              <w:t>3.</w:t>
            </w:r>
            <w:r>
              <w:rPr>
                <w:rFonts w:cs="Arial"/>
                <w:color w:val="000000"/>
                <w:sz w:val="20"/>
                <w:szCs w:val="20"/>
                <w:lang w:eastAsia="en-GB"/>
              </w:rPr>
              <w:t>1</w:t>
            </w:r>
            <w:r>
              <w:rPr>
                <w:rFonts w:cs="Arial"/>
                <w:color w:val="000000"/>
                <w:sz w:val="20"/>
                <w:szCs w:val="20"/>
                <w:lang w:eastAsia="en-GB"/>
              </w:rPr>
              <w:t xml:space="preserve"> </w:t>
            </w:r>
            <w:r w:rsidRPr="00B4063F">
              <w:rPr>
                <w:rFonts w:cs="Arial"/>
                <w:color w:val="000000"/>
                <w:sz w:val="20"/>
                <w:szCs w:val="20"/>
                <w:lang w:eastAsia="en-GB"/>
              </w:rPr>
              <w:t xml:space="preserve">Geospatial analysis for </w:t>
            </w:r>
            <w:proofErr w:type="spellStart"/>
            <w:r w:rsidRPr="00B4063F">
              <w:rPr>
                <w:rFonts w:cs="Arial"/>
                <w:color w:val="000000"/>
                <w:sz w:val="20"/>
                <w:szCs w:val="20"/>
                <w:lang w:eastAsia="en-GB"/>
              </w:rPr>
              <w:t>minigrids</w:t>
            </w:r>
            <w:proofErr w:type="spellEnd"/>
            <w:r w:rsidRPr="00B4063F">
              <w:rPr>
                <w:rFonts w:cs="Arial"/>
                <w:color w:val="000000"/>
                <w:sz w:val="20"/>
                <w:szCs w:val="20"/>
                <w:lang w:eastAsia="en-GB"/>
              </w:rPr>
              <w:t xml:space="preserve"> conducted for target areas</w:t>
            </w:r>
          </w:p>
        </w:tc>
        <w:tc>
          <w:tcPr>
            <w:tcW w:w="1560" w:type="dxa"/>
            <w:shd w:val="clear" w:color="auto" w:fill="auto"/>
          </w:tcPr>
          <w:p w14:paraId="52C0498E" w14:textId="7ADAFD6F" w:rsidR="00D6249F" w:rsidRPr="000332E1" w:rsidDel="00A84123" w:rsidRDefault="00D6249F" w:rsidP="00450154">
            <w:pPr>
              <w:spacing w:before="60"/>
              <w:jc w:val="center"/>
              <w:rPr>
                <w:rFonts w:cs="Arial"/>
                <w:color w:val="000000"/>
                <w:sz w:val="20"/>
                <w:szCs w:val="20"/>
                <w:lang w:eastAsia="en-GB"/>
              </w:rPr>
            </w:pPr>
            <w:r w:rsidRPr="000332E1">
              <w:rPr>
                <w:rFonts w:cs="Arial"/>
                <w:color w:val="000000"/>
                <w:sz w:val="20"/>
                <w:szCs w:val="20"/>
                <w:lang w:eastAsia="en-GB"/>
              </w:rPr>
              <w:t>Project documents</w:t>
            </w:r>
          </w:p>
        </w:tc>
        <w:tc>
          <w:tcPr>
            <w:tcW w:w="992" w:type="dxa"/>
            <w:shd w:val="clear" w:color="auto" w:fill="auto"/>
          </w:tcPr>
          <w:p w14:paraId="35D2BCD4" w14:textId="40824D9A" w:rsidR="00D6249F" w:rsidRPr="000332E1" w:rsidDel="00BD7C58" w:rsidRDefault="00D6249F" w:rsidP="00450154">
            <w:pPr>
              <w:pStyle w:val="Header"/>
              <w:spacing w:before="60"/>
              <w:jc w:val="left"/>
              <w:rPr>
                <w:rFonts w:cs="Arial"/>
                <w:color w:val="000000"/>
                <w:sz w:val="20"/>
                <w:szCs w:val="20"/>
                <w:lang w:eastAsia="en-GB"/>
              </w:rPr>
            </w:pPr>
            <w:r w:rsidRPr="000332E1">
              <w:rPr>
                <w:rFonts w:cs="Arial"/>
                <w:color w:val="000000"/>
                <w:sz w:val="20"/>
                <w:szCs w:val="20"/>
                <w:lang w:eastAsia="en-GB"/>
              </w:rPr>
              <w:t>N/A</w:t>
            </w:r>
          </w:p>
        </w:tc>
        <w:tc>
          <w:tcPr>
            <w:tcW w:w="709" w:type="dxa"/>
            <w:shd w:val="clear" w:color="auto" w:fill="auto"/>
          </w:tcPr>
          <w:p w14:paraId="70A2EE99" w14:textId="61E7DA45" w:rsidR="00D6249F" w:rsidRPr="000332E1" w:rsidDel="00BD7C58" w:rsidRDefault="00D6249F" w:rsidP="00450154">
            <w:pPr>
              <w:pStyle w:val="Header"/>
              <w:spacing w:before="60"/>
              <w:jc w:val="left"/>
              <w:rPr>
                <w:rFonts w:cs="Arial"/>
                <w:color w:val="000000"/>
                <w:sz w:val="20"/>
                <w:szCs w:val="20"/>
                <w:lang w:eastAsia="en-GB"/>
              </w:rPr>
            </w:pPr>
          </w:p>
        </w:tc>
        <w:tc>
          <w:tcPr>
            <w:tcW w:w="850" w:type="dxa"/>
            <w:shd w:val="clear" w:color="auto" w:fill="auto"/>
          </w:tcPr>
          <w:p w14:paraId="3E1E38F1" w14:textId="175311F4" w:rsidR="00D6249F" w:rsidRPr="000332E1" w:rsidDel="00BD7C58" w:rsidRDefault="00D6249F" w:rsidP="00450154">
            <w:pPr>
              <w:spacing w:before="60"/>
              <w:jc w:val="left"/>
              <w:rPr>
                <w:rFonts w:cs="Arial"/>
                <w:color w:val="000000"/>
                <w:sz w:val="20"/>
                <w:szCs w:val="20"/>
                <w:lang w:eastAsia="en-GB"/>
              </w:rPr>
            </w:pPr>
            <w:r w:rsidRPr="000332E1">
              <w:rPr>
                <w:rFonts w:cs="Arial"/>
                <w:color w:val="000000"/>
                <w:sz w:val="20"/>
                <w:szCs w:val="20"/>
                <w:lang w:eastAsia="en-GB"/>
              </w:rPr>
              <w:t>2</w:t>
            </w:r>
          </w:p>
        </w:tc>
        <w:tc>
          <w:tcPr>
            <w:tcW w:w="2268" w:type="dxa"/>
            <w:shd w:val="clear" w:color="auto" w:fill="auto"/>
          </w:tcPr>
          <w:p w14:paraId="287B4713" w14:textId="77777777" w:rsidR="00D6249F" w:rsidRPr="000332E1" w:rsidRDefault="00D6249F" w:rsidP="00450154">
            <w:pPr>
              <w:spacing w:before="60"/>
              <w:jc w:val="left"/>
              <w:rPr>
                <w:rFonts w:cs="Arial"/>
                <w:color w:val="000000"/>
                <w:sz w:val="20"/>
                <w:szCs w:val="20"/>
                <w:lang w:eastAsia="en-GB"/>
              </w:rPr>
            </w:pPr>
          </w:p>
        </w:tc>
      </w:tr>
      <w:tr w:rsidR="00D6249F" w:rsidRPr="00B4063F" w14:paraId="3D1F3CE6" w14:textId="77777777" w:rsidTr="00450154">
        <w:trPr>
          <w:trHeight w:val="530"/>
          <w:tblHeader/>
        </w:trPr>
        <w:tc>
          <w:tcPr>
            <w:tcW w:w="2857" w:type="dxa"/>
            <w:vMerge/>
            <w:shd w:val="clear" w:color="auto" w:fill="E2EFD9"/>
          </w:tcPr>
          <w:p w14:paraId="0756CC88" w14:textId="77777777" w:rsidR="00D6249F" w:rsidRPr="00B4063F" w:rsidRDefault="00D6249F" w:rsidP="00C535AB">
            <w:pPr>
              <w:spacing w:before="60"/>
              <w:jc w:val="left"/>
              <w:rPr>
                <w:rFonts w:cs="Arial"/>
                <w:b/>
                <w:sz w:val="20"/>
                <w:szCs w:val="20"/>
              </w:rPr>
            </w:pPr>
          </w:p>
        </w:tc>
        <w:tc>
          <w:tcPr>
            <w:tcW w:w="3380" w:type="dxa"/>
          </w:tcPr>
          <w:p w14:paraId="27F1220C" w14:textId="5915B609" w:rsidR="00D6249F" w:rsidRPr="001473E3" w:rsidRDefault="00D6249F" w:rsidP="00C535AB">
            <w:pPr>
              <w:spacing w:before="60"/>
              <w:jc w:val="left"/>
              <w:rPr>
                <w:rFonts w:cs="Arial"/>
                <w:color w:val="000000"/>
                <w:sz w:val="20"/>
                <w:szCs w:val="20"/>
                <w:lang w:eastAsia="en-GB"/>
              </w:rPr>
            </w:pPr>
            <w:r>
              <w:rPr>
                <w:rFonts w:cs="Arial"/>
                <w:color w:val="000000"/>
                <w:sz w:val="20"/>
                <w:szCs w:val="20"/>
                <w:lang w:eastAsia="en-GB"/>
              </w:rPr>
              <w:t xml:space="preserve">3.2 </w:t>
            </w:r>
            <w:r w:rsidRPr="00C535AB">
              <w:rPr>
                <w:rFonts w:cs="Arial"/>
                <w:color w:val="000000"/>
                <w:sz w:val="20"/>
                <w:szCs w:val="20"/>
                <w:lang w:eastAsia="en-GB"/>
              </w:rPr>
              <w:t xml:space="preserve">location mapping and feasibility studies for ecotourism sector renewable energy </w:t>
            </w:r>
            <w:proofErr w:type="gramStart"/>
            <w:r w:rsidRPr="00C535AB">
              <w:rPr>
                <w:rFonts w:cs="Arial"/>
                <w:color w:val="000000"/>
                <w:sz w:val="20"/>
                <w:szCs w:val="20"/>
                <w:lang w:eastAsia="en-GB"/>
              </w:rPr>
              <w:t>mini-grids</w:t>
            </w:r>
            <w:proofErr w:type="gramEnd"/>
            <w:r w:rsidRPr="00C535AB">
              <w:rPr>
                <w:rFonts w:cs="Arial"/>
                <w:color w:val="000000"/>
                <w:sz w:val="20"/>
                <w:szCs w:val="20"/>
                <w:lang w:eastAsia="en-GB"/>
              </w:rPr>
              <w:t> </w:t>
            </w:r>
            <w:r>
              <w:rPr>
                <w:rFonts w:cs="Arial"/>
                <w:color w:val="000000"/>
                <w:sz w:val="20"/>
                <w:szCs w:val="20"/>
                <w:lang w:eastAsia="en-GB"/>
              </w:rPr>
              <w:t>undertaken</w:t>
            </w:r>
          </w:p>
        </w:tc>
        <w:tc>
          <w:tcPr>
            <w:tcW w:w="1560" w:type="dxa"/>
          </w:tcPr>
          <w:p w14:paraId="68B3F961" w14:textId="7C72E035" w:rsidR="00D6249F" w:rsidRPr="00B4063F" w:rsidDel="00A84123" w:rsidRDefault="00D6249F" w:rsidP="00C535AB">
            <w:pPr>
              <w:spacing w:before="60"/>
              <w:jc w:val="center"/>
              <w:rPr>
                <w:rFonts w:cs="Arial"/>
                <w:i/>
                <w:sz w:val="20"/>
                <w:szCs w:val="20"/>
              </w:rPr>
            </w:pPr>
            <w:r w:rsidRPr="000332E1">
              <w:rPr>
                <w:rFonts w:cs="Arial"/>
                <w:color w:val="000000"/>
                <w:sz w:val="20"/>
                <w:szCs w:val="20"/>
                <w:lang w:eastAsia="en-GB"/>
              </w:rPr>
              <w:t>Project documents</w:t>
            </w:r>
          </w:p>
        </w:tc>
        <w:tc>
          <w:tcPr>
            <w:tcW w:w="992" w:type="dxa"/>
            <w:shd w:val="clear" w:color="auto" w:fill="auto"/>
          </w:tcPr>
          <w:p w14:paraId="5B72E1F7" w14:textId="5E103BCD" w:rsidR="00D6249F" w:rsidRPr="00B4063F" w:rsidDel="00BD7C58" w:rsidRDefault="00D6249F" w:rsidP="00C535AB">
            <w:pPr>
              <w:pStyle w:val="Header"/>
              <w:spacing w:before="60"/>
              <w:jc w:val="left"/>
              <w:rPr>
                <w:rFonts w:cs="Arial"/>
                <w:sz w:val="20"/>
                <w:szCs w:val="20"/>
              </w:rPr>
            </w:pPr>
            <w:r w:rsidRPr="000332E1">
              <w:rPr>
                <w:rFonts w:cs="Arial"/>
                <w:color w:val="000000"/>
                <w:sz w:val="20"/>
                <w:szCs w:val="20"/>
                <w:lang w:eastAsia="en-GB"/>
              </w:rPr>
              <w:t>N/A</w:t>
            </w:r>
          </w:p>
        </w:tc>
        <w:tc>
          <w:tcPr>
            <w:tcW w:w="709" w:type="dxa"/>
          </w:tcPr>
          <w:p w14:paraId="6153B7DD" w14:textId="77777777" w:rsidR="00D6249F" w:rsidRPr="000646CF" w:rsidDel="00BD7C58" w:rsidRDefault="00D6249F" w:rsidP="00C535AB">
            <w:pPr>
              <w:pStyle w:val="Header"/>
              <w:spacing w:before="60"/>
              <w:jc w:val="left"/>
              <w:rPr>
                <w:rFonts w:cs="Arial"/>
                <w:sz w:val="20"/>
                <w:szCs w:val="20"/>
              </w:rPr>
            </w:pPr>
          </w:p>
        </w:tc>
        <w:tc>
          <w:tcPr>
            <w:tcW w:w="850" w:type="dxa"/>
          </w:tcPr>
          <w:p w14:paraId="23AF2F2C" w14:textId="30F5681D" w:rsidR="00D6249F" w:rsidRPr="000646CF" w:rsidDel="00BD7C58" w:rsidRDefault="00D6249F" w:rsidP="00C535AB">
            <w:pPr>
              <w:spacing w:before="60"/>
              <w:jc w:val="left"/>
              <w:rPr>
                <w:rFonts w:cs="Arial"/>
                <w:sz w:val="20"/>
                <w:szCs w:val="20"/>
              </w:rPr>
            </w:pPr>
            <w:r>
              <w:rPr>
                <w:rFonts w:cs="Arial"/>
                <w:sz w:val="20"/>
                <w:szCs w:val="20"/>
              </w:rPr>
              <w:t>2</w:t>
            </w:r>
          </w:p>
        </w:tc>
        <w:tc>
          <w:tcPr>
            <w:tcW w:w="2268" w:type="dxa"/>
            <w:shd w:val="clear" w:color="auto" w:fill="auto"/>
          </w:tcPr>
          <w:p w14:paraId="12B17697" w14:textId="77777777" w:rsidR="00D6249F" w:rsidRPr="00B4063F" w:rsidRDefault="00D6249F" w:rsidP="00C535AB">
            <w:pPr>
              <w:spacing w:before="60"/>
              <w:jc w:val="left"/>
              <w:rPr>
                <w:rFonts w:cs="Arial"/>
                <w:i/>
                <w:sz w:val="20"/>
                <w:szCs w:val="20"/>
              </w:rPr>
            </w:pPr>
          </w:p>
        </w:tc>
      </w:tr>
    </w:tbl>
    <w:p w14:paraId="06267FEB" w14:textId="40A5E68F" w:rsidR="00704256" w:rsidRDefault="00704256">
      <w:pPr>
        <w:rPr>
          <w:rFonts w:ascii="Calibri" w:eastAsia="Calibri" w:hAnsi="Calibri" w:cs="Calibri"/>
          <w:sz w:val="20"/>
          <w:szCs w:val="20"/>
        </w:rPr>
      </w:pPr>
      <w:r>
        <w:br/>
      </w:r>
      <w:hyperlink r:id="rId17" w:anchor="_ftnref1" w:history="1">
        <w:r w:rsidR="0FA5408B" w:rsidRPr="4245EC3B">
          <w:rPr>
            <w:rStyle w:val="Hyperlink"/>
            <w:rFonts w:eastAsia="Arial" w:cs="Arial"/>
            <w:sz w:val="20"/>
            <w:szCs w:val="20"/>
            <w:vertAlign w:val="superscript"/>
          </w:rPr>
          <w:t>[1]</w:t>
        </w:r>
      </w:hyperlink>
      <w:r w:rsidR="0FA5408B" w:rsidRPr="4245EC3B">
        <w:rPr>
          <w:rFonts w:ascii="Courier" w:eastAsia="Courier" w:hAnsi="Courier" w:cs="Courier"/>
          <w:sz w:val="20"/>
          <w:szCs w:val="20"/>
        </w:rPr>
        <w:t xml:space="preserve"> </w:t>
      </w:r>
      <w:r w:rsidR="0FA5408B" w:rsidRPr="4245EC3B">
        <w:rPr>
          <w:rFonts w:ascii="Calibri" w:eastAsia="Calibri" w:hAnsi="Calibri" w:cs="Calibri"/>
          <w:sz w:val="20"/>
          <w:szCs w:val="20"/>
        </w:rPr>
        <w:t xml:space="preserve">UNDP publishes its project information (indicators, baselines, </w:t>
      </w:r>
      <w:proofErr w:type="gramStart"/>
      <w:r w:rsidR="0FA5408B" w:rsidRPr="4245EC3B">
        <w:rPr>
          <w:rFonts w:ascii="Calibri" w:eastAsia="Calibri" w:hAnsi="Calibri" w:cs="Calibri"/>
          <w:sz w:val="20"/>
          <w:szCs w:val="20"/>
        </w:rPr>
        <w:t>targets</w:t>
      </w:r>
      <w:proofErr w:type="gramEnd"/>
      <w:r w:rsidR="0FA5408B" w:rsidRPr="4245EC3B">
        <w:rPr>
          <w:rFonts w:ascii="Calibri" w:eastAsia="Calibri" w:hAnsi="Calibri" w:cs="Calibri"/>
          <w:sz w:val="20"/>
          <w:szCs w:val="20"/>
        </w:rPr>
        <w:t xml:space="preserve">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p w14:paraId="2205F67B" w14:textId="1D964B80" w:rsidR="00704256" w:rsidRDefault="00712987" w:rsidP="00FA3146">
      <w:pPr>
        <w:rPr>
          <w:rFonts w:ascii="Calibri" w:eastAsia="Calibri" w:hAnsi="Calibri" w:cs="Calibri"/>
          <w:sz w:val="20"/>
          <w:szCs w:val="20"/>
        </w:rPr>
      </w:pPr>
      <w:hyperlink r:id="rId18" w:anchor="_ftnref2" w:history="1">
        <w:r w:rsidR="0FA5408B" w:rsidRPr="2F216552">
          <w:rPr>
            <w:rStyle w:val="Hyperlink"/>
            <w:rFonts w:eastAsia="Arial" w:cs="Arial"/>
            <w:sz w:val="20"/>
            <w:szCs w:val="20"/>
            <w:vertAlign w:val="superscript"/>
          </w:rPr>
          <w:t>[2]</w:t>
        </w:r>
      </w:hyperlink>
      <w:r w:rsidR="0FA5408B" w:rsidRPr="2F216552">
        <w:rPr>
          <w:rFonts w:ascii="Courier" w:eastAsia="Courier" w:hAnsi="Courier" w:cs="Courier"/>
          <w:sz w:val="20"/>
          <w:szCs w:val="20"/>
        </w:rPr>
        <w:t xml:space="preserve"> </w:t>
      </w:r>
      <w:r w:rsidR="0FA5408B" w:rsidRPr="2F216552">
        <w:rPr>
          <w:rFonts w:ascii="Calibri" w:eastAsia="Calibri" w:hAnsi="Calibri" w:cs="Calibri"/>
          <w:sz w:val="20"/>
          <w:szCs w:val="20"/>
        </w:rPr>
        <w:t>It is recommended that projects use output indicators from the Strategic Plan IRRF, as relevant, in addition to project-specific results indicators. Indicators should be disaggregated by sex or for other targeted groups where relevant.</w:t>
      </w:r>
    </w:p>
    <w:p w14:paraId="29DB1F41" w14:textId="77777777" w:rsidR="00FA3146" w:rsidRPr="00FA3146" w:rsidRDefault="00FA3146" w:rsidP="00FA3146">
      <w:pPr>
        <w:rPr>
          <w:rFonts w:ascii="Calibri" w:eastAsia="Calibri" w:hAnsi="Calibri" w:cs="Calibri"/>
          <w:sz w:val="20"/>
          <w:szCs w:val="20"/>
        </w:rPr>
      </w:pPr>
    </w:p>
    <w:p w14:paraId="59CD91B1" w14:textId="47CC2BA3" w:rsidR="00086FCD" w:rsidRDefault="00086FCD" w:rsidP="00086FCD">
      <w:pPr>
        <w:pStyle w:val="Heading1"/>
        <w:spacing w:after="120"/>
      </w:pPr>
      <w:r w:rsidRPr="00905FEF">
        <w:t xml:space="preserve">Work Plan </w:t>
      </w:r>
      <w:r>
        <w:rPr>
          <w:rStyle w:val="FootnoteReference"/>
        </w:rPr>
        <w:footnoteReference w:id="12"/>
      </w:r>
      <w:r>
        <w:rPr>
          <w:rStyle w:val="FootnoteReference"/>
        </w:rPr>
        <w:footnoteReference w:id="13"/>
      </w:r>
    </w:p>
    <w:p w14:paraId="3E5B184E" w14:textId="77777777" w:rsidR="00086FCD" w:rsidRPr="0064123B" w:rsidRDefault="00086FCD" w:rsidP="00086FCD">
      <w:pPr>
        <w:rPr>
          <w:rFonts w:ascii="Calibri" w:hAnsi="Calibri"/>
          <w:i/>
        </w:rPr>
      </w:pPr>
    </w:p>
    <w:tbl>
      <w:tblPr>
        <w:tblW w:w="11640" w:type="dxa"/>
        <w:tblLook w:val="04A0" w:firstRow="1" w:lastRow="0" w:firstColumn="1" w:lastColumn="0" w:noHBand="0" w:noVBand="1"/>
      </w:tblPr>
      <w:tblGrid>
        <w:gridCol w:w="2786"/>
        <w:gridCol w:w="7234"/>
        <w:gridCol w:w="1620"/>
      </w:tblGrid>
      <w:tr w:rsidR="00081FAC" w:rsidRPr="00081FAC" w14:paraId="3DBF7C03" w14:textId="77777777" w:rsidTr="00081FAC">
        <w:trPr>
          <w:trHeight w:val="405"/>
        </w:trPr>
        <w:tc>
          <w:tcPr>
            <w:tcW w:w="2786"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5335DDE0" w14:textId="77777777" w:rsidR="00081FAC" w:rsidRPr="00081FAC" w:rsidRDefault="00081FAC" w:rsidP="00081FAC">
            <w:pPr>
              <w:spacing w:after="0"/>
              <w:jc w:val="center"/>
              <w:rPr>
                <w:rFonts w:eastAsia="Times New Roman" w:cs="Arial"/>
                <w:b/>
                <w:bCs/>
                <w:color w:val="000000"/>
                <w:sz w:val="18"/>
                <w:szCs w:val="18"/>
                <w:lang w:val="en-US"/>
              </w:rPr>
            </w:pPr>
            <w:r w:rsidRPr="00081FAC">
              <w:rPr>
                <w:rFonts w:eastAsia="Times New Roman" w:cs="Arial"/>
                <w:b/>
                <w:bCs/>
                <w:color w:val="000000"/>
                <w:sz w:val="18"/>
                <w:szCs w:val="18"/>
                <w:lang w:val="en-US"/>
              </w:rPr>
              <w:t>EXPECTED OUTPUTS</w:t>
            </w:r>
          </w:p>
        </w:tc>
        <w:tc>
          <w:tcPr>
            <w:tcW w:w="7234" w:type="dxa"/>
            <w:tcBorders>
              <w:top w:val="single" w:sz="8" w:space="0" w:color="auto"/>
              <w:left w:val="nil"/>
              <w:bottom w:val="single" w:sz="8" w:space="0" w:color="auto"/>
              <w:right w:val="nil"/>
            </w:tcBorders>
            <w:shd w:val="clear" w:color="000000" w:fill="FFFF99"/>
            <w:vAlign w:val="center"/>
            <w:hideMark/>
          </w:tcPr>
          <w:p w14:paraId="548DB231" w14:textId="77777777" w:rsidR="00081FAC" w:rsidRPr="00081FAC" w:rsidRDefault="00081FAC" w:rsidP="00081FAC">
            <w:pPr>
              <w:spacing w:after="0"/>
              <w:jc w:val="center"/>
              <w:rPr>
                <w:rFonts w:eastAsia="Times New Roman" w:cs="Arial"/>
                <w:b/>
                <w:bCs/>
                <w:color w:val="000000"/>
                <w:sz w:val="18"/>
                <w:szCs w:val="18"/>
                <w:lang w:val="en-US"/>
              </w:rPr>
            </w:pPr>
            <w:r w:rsidRPr="00081FAC">
              <w:rPr>
                <w:rFonts w:eastAsia="Times New Roman" w:cs="Arial"/>
                <w:b/>
                <w:bCs/>
                <w:color w:val="000000"/>
                <w:sz w:val="18"/>
                <w:szCs w:val="18"/>
                <w:lang w:val="en-US"/>
              </w:rPr>
              <w:t>PLANNED ACTIVITIES</w:t>
            </w:r>
          </w:p>
        </w:tc>
        <w:tc>
          <w:tcPr>
            <w:tcW w:w="162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5AF9D725" w14:textId="77777777" w:rsidR="00081FAC" w:rsidRPr="00081FAC" w:rsidRDefault="00081FAC" w:rsidP="00081FAC">
            <w:pPr>
              <w:spacing w:after="0"/>
              <w:jc w:val="center"/>
              <w:rPr>
                <w:rFonts w:eastAsia="Times New Roman" w:cs="Arial"/>
                <w:b/>
                <w:bCs/>
                <w:color w:val="000000"/>
                <w:sz w:val="18"/>
                <w:szCs w:val="18"/>
                <w:lang w:val="en-US"/>
              </w:rPr>
            </w:pPr>
            <w:r w:rsidRPr="00081FAC">
              <w:rPr>
                <w:rFonts w:eastAsia="Times New Roman" w:cs="Arial"/>
                <w:b/>
                <w:bCs/>
                <w:color w:val="000000"/>
                <w:sz w:val="18"/>
                <w:szCs w:val="18"/>
                <w:lang w:val="en-US"/>
              </w:rPr>
              <w:t>Amount</w:t>
            </w:r>
          </w:p>
        </w:tc>
      </w:tr>
      <w:tr w:rsidR="00081FAC" w:rsidRPr="00081FAC" w14:paraId="09790D73" w14:textId="77777777" w:rsidTr="00081FAC">
        <w:trPr>
          <w:trHeight w:val="300"/>
        </w:trPr>
        <w:tc>
          <w:tcPr>
            <w:tcW w:w="2786" w:type="dxa"/>
            <w:tcBorders>
              <w:top w:val="nil"/>
              <w:left w:val="single" w:sz="4" w:space="0" w:color="auto"/>
              <w:bottom w:val="nil"/>
              <w:right w:val="single" w:sz="4" w:space="0" w:color="auto"/>
            </w:tcBorders>
            <w:shd w:val="clear" w:color="000000" w:fill="FFFF99"/>
            <w:vAlign w:val="center"/>
            <w:hideMark/>
          </w:tcPr>
          <w:p w14:paraId="76054332" w14:textId="77777777" w:rsidR="00081FAC" w:rsidRPr="00081FAC" w:rsidRDefault="00081FAC" w:rsidP="00081FAC">
            <w:pPr>
              <w:spacing w:after="0"/>
              <w:jc w:val="center"/>
              <w:rPr>
                <w:rFonts w:eastAsia="Times New Roman" w:cs="Arial"/>
                <w:b/>
                <w:bCs/>
                <w:color w:val="000000"/>
                <w:sz w:val="18"/>
                <w:szCs w:val="18"/>
                <w:lang w:val="en-US"/>
              </w:rPr>
            </w:pPr>
            <w:r w:rsidRPr="00081FAC">
              <w:rPr>
                <w:rFonts w:eastAsia="Times New Roman" w:cs="Arial"/>
                <w:b/>
                <w:bCs/>
                <w:color w:val="000000"/>
                <w:sz w:val="18"/>
                <w:szCs w:val="18"/>
                <w:lang w:val="en-US"/>
              </w:rPr>
              <w:t> </w:t>
            </w:r>
          </w:p>
        </w:tc>
        <w:tc>
          <w:tcPr>
            <w:tcW w:w="7234" w:type="dxa"/>
            <w:tcBorders>
              <w:top w:val="nil"/>
              <w:left w:val="nil"/>
              <w:bottom w:val="nil"/>
              <w:right w:val="single" w:sz="4" w:space="0" w:color="auto"/>
            </w:tcBorders>
            <w:shd w:val="clear" w:color="000000" w:fill="FFFF99"/>
            <w:vAlign w:val="center"/>
            <w:hideMark/>
          </w:tcPr>
          <w:p w14:paraId="42EFD9A3" w14:textId="77777777" w:rsidR="00081FAC" w:rsidRPr="00081FAC" w:rsidRDefault="00081FAC" w:rsidP="00081FAC">
            <w:pPr>
              <w:spacing w:after="0"/>
              <w:jc w:val="center"/>
              <w:rPr>
                <w:rFonts w:eastAsia="Times New Roman" w:cs="Arial"/>
                <w:b/>
                <w:bCs/>
                <w:color w:val="000000"/>
                <w:sz w:val="18"/>
                <w:szCs w:val="18"/>
                <w:lang w:val="en-US"/>
              </w:rPr>
            </w:pPr>
            <w:r w:rsidRPr="00081FAC">
              <w:rPr>
                <w:rFonts w:eastAsia="Times New Roman" w:cs="Arial"/>
                <w:b/>
                <w:bCs/>
                <w:color w:val="000000"/>
                <w:sz w:val="18"/>
                <w:szCs w:val="18"/>
                <w:lang w:val="en-US"/>
              </w:rPr>
              <w:t> </w:t>
            </w:r>
          </w:p>
        </w:tc>
        <w:tc>
          <w:tcPr>
            <w:tcW w:w="1620" w:type="dxa"/>
            <w:tcBorders>
              <w:top w:val="nil"/>
              <w:left w:val="nil"/>
              <w:bottom w:val="nil"/>
              <w:right w:val="single" w:sz="4" w:space="0" w:color="auto"/>
            </w:tcBorders>
            <w:shd w:val="clear" w:color="000000" w:fill="FFFF99"/>
            <w:vAlign w:val="center"/>
            <w:hideMark/>
          </w:tcPr>
          <w:p w14:paraId="067D2174" w14:textId="77777777" w:rsidR="00081FAC" w:rsidRPr="00081FAC" w:rsidRDefault="00081FAC" w:rsidP="00081FAC">
            <w:pPr>
              <w:spacing w:after="0"/>
              <w:jc w:val="center"/>
              <w:rPr>
                <w:rFonts w:eastAsia="Times New Roman" w:cs="Arial"/>
                <w:color w:val="000000"/>
                <w:sz w:val="16"/>
                <w:szCs w:val="16"/>
                <w:lang w:val="en-US"/>
              </w:rPr>
            </w:pPr>
            <w:r w:rsidRPr="00081FAC">
              <w:rPr>
                <w:rFonts w:eastAsia="Times New Roman" w:cs="Arial"/>
                <w:color w:val="000000"/>
                <w:sz w:val="16"/>
                <w:szCs w:val="16"/>
                <w:lang w:val="en-US"/>
              </w:rPr>
              <w:t xml:space="preserve"> US Dollar </w:t>
            </w:r>
          </w:p>
        </w:tc>
      </w:tr>
      <w:tr w:rsidR="00081FAC" w:rsidRPr="00081FAC" w14:paraId="78BE6AB1" w14:textId="77777777" w:rsidTr="00081FAC">
        <w:trPr>
          <w:trHeight w:val="915"/>
        </w:trPr>
        <w:tc>
          <w:tcPr>
            <w:tcW w:w="278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405B1FF"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 xml:space="preserve">Outcome 1: </w:t>
            </w:r>
          </w:p>
        </w:tc>
        <w:tc>
          <w:tcPr>
            <w:tcW w:w="8854" w:type="dxa"/>
            <w:gridSpan w:val="2"/>
            <w:tcBorders>
              <w:top w:val="single" w:sz="8" w:space="0" w:color="auto"/>
              <w:left w:val="nil"/>
              <w:bottom w:val="single" w:sz="8" w:space="0" w:color="auto"/>
              <w:right w:val="single" w:sz="8" w:space="0" w:color="000000"/>
            </w:tcBorders>
            <w:shd w:val="clear" w:color="000000" w:fill="D9D9D9"/>
            <w:vAlign w:val="center"/>
            <w:hideMark/>
          </w:tcPr>
          <w:p w14:paraId="698A4678"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Capacities and policy framework in place to promote, facilitate and monitor sustainable gender-responsive ecotourism development</w:t>
            </w:r>
          </w:p>
        </w:tc>
      </w:tr>
      <w:tr w:rsidR="00081FAC" w:rsidRPr="00081FAC" w14:paraId="3BF0AE74" w14:textId="77777777" w:rsidTr="00081FAC">
        <w:trPr>
          <w:trHeight w:val="1040"/>
        </w:trPr>
        <w:tc>
          <w:tcPr>
            <w:tcW w:w="2786" w:type="dxa"/>
            <w:tcBorders>
              <w:top w:val="nil"/>
              <w:left w:val="single" w:sz="8" w:space="0" w:color="auto"/>
              <w:bottom w:val="nil"/>
              <w:right w:val="single" w:sz="8" w:space="0" w:color="auto"/>
            </w:tcBorders>
            <w:shd w:val="clear" w:color="auto" w:fill="auto"/>
            <w:vAlign w:val="center"/>
            <w:hideMark/>
          </w:tcPr>
          <w:p w14:paraId="3C10073B"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Output 1.1: Gender-responsive ecotourism development aligned and integrated with the national SDG effort</w:t>
            </w:r>
          </w:p>
        </w:tc>
        <w:tc>
          <w:tcPr>
            <w:tcW w:w="7234" w:type="dxa"/>
            <w:tcBorders>
              <w:top w:val="nil"/>
              <w:left w:val="nil"/>
              <w:bottom w:val="nil"/>
              <w:right w:val="nil"/>
            </w:tcBorders>
            <w:shd w:val="clear" w:color="auto" w:fill="auto"/>
            <w:vAlign w:val="center"/>
            <w:hideMark/>
          </w:tcPr>
          <w:p w14:paraId="4DF230E2" w14:textId="77777777" w:rsidR="00081FAC" w:rsidRPr="00081FAC" w:rsidRDefault="00081FAC" w:rsidP="00081FAC">
            <w:pPr>
              <w:spacing w:after="0"/>
              <w:jc w:val="left"/>
              <w:rPr>
                <w:rFonts w:eastAsia="Times New Roman" w:cs="Arial"/>
                <w:color w:val="000000"/>
                <w:sz w:val="20"/>
                <w:szCs w:val="20"/>
                <w:lang w:val="en-US"/>
              </w:rPr>
            </w:pPr>
            <w:r w:rsidRPr="00081FAC">
              <w:rPr>
                <w:rFonts w:eastAsia="Times New Roman" w:cs="Arial"/>
                <w:color w:val="000000"/>
                <w:sz w:val="20"/>
                <w:szCs w:val="20"/>
                <w:lang w:val="en-US"/>
              </w:rPr>
              <w:t>1.1.1 Facilitate UNWTO technical assistance to the Ministry of Tourism and Handicrafts</w:t>
            </w:r>
          </w:p>
        </w:tc>
        <w:tc>
          <w:tcPr>
            <w:tcW w:w="1620" w:type="dxa"/>
            <w:tcBorders>
              <w:top w:val="nil"/>
              <w:left w:val="single" w:sz="4" w:space="0" w:color="auto"/>
              <w:bottom w:val="nil"/>
              <w:right w:val="single" w:sz="8" w:space="0" w:color="auto"/>
            </w:tcBorders>
            <w:shd w:val="clear" w:color="auto" w:fill="auto"/>
            <w:vAlign w:val="center"/>
            <w:hideMark/>
          </w:tcPr>
          <w:p w14:paraId="5F4A2EC2"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          20,000.00 </w:t>
            </w:r>
          </w:p>
        </w:tc>
      </w:tr>
      <w:tr w:rsidR="00081FAC" w:rsidRPr="00081FAC" w14:paraId="1D7FB39B" w14:textId="77777777" w:rsidTr="00081FAC">
        <w:trPr>
          <w:trHeight w:val="500"/>
        </w:trPr>
        <w:tc>
          <w:tcPr>
            <w:tcW w:w="2786" w:type="dxa"/>
            <w:tcBorders>
              <w:top w:val="nil"/>
              <w:left w:val="single" w:sz="8" w:space="0" w:color="auto"/>
              <w:bottom w:val="nil"/>
              <w:right w:val="single" w:sz="8" w:space="0" w:color="auto"/>
            </w:tcBorders>
            <w:shd w:val="clear" w:color="auto" w:fill="auto"/>
            <w:vAlign w:val="center"/>
            <w:hideMark/>
          </w:tcPr>
          <w:p w14:paraId="1B617A26"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Gender marker: Context analysis integrate gender analysis. </w:t>
            </w:r>
          </w:p>
        </w:tc>
        <w:tc>
          <w:tcPr>
            <w:tcW w:w="7234" w:type="dxa"/>
            <w:tcBorders>
              <w:top w:val="single" w:sz="4" w:space="0" w:color="auto"/>
              <w:left w:val="single" w:sz="4" w:space="0" w:color="auto"/>
              <w:bottom w:val="nil"/>
              <w:right w:val="single" w:sz="4" w:space="0" w:color="auto"/>
            </w:tcBorders>
            <w:shd w:val="clear" w:color="auto" w:fill="auto"/>
            <w:noWrap/>
            <w:vAlign w:val="center"/>
            <w:hideMark/>
          </w:tcPr>
          <w:p w14:paraId="0597CDC3" w14:textId="77777777" w:rsidR="00081FAC" w:rsidRPr="00081FAC" w:rsidRDefault="00081FAC" w:rsidP="00081FAC">
            <w:pPr>
              <w:spacing w:after="0"/>
              <w:jc w:val="left"/>
              <w:rPr>
                <w:rFonts w:eastAsia="Times New Roman" w:cs="Arial"/>
                <w:color w:val="000000"/>
                <w:sz w:val="20"/>
                <w:szCs w:val="20"/>
                <w:lang w:val="en-US"/>
              </w:rPr>
            </w:pPr>
            <w:r w:rsidRPr="00081FAC">
              <w:rPr>
                <w:rFonts w:eastAsia="Times New Roman" w:cs="Arial"/>
                <w:color w:val="000000"/>
                <w:sz w:val="20"/>
                <w:szCs w:val="20"/>
                <w:lang w:val="en-US"/>
              </w:rPr>
              <w:t>1.1.2 Strengthen dialogue between tourism policymakers and other line ministries</w:t>
            </w:r>
          </w:p>
        </w:tc>
        <w:tc>
          <w:tcPr>
            <w:tcW w:w="1620" w:type="dxa"/>
            <w:tcBorders>
              <w:top w:val="single" w:sz="4" w:space="0" w:color="auto"/>
              <w:left w:val="nil"/>
              <w:bottom w:val="nil"/>
              <w:right w:val="single" w:sz="8" w:space="0" w:color="auto"/>
            </w:tcBorders>
            <w:shd w:val="clear" w:color="auto" w:fill="auto"/>
            <w:vAlign w:val="center"/>
            <w:hideMark/>
          </w:tcPr>
          <w:p w14:paraId="2BBD7008"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          20,000.00 </w:t>
            </w:r>
          </w:p>
        </w:tc>
      </w:tr>
      <w:tr w:rsidR="00081FAC" w:rsidRPr="00081FAC" w14:paraId="51479C9D" w14:textId="77777777" w:rsidTr="00081FAC">
        <w:trPr>
          <w:trHeight w:val="2260"/>
        </w:trPr>
        <w:tc>
          <w:tcPr>
            <w:tcW w:w="2786" w:type="dxa"/>
            <w:tcBorders>
              <w:top w:val="nil"/>
              <w:left w:val="single" w:sz="8" w:space="0" w:color="auto"/>
              <w:bottom w:val="single" w:sz="8" w:space="0" w:color="auto"/>
              <w:right w:val="single" w:sz="8" w:space="0" w:color="auto"/>
            </w:tcBorders>
            <w:shd w:val="clear" w:color="auto" w:fill="auto"/>
            <w:vAlign w:val="center"/>
            <w:hideMark/>
          </w:tcPr>
          <w:p w14:paraId="471A0CD6"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Context analysis only approaches minimum requirements given paucity of data generally in Guinea-Bissau and for the target areas specifically. Context analysis references gender impact of COVID and sex disaggregated data on employment and poverty</w:t>
            </w:r>
          </w:p>
        </w:tc>
        <w:tc>
          <w:tcPr>
            <w:tcW w:w="7234" w:type="dxa"/>
            <w:tcBorders>
              <w:top w:val="single" w:sz="4" w:space="0" w:color="auto"/>
              <w:left w:val="single" w:sz="4" w:space="0" w:color="auto"/>
              <w:bottom w:val="nil"/>
              <w:right w:val="single" w:sz="4" w:space="0" w:color="auto"/>
            </w:tcBorders>
            <w:shd w:val="clear" w:color="auto" w:fill="auto"/>
            <w:noWrap/>
            <w:vAlign w:val="center"/>
            <w:hideMark/>
          </w:tcPr>
          <w:p w14:paraId="4D6B4B2D"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w:t>
            </w:r>
          </w:p>
        </w:tc>
        <w:tc>
          <w:tcPr>
            <w:tcW w:w="1620" w:type="dxa"/>
            <w:tcBorders>
              <w:top w:val="single" w:sz="4" w:space="0" w:color="auto"/>
              <w:left w:val="nil"/>
              <w:bottom w:val="nil"/>
              <w:right w:val="single" w:sz="8" w:space="0" w:color="auto"/>
            </w:tcBorders>
            <w:shd w:val="clear" w:color="auto" w:fill="auto"/>
            <w:vAlign w:val="center"/>
            <w:hideMark/>
          </w:tcPr>
          <w:p w14:paraId="282FEA98"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w:t>
            </w:r>
          </w:p>
        </w:tc>
      </w:tr>
      <w:tr w:rsidR="00081FAC" w:rsidRPr="00081FAC" w14:paraId="65C31D5C" w14:textId="77777777" w:rsidTr="00081FAC">
        <w:trPr>
          <w:trHeight w:val="290"/>
        </w:trPr>
        <w:tc>
          <w:tcPr>
            <w:tcW w:w="278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350133E"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single" w:sz="4" w:space="0" w:color="auto"/>
              <w:left w:val="nil"/>
              <w:bottom w:val="single" w:sz="4" w:space="0" w:color="auto"/>
              <w:right w:val="single" w:sz="4" w:space="0" w:color="auto"/>
            </w:tcBorders>
            <w:shd w:val="clear" w:color="000000" w:fill="F2F2F2"/>
            <w:vAlign w:val="center"/>
            <w:hideMark/>
          </w:tcPr>
          <w:p w14:paraId="71FF140D"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1.1</w:t>
            </w:r>
          </w:p>
        </w:tc>
        <w:tc>
          <w:tcPr>
            <w:tcW w:w="1620" w:type="dxa"/>
            <w:tcBorders>
              <w:top w:val="single" w:sz="4" w:space="0" w:color="auto"/>
              <w:left w:val="nil"/>
              <w:bottom w:val="single" w:sz="4" w:space="0" w:color="auto"/>
              <w:right w:val="single" w:sz="8" w:space="0" w:color="auto"/>
            </w:tcBorders>
            <w:shd w:val="clear" w:color="000000" w:fill="F2F2F2"/>
            <w:vAlign w:val="center"/>
            <w:hideMark/>
          </w:tcPr>
          <w:p w14:paraId="61B13174"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40,000.00 </w:t>
            </w:r>
          </w:p>
        </w:tc>
      </w:tr>
      <w:tr w:rsidR="00081FAC" w:rsidRPr="00081FAC" w14:paraId="5CF074FB" w14:textId="77777777" w:rsidTr="00081FAC">
        <w:trPr>
          <w:trHeight w:val="120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094A33AF"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Output 1.2: Sector partnerships and innovative financing models established</w:t>
            </w:r>
          </w:p>
        </w:tc>
        <w:tc>
          <w:tcPr>
            <w:tcW w:w="7234" w:type="dxa"/>
            <w:vMerge w:val="restart"/>
            <w:tcBorders>
              <w:top w:val="nil"/>
              <w:left w:val="single" w:sz="4" w:space="0" w:color="auto"/>
              <w:bottom w:val="single" w:sz="4" w:space="0" w:color="auto"/>
              <w:right w:val="single" w:sz="4" w:space="0" w:color="auto"/>
            </w:tcBorders>
            <w:shd w:val="clear" w:color="auto" w:fill="auto"/>
            <w:vAlign w:val="center"/>
            <w:hideMark/>
          </w:tcPr>
          <w:p w14:paraId="7EAD6B34" w14:textId="77777777" w:rsidR="00081FAC" w:rsidRPr="00081FAC" w:rsidRDefault="00081FAC" w:rsidP="00081FAC">
            <w:pPr>
              <w:spacing w:after="0"/>
              <w:jc w:val="left"/>
              <w:rPr>
                <w:rFonts w:eastAsia="Times New Roman" w:cs="Arial"/>
                <w:color w:val="000000"/>
                <w:sz w:val="20"/>
                <w:szCs w:val="20"/>
                <w:lang w:val="en-US"/>
              </w:rPr>
            </w:pPr>
            <w:r w:rsidRPr="00081FAC">
              <w:rPr>
                <w:rFonts w:eastAsia="Times New Roman" w:cs="Arial"/>
                <w:color w:val="000000"/>
                <w:sz w:val="20"/>
                <w:szCs w:val="20"/>
                <w:lang w:val="en-US"/>
              </w:rPr>
              <w:t xml:space="preserve">1.2.1 Identify and </w:t>
            </w:r>
            <w:proofErr w:type="spellStart"/>
            <w:r w:rsidRPr="00081FAC">
              <w:rPr>
                <w:rFonts w:eastAsia="Times New Roman" w:cs="Arial"/>
                <w:color w:val="000000"/>
                <w:sz w:val="20"/>
                <w:szCs w:val="20"/>
                <w:lang w:val="en-US"/>
              </w:rPr>
              <w:t>analyse</w:t>
            </w:r>
            <w:proofErr w:type="spellEnd"/>
            <w:r w:rsidRPr="00081FAC">
              <w:rPr>
                <w:rFonts w:eastAsia="Times New Roman" w:cs="Arial"/>
                <w:color w:val="000000"/>
                <w:sz w:val="20"/>
                <w:szCs w:val="20"/>
                <w:lang w:val="en-US"/>
              </w:rPr>
              <w:t xml:space="preserve"> the potential for regional Governments of the two target areas to raise and reinvest tourism revenues</w:t>
            </w:r>
          </w:p>
        </w:tc>
        <w:tc>
          <w:tcPr>
            <w:tcW w:w="162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DF6B7A7" w14:textId="77777777" w:rsidR="00081FAC" w:rsidRPr="00081FAC" w:rsidRDefault="00081FAC" w:rsidP="00081FAC">
            <w:pPr>
              <w:spacing w:after="0"/>
              <w:jc w:val="center"/>
              <w:rPr>
                <w:rFonts w:eastAsia="Times New Roman" w:cs="Arial"/>
                <w:color w:val="000000"/>
                <w:sz w:val="20"/>
                <w:szCs w:val="20"/>
                <w:lang w:val="en-US"/>
              </w:rPr>
            </w:pPr>
            <w:r w:rsidRPr="00081FAC">
              <w:rPr>
                <w:rFonts w:eastAsia="Times New Roman" w:cs="Arial"/>
                <w:color w:val="000000"/>
                <w:sz w:val="20"/>
                <w:szCs w:val="20"/>
                <w:lang w:val="en-US"/>
              </w:rPr>
              <w:t xml:space="preserve">          60,000.00 </w:t>
            </w:r>
          </w:p>
        </w:tc>
      </w:tr>
      <w:tr w:rsidR="00081FAC" w:rsidRPr="00081FAC" w14:paraId="643E5B4A" w14:textId="77777777" w:rsidTr="00081FAC">
        <w:trPr>
          <w:trHeight w:val="75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0FC4AFEE" w14:textId="77777777" w:rsidR="00081FAC" w:rsidRPr="00081FAC" w:rsidRDefault="00081FAC" w:rsidP="00081FAC">
            <w:pPr>
              <w:spacing w:after="0"/>
              <w:jc w:val="left"/>
              <w:rPr>
                <w:rFonts w:eastAsia="Times New Roman" w:cs="Arial"/>
                <w:color w:val="000000"/>
                <w:sz w:val="20"/>
                <w:szCs w:val="20"/>
                <w:lang w:val="en-US"/>
              </w:rPr>
            </w:pPr>
            <w:r w:rsidRPr="00081FAC">
              <w:rPr>
                <w:rFonts w:eastAsia="Times New Roman" w:cs="Arial"/>
                <w:color w:val="000000"/>
                <w:sz w:val="20"/>
                <w:szCs w:val="20"/>
                <w:lang w:val="en-US"/>
              </w:rPr>
              <w:t>Gender marker: Programme output indicators measure changes on gender equality</w:t>
            </w:r>
          </w:p>
        </w:tc>
        <w:tc>
          <w:tcPr>
            <w:tcW w:w="7234" w:type="dxa"/>
            <w:vMerge/>
            <w:tcBorders>
              <w:top w:val="nil"/>
              <w:left w:val="single" w:sz="4" w:space="0" w:color="auto"/>
              <w:bottom w:val="single" w:sz="4" w:space="0" w:color="auto"/>
              <w:right w:val="single" w:sz="4" w:space="0" w:color="auto"/>
            </w:tcBorders>
            <w:vAlign w:val="center"/>
            <w:hideMark/>
          </w:tcPr>
          <w:p w14:paraId="079E02C6" w14:textId="77777777" w:rsidR="00081FAC" w:rsidRPr="00081FAC" w:rsidRDefault="00081FAC" w:rsidP="00081FAC">
            <w:pPr>
              <w:spacing w:after="0"/>
              <w:jc w:val="left"/>
              <w:rPr>
                <w:rFonts w:eastAsia="Times New Roman" w:cs="Arial"/>
                <w:color w:val="000000"/>
                <w:sz w:val="20"/>
                <w:szCs w:val="20"/>
                <w:lang w:val="en-US"/>
              </w:rPr>
            </w:pPr>
          </w:p>
        </w:tc>
        <w:tc>
          <w:tcPr>
            <w:tcW w:w="1620" w:type="dxa"/>
            <w:vMerge/>
            <w:tcBorders>
              <w:top w:val="nil"/>
              <w:left w:val="single" w:sz="4" w:space="0" w:color="auto"/>
              <w:bottom w:val="single" w:sz="4" w:space="0" w:color="auto"/>
              <w:right w:val="single" w:sz="8" w:space="0" w:color="auto"/>
            </w:tcBorders>
            <w:vAlign w:val="center"/>
            <w:hideMark/>
          </w:tcPr>
          <w:p w14:paraId="53DD1A14" w14:textId="77777777" w:rsidR="00081FAC" w:rsidRPr="00081FAC" w:rsidRDefault="00081FAC" w:rsidP="00081FAC">
            <w:pPr>
              <w:spacing w:after="0"/>
              <w:jc w:val="left"/>
              <w:rPr>
                <w:rFonts w:eastAsia="Times New Roman" w:cs="Arial"/>
                <w:color w:val="000000"/>
                <w:sz w:val="20"/>
                <w:szCs w:val="20"/>
                <w:lang w:val="en-US"/>
              </w:rPr>
            </w:pPr>
          </w:p>
        </w:tc>
      </w:tr>
      <w:tr w:rsidR="00081FAC" w:rsidRPr="00081FAC" w14:paraId="17FD3472" w14:textId="77777777" w:rsidTr="00081FAC">
        <w:trPr>
          <w:trHeight w:val="1020"/>
        </w:trPr>
        <w:tc>
          <w:tcPr>
            <w:tcW w:w="2786" w:type="dxa"/>
            <w:tcBorders>
              <w:top w:val="nil"/>
              <w:left w:val="single" w:sz="4" w:space="0" w:color="auto"/>
              <w:bottom w:val="nil"/>
              <w:right w:val="single" w:sz="4" w:space="0" w:color="auto"/>
            </w:tcBorders>
            <w:shd w:val="clear" w:color="auto" w:fill="auto"/>
            <w:vAlign w:val="bottom"/>
            <w:hideMark/>
          </w:tcPr>
          <w:p w14:paraId="4741008C" w14:textId="77777777" w:rsidR="00081FAC" w:rsidRPr="00081FAC" w:rsidRDefault="00081FAC" w:rsidP="00081FAC">
            <w:pPr>
              <w:spacing w:after="0"/>
              <w:jc w:val="left"/>
              <w:rPr>
                <w:rFonts w:eastAsia="Times New Roman" w:cs="Arial"/>
                <w:color w:val="000000"/>
                <w:sz w:val="20"/>
                <w:szCs w:val="20"/>
                <w:lang w:val="en-US"/>
              </w:rPr>
            </w:pPr>
            <w:r w:rsidRPr="00081FAC">
              <w:rPr>
                <w:rFonts w:eastAsia="Times New Roman" w:cs="Arial"/>
                <w:color w:val="000000"/>
                <w:sz w:val="20"/>
                <w:szCs w:val="20"/>
                <w:lang w:val="en-US"/>
              </w:rPr>
              <w:t>9 out of 18 output indicators (50%) measure proposed steps toward GEWE – see Results Framework</w:t>
            </w:r>
          </w:p>
        </w:tc>
        <w:tc>
          <w:tcPr>
            <w:tcW w:w="7234" w:type="dxa"/>
            <w:vMerge/>
            <w:tcBorders>
              <w:top w:val="nil"/>
              <w:left w:val="single" w:sz="4" w:space="0" w:color="auto"/>
              <w:bottom w:val="single" w:sz="4" w:space="0" w:color="auto"/>
              <w:right w:val="single" w:sz="4" w:space="0" w:color="auto"/>
            </w:tcBorders>
            <w:vAlign w:val="center"/>
            <w:hideMark/>
          </w:tcPr>
          <w:p w14:paraId="23BECC75" w14:textId="77777777" w:rsidR="00081FAC" w:rsidRPr="00081FAC" w:rsidRDefault="00081FAC" w:rsidP="00081FAC">
            <w:pPr>
              <w:spacing w:after="0"/>
              <w:jc w:val="left"/>
              <w:rPr>
                <w:rFonts w:eastAsia="Times New Roman" w:cs="Arial"/>
                <w:color w:val="000000"/>
                <w:sz w:val="20"/>
                <w:szCs w:val="20"/>
                <w:lang w:val="en-US"/>
              </w:rPr>
            </w:pPr>
          </w:p>
        </w:tc>
        <w:tc>
          <w:tcPr>
            <w:tcW w:w="1620" w:type="dxa"/>
            <w:vMerge/>
            <w:tcBorders>
              <w:top w:val="nil"/>
              <w:left w:val="single" w:sz="4" w:space="0" w:color="auto"/>
              <w:bottom w:val="single" w:sz="4" w:space="0" w:color="auto"/>
              <w:right w:val="single" w:sz="8" w:space="0" w:color="auto"/>
            </w:tcBorders>
            <w:vAlign w:val="center"/>
            <w:hideMark/>
          </w:tcPr>
          <w:p w14:paraId="69B676EC" w14:textId="77777777" w:rsidR="00081FAC" w:rsidRPr="00081FAC" w:rsidRDefault="00081FAC" w:rsidP="00081FAC">
            <w:pPr>
              <w:spacing w:after="0"/>
              <w:jc w:val="left"/>
              <w:rPr>
                <w:rFonts w:eastAsia="Times New Roman" w:cs="Arial"/>
                <w:color w:val="000000"/>
                <w:sz w:val="20"/>
                <w:szCs w:val="20"/>
                <w:lang w:val="en-US"/>
              </w:rPr>
            </w:pPr>
          </w:p>
        </w:tc>
      </w:tr>
      <w:tr w:rsidR="00081FAC" w:rsidRPr="00081FAC" w14:paraId="785BACBC" w14:textId="77777777" w:rsidTr="00081FAC">
        <w:trPr>
          <w:trHeight w:val="300"/>
        </w:trPr>
        <w:tc>
          <w:tcPr>
            <w:tcW w:w="2786" w:type="dxa"/>
            <w:tcBorders>
              <w:top w:val="single" w:sz="4" w:space="0" w:color="auto"/>
              <w:left w:val="single" w:sz="4" w:space="0" w:color="auto"/>
              <w:bottom w:val="nil"/>
              <w:right w:val="single" w:sz="4" w:space="0" w:color="auto"/>
            </w:tcBorders>
            <w:shd w:val="clear" w:color="000000" w:fill="F2F2F2"/>
            <w:noWrap/>
            <w:vAlign w:val="bottom"/>
            <w:hideMark/>
          </w:tcPr>
          <w:p w14:paraId="67D1C4CA"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single" w:sz="4" w:space="0" w:color="auto"/>
              <w:left w:val="nil"/>
              <w:bottom w:val="nil"/>
              <w:right w:val="single" w:sz="4" w:space="0" w:color="auto"/>
            </w:tcBorders>
            <w:shd w:val="clear" w:color="000000" w:fill="F2F2F2"/>
            <w:vAlign w:val="center"/>
            <w:hideMark/>
          </w:tcPr>
          <w:p w14:paraId="75776F3E"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1.2</w:t>
            </w:r>
          </w:p>
        </w:tc>
        <w:tc>
          <w:tcPr>
            <w:tcW w:w="1620" w:type="dxa"/>
            <w:tcBorders>
              <w:top w:val="single" w:sz="4" w:space="0" w:color="auto"/>
              <w:left w:val="nil"/>
              <w:bottom w:val="nil"/>
              <w:right w:val="single" w:sz="8" w:space="0" w:color="auto"/>
            </w:tcBorders>
            <w:shd w:val="clear" w:color="000000" w:fill="F2F2F2"/>
            <w:vAlign w:val="center"/>
            <w:hideMark/>
          </w:tcPr>
          <w:p w14:paraId="01F39304"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60,000.00 </w:t>
            </w:r>
          </w:p>
        </w:tc>
      </w:tr>
      <w:tr w:rsidR="00081FAC" w:rsidRPr="00081FAC" w14:paraId="3DC078C6" w14:textId="77777777" w:rsidTr="00081FAC">
        <w:trPr>
          <w:trHeight w:val="300"/>
        </w:trPr>
        <w:tc>
          <w:tcPr>
            <w:tcW w:w="2786"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6FFE8F8C"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Outcome 1</w:t>
            </w:r>
          </w:p>
        </w:tc>
        <w:tc>
          <w:tcPr>
            <w:tcW w:w="7234" w:type="dxa"/>
            <w:tcBorders>
              <w:top w:val="single" w:sz="8" w:space="0" w:color="auto"/>
              <w:left w:val="nil"/>
              <w:bottom w:val="single" w:sz="8" w:space="0" w:color="auto"/>
              <w:right w:val="single" w:sz="4" w:space="0" w:color="auto"/>
            </w:tcBorders>
            <w:shd w:val="clear" w:color="000000" w:fill="BFBFBF"/>
            <w:vAlign w:val="center"/>
            <w:hideMark/>
          </w:tcPr>
          <w:p w14:paraId="13D5EA51"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1620" w:type="dxa"/>
            <w:tcBorders>
              <w:top w:val="single" w:sz="8" w:space="0" w:color="auto"/>
              <w:left w:val="nil"/>
              <w:bottom w:val="single" w:sz="8" w:space="0" w:color="auto"/>
              <w:right w:val="single" w:sz="8" w:space="0" w:color="auto"/>
            </w:tcBorders>
            <w:shd w:val="clear" w:color="000000" w:fill="BFBFBF"/>
            <w:vAlign w:val="center"/>
            <w:hideMark/>
          </w:tcPr>
          <w:p w14:paraId="108AF407"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100,000.00 </w:t>
            </w:r>
          </w:p>
        </w:tc>
      </w:tr>
      <w:tr w:rsidR="00081FAC" w:rsidRPr="00081FAC" w14:paraId="19CD02FF" w14:textId="77777777" w:rsidTr="00081FAC">
        <w:trPr>
          <w:trHeight w:val="300"/>
        </w:trPr>
        <w:tc>
          <w:tcPr>
            <w:tcW w:w="2786" w:type="dxa"/>
            <w:tcBorders>
              <w:top w:val="nil"/>
              <w:left w:val="nil"/>
              <w:bottom w:val="nil"/>
              <w:right w:val="nil"/>
            </w:tcBorders>
            <w:shd w:val="clear" w:color="000000" w:fill="FFFFFF"/>
            <w:vAlign w:val="center"/>
            <w:hideMark/>
          </w:tcPr>
          <w:p w14:paraId="1BE621AB"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7234" w:type="dxa"/>
            <w:tcBorders>
              <w:top w:val="nil"/>
              <w:left w:val="nil"/>
              <w:bottom w:val="nil"/>
              <w:right w:val="nil"/>
            </w:tcBorders>
            <w:shd w:val="clear" w:color="000000" w:fill="FFFFFF"/>
            <w:vAlign w:val="center"/>
            <w:hideMark/>
          </w:tcPr>
          <w:p w14:paraId="66A65983"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1620" w:type="dxa"/>
            <w:tcBorders>
              <w:top w:val="nil"/>
              <w:left w:val="nil"/>
              <w:bottom w:val="nil"/>
              <w:right w:val="nil"/>
            </w:tcBorders>
            <w:shd w:val="clear" w:color="000000" w:fill="FFFFFF"/>
            <w:vAlign w:val="center"/>
            <w:hideMark/>
          </w:tcPr>
          <w:p w14:paraId="16C4DFDE"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w:t>
            </w:r>
          </w:p>
        </w:tc>
      </w:tr>
      <w:tr w:rsidR="00081FAC" w:rsidRPr="00081FAC" w14:paraId="55AF8991" w14:textId="77777777" w:rsidTr="00081FAC">
        <w:trPr>
          <w:trHeight w:val="530"/>
        </w:trPr>
        <w:tc>
          <w:tcPr>
            <w:tcW w:w="2786"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8F89EB7"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Outcome 2:</w:t>
            </w:r>
          </w:p>
        </w:tc>
        <w:tc>
          <w:tcPr>
            <w:tcW w:w="7234" w:type="dxa"/>
            <w:tcBorders>
              <w:top w:val="single" w:sz="8" w:space="0" w:color="auto"/>
              <w:left w:val="nil"/>
              <w:bottom w:val="single" w:sz="8" w:space="0" w:color="auto"/>
              <w:right w:val="single" w:sz="4" w:space="0" w:color="auto"/>
            </w:tcBorders>
            <w:shd w:val="clear" w:color="000000" w:fill="D9D9D9"/>
            <w:vAlign w:val="center"/>
            <w:hideMark/>
          </w:tcPr>
          <w:p w14:paraId="24EDC785"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Inclusive and participatory processes establish local investment and revenue frameworks</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510C0884"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w:t>
            </w:r>
          </w:p>
        </w:tc>
      </w:tr>
      <w:tr w:rsidR="00081FAC" w:rsidRPr="00081FAC" w14:paraId="4811F452" w14:textId="77777777" w:rsidTr="00081FAC">
        <w:trPr>
          <w:trHeight w:val="112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4A3D62CE"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Output 2.1: Local tourism data mapped, and local community awareness enhanced</w:t>
            </w:r>
          </w:p>
        </w:tc>
        <w:tc>
          <w:tcPr>
            <w:tcW w:w="7234" w:type="dxa"/>
            <w:vMerge w:val="restart"/>
            <w:tcBorders>
              <w:top w:val="nil"/>
              <w:left w:val="single" w:sz="4" w:space="0" w:color="auto"/>
              <w:bottom w:val="single" w:sz="4" w:space="0" w:color="auto"/>
              <w:right w:val="single" w:sz="4" w:space="0" w:color="auto"/>
            </w:tcBorders>
            <w:shd w:val="clear" w:color="auto" w:fill="auto"/>
            <w:vAlign w:val="center"/>
            <w:hideMark/>
          </w:tcPr>
          <w:p w14:paraId="30045E97"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2.1.1 Undertake an analysis of current and potential tourism value chains in each location and mapping of local entrepreneurs</w:t>
            </w:r>
          </w:p>
        </w:tc>
        <w:tc>
          <w:tcPr>
            <w:tcW w:w="162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2AD93F5" w14:textId="77777777" w:rsidR="00081FAC" w:rsidRPr="00081FAC" w:rsidRDefault="00081FAC" w:rsidP="00081FAC">
            <w:pPr>
              <w:spacing w:after="0"/>
              <w:jc w:val="center"/>
              <w:rPr>
                <w:rFonts w:eastAsia="Times New Roman" w:cs="Arial"/>
                <w:color w:val="000000"/>
                <w:sz w:val="20"/>
                <w:szCs w:val="20"/>
                <w:lang w:val="en-US"/>
              </w:rPr>
            </w:pPr>
            <w:r w:rsidRPr="00081FAC">
              <w:rPr>
                <w:rFonts w:eastAsia="Times New Roman" w:cs="Arial"/>
                <w:color w:val="000000"/>
                <w:sz w:val="20"/>
                <w:szCs w:val="20"/>
                <w:lang w:val="en-US"/>
              </w:rPr>
              <w:t xml:space="preserve">          60,000.00 </w:t>
            </w:r>
          </w:p>
        </w:tc>
      </w:tr>
      <w:tr w:rsidR="00081FAC" w:rsidRPr="00081FAC" w14:paraId="2135C371" w14:textId="77777777" w:rsidTr="00081FAC">
        <w:trPr>
          <w:trHeight w:val="60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73D6D137" w14:textId="77777777" w:rsidR="00081FAC" w:rsidRPr="00081FAC" w:rsidRDefault="00081FAC" w:rsidP="00081FAC">
            <w:pPr>
              <w:spacing w:after="0"/>
              <w:rPr>
                <w:rFonts w:eastAsia="Times New Roman" w:cs="Arial"/>
                <w:color w:val="000000"/>
                <w:sz w:val="16"/>
                <w:szCs w:val="16"/>
                <w:lang w:val="en-US"/>
              </w:rPr>
            </w:pPr>
            <w:r w:rsidRPr="00081FAC">
              <w:rPr>
                <w:rFonts w:eastAsia="Times New Roman" w:cs="Arial"/>
                <w:color w:val="000000"/>
                <w:sz w:val="16"/>
                <w:szCs w:val="16"/>
                <w:lang w:val="en-US"/>
              </w:rPr>
              <w:t>Gender marker: UNDP will collaborate and engage with Government on gender equality and the empowerment of women</w:t>
            </w:r>
          </w:p>
        </w:tc>
        <w:tc>
          <w:tcPr>
            <w:tcW w:w="7234" w:type="dxa"/>
            <w:vMerge/>
            <w:tcBorders>
              <w:top w:val="nil"/>
              <w:left w:val="single" w:sz="4" w:space="0" w:color="auto"/>
              <w:bottom w:val="single" w:sz="4" w:space="0" w:color="auto"/>
              <w:right w:val="single" w:sz="4" w:space="0" w:color="auto"/>
            </w:tcBorders>
            <w:vAlign w:val="center"/>
            <w:hideMark/>
          </w:tcPr>
          <w:p w14:paraId="13252C9C" w14:textId="77777777" w:rsidR="00081FAC" w:rsidRPr="00081FAC" w:rsidRDefault="00081FAC" w:rsidP="00081FAC">
            <w:pPr>
              <w:spacing w:after="0"/>
              <w:jc w:val="left"/>
              <w:rPr>
                <w:rFonts w:eastAsia="Times New Roman" w:cs="Arial"/>
                <w:color w:val="000000"/>
                <w:sz w:val="16"/>
                <w:szCs w:val="16"/>
                <w:lang w:val="en-US"/>
              </w:rPr>
            </w:pPr>
          </w:p>
        </w:tc>
        <w:tc>
          <w:tcPr>
            <w:tcW w:w="1620" w:type="dxa"/>
            <w:vMerge/>
            <w:tcBorders>
              <w:top w:val="nil"/>
              <w:left w:val="single" w:sz="4" w:space="0" w:color="auto"/>
              <w:bottom w:val="single" w:sz="4" w:space="0" w:color="auto"/>
              <w:right w:val="single" w:sz="8" w:space="0" w:color="auto"/>
            </w:tcBorders>
            <w:vAlign w:val="center"/>
            <w:hideMark/>
          </w:tcPr>
          <w:p w14:paraId="142D1971" w14:textId="77777777" w:rsidR="00081FAC" w:rsidRPr="00081FAC" w:rsidRDefault="00081FAC" w:rsidP="00081FAC">
            <w:pPr>
              <w:spacing w:after="0"/>
              <w:jc w:val="left"/>
              <w:rPr>
                <w:rFonts w:eastAsia="Times New Roman" w:cs="Arial"/>
                <w:color w:val="000000"/>
                <w:sz w:val="20"/>
                <w:szCs w:val="20"/>
                <w:lang w:val="en-US"/>
              </w:rPr>
            </w:pPr>
          </w:p>
        </w:tc>
      </w:tr>
      <w:tr w:rsidR="00081FAC" w:rsidRPr="00081FAC" w14:paraId="544C3895" w14:textId="77777777" w:rsidTr="00081FAC">
        <w:trPr>
          <w:trHeight w:val="100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26979327" w14:textId="77777777" w:rsidR="00081FAC" w:rsidRPr="00081FAC" w:rsidRDefault="00081FAC" w:rsidP="00081FAC">
            <w:pPr>
              <w:spacing w:after="0"/>
              <w:rPr>
                <w:rFonts w:eastAsia="Times New Roman" w:cs="Arial"/>
                <w:color w:val="000000"/>
                <w:sz w:val="16"/>
                <w:szCs w:val="16"/>
                <w:lang w:val="en-US"/>
              </w:rPr>
            </w:pPr>
            <w:r w:rsidRPr="00081FAC">
              <w:rPr>
                <w:rFonts w:eastAsia="Times New Roman" w:cs="Arial"/>
                <w:color w:val="000000"/>
                <w:sz w:val="16"/>
                <w:szCs w:val="16"/>
                <w:lang w:val="en-US"/>
              </w:rPr>
              <w:t>The Joint Programme contributes to substantively strengthen Government participation and engagement in gender related SDGs localization and/or implementation</w:t>
            </w:r>
          </w:p>
        </w:tc>
        <w:tc>
          <w:tcPr>
            <w:tcW w:w="7234" w:type="dxa"/>
            <w:vMerge/>
            <w:tcBorders>
              <w:top w:val="nil"/>
              <w:left w:val="single" w:sz="4" w:space="0" w:color="auto"/>
              <w:bottom w:val="single" w:sz="4" w:space="0" w:color="auto"/>
              <w:right w:val="single" w:sz="4" w:space="0" w:color="auto"/>
            </w:tcBorders>
            <w:vAlign w:val="center"/>
            <w:hideMark/>
          </w:tcPr>
          <w:p w14:paraId="1FF5157D" w14:textId="77777777" w:rsidR="00081FAC" w:rsidRPr="00081FAC" w:rsidRDefault="00081FAC" w:rsidP="00081FAC">
            <w:pPr>
              <w:spacing w:after="0"/>
              <w:jc w:val="left"/>
              <w:rPr>
                <w:rFonts w:eastAsia="Times New Roman" w:cs="Arial"/>
                <w:color w:val="000000"/>
                <w:sz w:val="16"/>
                <w:szCs w:val="16"/>
                <w:lang w:val="en-US"/>
              </w:rPr>
            </w:pPr>
          </w:p>
        </w:tc>
        <w:tc>
          <w:tcPr>
            <w:tcW w:w="1620" w:type="dxa"/>
            <w:vMerge/>
            <w:tcBorders>
              <w:top w:val="nil"/>
              <w:left w:val="single" w:sz="4" w:space="0" w:color="auto"/>
              <w:bottom w:val="single" w:sz="4" w:space="0" w:color="auto"/>
              <w:right w:val="single" w:sz="8" w:space="0" w:color="auto"/>
            </w:tcBorders>
            <w:vAlign w:val="center"/>
            <w:hideMark/>
          </w:tcPr>
          <w:p w14:paraId="1846197B" w14:textId="77777777" w:rsidR="00081FAC" w:rsidRPr="00081FAC" w:rsidRDefault="00081FAC" w:rsidP="00081FAC">
            <w:pPr>
              <w:spacing w:after="0"/>
              <w:jc w:val="left"/>
              <w:rPr>
                <w:rFonts w:eastAsia="Times New Roman" w:cs="Arial"/>
                <w:color w:val="000000"/>
                <w:sz w:val="20"/>
                <w:szCs w:val="20"/>
                <w:lang w:val="en-US"/>
              </w:rPr>
            </w:pPr>
          </w:p>
        </w:tc>
      </w:tr>
      <w:tr w:rsidR="00081FAC" w:rsidRPr="00081FAC" w14:paraId="6C4ED241" w14:textId="77777777" w:rsidTr="00081FAC">
        <w:trPr>
          <w:trHeight w:val="690"/>
        </w:trPr>
        <w:tc>
          <w:tcPr>
            <w:tcW w:w="2786" w:type="dxa"/>
            <w:tcBorders>
              <w:top w:val="nil"/>
              <w:left w:val="single" w:sz="4" w:space="0" w:color="auto"/>
              <w:bottom w:val="single" w:sz="4" w:space="0" w:color="auto"/>
              <w:right w:val="single" w:sz="4" w:space="0" w:color="auto"/>
            </w:tcBorders>
            <w:shd w:val="clear" w:color="auto" w:fill="auto"/>
            <w:vAlign w:val="center"/>
            <w:hideMark/>
          </w:tcPr>
          <w:p w14:paraId="0B238F1D" w14:textId="77777777" w:rsidR="00081FAC" w:rsidRPr="00081FAC" w:rsidRDefault="00081FAC" w:rsidP="00081FAC">
            <w:pPr>
              <w:spacing w:after="0"/>
              <w:rPr>
                <w:rFonts w:eastAsia="Times New Roman" w:cs="Arial"/>
                <w:color w:val="000000"/>
                <w:sz w:val="18"/>
                <w:szCs w:val="18"/>
                <w:lang w:val="en-US"/>
              </w:rPr>
            </w:pPr>
            <w:r w:rsidRPr="00081FAC">
              <w:rPr>
                <w:rFonts w:eastAsia="Times New Roman" w:cs="Arial"/>
                <w:color w:val="000000"/>
                <w:sz w:val="18"/>
                <w:szCs w:val="18"/>
                <w:lang w:val="en-US"/>
              </w:rPr>
              <w:t xml:space="preserve">Context </w:t>
            </w:r>
            <w:proofErr w:type="gramStart"/>
            <w:r w:rsidRPr="00081FAC">
              <w:rPr>
                <w:rFonts w:eastAsia="Times New Roman" w:cs="Arial"/>
                <w:color w:val="000000"/>
                <w:sz w:val="18"/>
                <w:szCs w:val="18"/>
                <w:lang w:val="en-US"/>
              </w:rPr>
              <w:t>analysis</w:t>
            </w:r>
            <w:proofErr w:type="gramEnd"/>
            <w:r w:rsidRPr="00081FAC">
              <w:rPr>
                <w:rFonts w:eastAsia="Times New Roman" w:cs="Arial"/>
                <w:color w:val="000000"/>
                <w:sz w:val="18"/>
                <w:szCs w:val="18"/>
                <w:lang w:val="en-US"/>
              </w:rPr>
              <w:t xml:space="preserve"> integrate gender analysis and gender disaggregated data</w:t>
            </w:r>
          </w:p>
        </w:tc>
        <w:tc>
          <w:tcPr>
            <w:tcW w:w="7234" w:type="dxa"/>
            <w:vMerge/>
            <w:tcBorders>
              <w:top w:val="nil"/>
              <w:left w:val="single" w:sz="4" w:space="0" w:color="auto"/>
              <w:bottom w:val="single" w:sz="4" w:space="0" w:color="auto"/>
              <w:right w:val="single" w:sz="4" w:space="0" w:color="auto"/>
            </w:tcBorders>
            <w:vAlign w:val="center"/>
            <w:hideMark/>
          </w:tcPr>
          <w:p w14:paraId="6E35FCFC" w14:textId="77777777" w:rsidR="00081FAC" w:rsidRPr="00081FAC" w:rsidRDefault="00081FAC" w:rsidP="00081FAC">
            <w:pPr>
              <w:spacing w:after="0"/>
              <w:jc w:val="left"/>
              <w:rPr>
                <w:rFonts w:eastAsia="Times New Roman" w:cs="Arial"/>
                <w:color w:val="000000"/>
                <w:sz w:val="16"/>
                <w:szCs w:val="16"/>
                <w:lang w:val="en-US"/>
              </w:rPr>
            </w:pPr>
          </w:p>
        </w:tc>
        <w:tc>
          <w:tcPr>
            <w:tcW w:w="1620" w:type="dxa"/>
            <w:vMerge/>
            <w:tcBorders>
              <w:top w:val="nil"/>
              <w:left w:val="single" w:sz="4" w:space="0" w:color="auto"/>
              <w:bottom w:val="single" w:sz="4" w:space="0" w:color="auto"/>
              <w:right w:val="single" w:sz="8" w:space="0" w:color="auto"/>
            </w:tcBorders>
            <w:vAlign w:val="center"/>
            <w:hideMark/>
          </w:tcPr>
          <w:p w14:paraId="28374B41" w14:textId="77777777" w:rsidR="00081FAC" w:rsidRPr="00081FAC" w:rsidRDefault="00081FAC" w:rsidP="00081FAC">
            <w:pPr>
              <w:spacing w:after="0"/>
              <w:jc w:val="left"/>
              <w:rPr>
                <w:rFonts w:eastAsia="Times New Roman" w:cs="Arial"/>
                <w:color w:val="000000"/>
                <w:sz w:val="20"/>
                <w:szCs w:val="20"/>
                <w:lang w:val="en-US"/>
              </w:rPr>
            </w:pPr>
          </w:p>
        </w:tc>
      </w:tr>
      <w:tr w:rsidR="00081FAC" w:rsidRPr="00081FAC" w14:paraId="16D7C685" w14:textId="77777777" w:rsidTr="00081FAC">
        <w:trPr>
          <w:trHeight w:val="290"/>
        </w:trPr>
        <w:tc>
          <w:tcPr>
            <w:tcW w:w="2786" w:type="dxa"/>
            <w:tcBorders>
              <w:top w:val="nil"/>
              <w:left w:val="single" w:sz="4" w:space="0" w:color="auto"/>
              <w:bottom w:val="single" w:sz="4" w:space="0" w:color="auto"/>
              <w:right w:val="single" w:sz="4" w:space="0" w:color="auto"/>
            </w:tcBorders>
            <w:shd w:val="clear" w:color="000000" w:fill="F2F2F2"/>
            <w:noWrap/>
            <w:vAlign w:val="bottom"/>
            <w:hideMark/>
          </w:tcPr>
          <w:p w14:paraId="26E4F90E"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nil"/>
              <w:left w:val="nil"/>
              <w:bottom w:val="single" w:sz="4" w:space="0" w:color="auto"/>
              <w:right w:val="single" w:sz="4" w:space="0" w:color="auto"/>
            </w:tcBorders>
            <w:shd w:val="clear" w:color="000000" w:fill="F2F2F2"/>
            <w:vAlign w:val="center"/>
            <w:hideMark/>
          </w:tcPr>
          <w:p w14:paraId="3933683A"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2.1</w:t>
            </w:r>
          </w:p>
        </w:tc>
        <w:tc>
          <w:tcPr>
            <w:tcW w:w="1620" w:type="dxa"/>
            <w:tcBorders>
              <w:top w:val="nil"/>
              <w:left w:val="nil"/>
              <w:bottom w:val="single" w:sz="4" w:space="0" w:color="auto"/>
              <w:right w:val="single" w:sz="8" w:space="0" w:color="auto"/>
            </w:tcBorders>
            <w:shd w:val="clear" w:color="000000" w:fill="F2F2F2"/>
            <w:vAlign w:val="center"/>
            <w:hideMark/>
          </w:tcPr>
          <w:p w14:paraId="04324042"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60,000.00 </w:t>
            </w:r>
          </w:p>
        </w:tc>
      </w:tr>
      <w:tr w:rsidR="00081FAC" w:rsidRPr="00081FAC" w14:paraId="4CBF9EE1" w14:textId="77777777" w:rsidTr="00081FAC">
        <w:trPr>
          <w:trHeight w:val="1400"/>
        </w:trPr>
        <w:tc>
          <w:tcPr>
            <w:tcW w:w="2786" w:type="dxa"/>
            <w:tcBorders>
              <w:top w:val="nil"/>
              <w:left w:val="single" w:sz="8" w:space="0" w:color="auto"/>
              <w:bottom w:val="nil"/>
              <w:right w:val="nil"/>
            </w:tcBorders>
            <w:shd w:val="clear" w:color="auto" w:fill="auto"/>
            <w:vAlign w:val="center"/>
            <w:hideMark/>
          </w:tcPr>
          <w:p w14:paraId="6EE7AC0A"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 xml:space="preserve">Output 2.2: Gender-responsive ecotourism action plans in place for the </w:t>
            </w:r>
            <w:proofErr w:type="spellStart"/>
            <w:r w:rsidRPr="00081FAC">
              <w:rPr>
                <w:rFonts w:eastAsia="Times New Roman" w:cs="Arial"/>
                <w:b/>
                <w:bCs/>
                <w:color w:val="000000"/>
                <w:szCs w:val="22"/>
                <w:lang w:val="en-US"/>
              </w:rPr>
              <w:t>Bolama-Bijagós</w:t>
            </w:r>
            <w:proofErr w:type="spellEnd"/>
            <w:r w:rsidRPr="00081FAC">
              <w:rPr>
                <w:rFonts w:eastAsia="Times New Roman" w:cs="Arial"/>
                <w:b/>
                <w:bCs/>
                <w:color w:val="000000"/>
                <w:szCs w:val="22"/>
                <w:lang w:val="en-US"/>
              </w:rPr>
              <w:t xml:space="preserve"> region and the </w:t>
            </w:r>
            <w:proofErr w:type="spellStart"/>
            <w:r w:rsidRPr="00081FAC">
              <w:rPr>
                <w:rFonts w:eastAsia="Times New Roman" w:cs="Arial"/>
                <w:b/>
                <w:bCs/>
                <w:color w:val="000000"/>
                <w:szCs w:val="22"/>
                <w:lang w:val="en-US"/>
              </w:rPr>
              <w:t>Cacheu</w:t>
            </w:r>
            <w:proofErr w:type="spellEnd"/>
            <w:r w:rsidRPr="00081FAC">
              <w:rPr>
                <w:rFonts w:eastAsia="Times New Roman" w:cs="Arial"/>
                <w:b/>
                <w:bCs/>
                <w:color w:val="000000"/>
                <w:szCs w:val="22"/>
                <w:lang w:val="en-US"/>
              </w:rPr>
              <w:t xml:space="preserve"> region</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48BFDFA9"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 xml:space="preserve">2.2.1 In collaboration with the Ministry of Tourism and Handicrafts, develop a gender-responsive Ecotourism Strategy and Action Plans (E-TSAPs) for the </w:t>
            </w:r>
            <w:proofErr w:type="spellStart"/>
            <w:r w:rsidRPr="00081FAC">
              <w:rPr>
                <w:rFonts w:eastAsia="Times New Roman" w:cs="Arial"/>
                <w:color w:val="000000"/>
                <w:sz w:val="16"/>
                <w:szCs w:val="16"/>
                <w:lang w:val="en-US"/>
              </w:rPr>
              <w:t>Bijagós</w:t>
            </w:r>
            <w:proofErr w:type="spellEnd"/>
            <w:r w:rsidRPr="00081FAC">
              <w:rPr>
                <w:rFonts w:eastAsia="Times New Roman" w:cs="Arial"/>
                <w:color w:val="000000"/>
                <w:sz w:val="16"/>
                <w:szCs w:val="16"/>
                <w:lang w:val="en-US"/>
              </w:rPr>
              <w:t xml:space="preserve"> Islands that integrates resilience building and risk management</w:t>
            </w:r>
          </w:p>
        </w:tc>
        <w:tc>
          <w:tcPr>
            <w:tcW w:w="1620" w:type="dxa"/>
            <w:tcBorders>
              <w:top w:val="nil"/>
              <w:left w:val="nil"/>
              <w:bottom w:val="nil"/>
              <w:right w:val="single" w:sz="8" w:space="0" w:color="auto"/>
            </w:tcBorders>
            <w:shd w:val="clear" w:color="auto" w:fill="auto"/>
            <w:vAlign w:val="center"/>
            <w:hideMark/>
          </w:tcPr>
          <w:p w14:paraId="03F4431F"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          65,000.00 </w:t>
            </w:r>
          </w:p>
        </w:tc>
      </w:tr>
      <w:tr w:rsidR="00081FAC" w:rsidRPr="00081FAC" w14:paraId="234A88FA" w14:textId="77777777" w:rsidTr="00081FAC">
        <w:trPr>
          <w:trHeight w:val="600"/>
        </w:trPr>
        <w:tc>
          <w:tcPr>
            <w:tcW w:w="2786" w:type="dxa"/>
            <w:tcBorders>
              <w:top w:val="nil"/>
              <w:left w:val="single" w:sz="8" w:space="0" w:color="auto"/>
              <w:bottom w:val="nil"/>
              <w:right w:val="nil"/>
            </w:tcBorders>
            <w:shd w:val="clear" w:color="auto" w:fill="auto"/>
            <w:vAlign w:val="center"/>
            <w:hideMark/>
          </w:tcPr>
          <w:p w14:paraId="6E3EF46E"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Gender marker: UNDP will collaborate and engages with women’s/gender equality CSOs</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0033FFE0"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2.2.2 UNDP Impact Hub will support stakeholders with analysis, co-design methodology and identification of innovative financing solutions</w:t>
            </w:r>
          </w:p>
        </w:tc>
        <w:tc>
          <w:tcPr>
            <w:tcW w:w="1620" w:type="dxa"/>
            <w:tcBorders>
              <w:top w:val="single" w:sz="4" w:space="0" w:color="auto"/>
              <w:left w:val="nil"/>
              <w:bottom w:val="nil"/>
              <w:right w:val="single" w:sz="8" w:space="0" w:color="auto"/>
            </w:tcBorders>
            <w:shd w:val="clear" w:color="auto" w:fill="auto"/>
            <w:vAlign w:val="center"/>
            <w:hideMark/>
          </w:tcPr>
          <w:p w14:paraId="65EBD4AB"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          30,000.00 </w:t>
            </w:r>
          </w:p>
        </w:tc>
      </w:tr>
      <w:tr w:rsidR="00081FAC" w:rsidRPr="00081FAC" w14:paraId="7A2AF0B4" w14:textId="77777777" w:rsidTr="00081FAC">
        <w:trPr>
          <w:trHeight w:val="1400"/>
        </w:trPr>
        <w:tc>
          <w:tcPr>
            <w:tcW w:w="2786" w:type="dxa"/>
            <w:tcBorders>
              <w:top w:val="nil"/>
              <w:left w:val="single" w:sz="8" w:space="0" w:color="auto"/>
              <w:bottom w:val="nil"/>
              <w:right w:val="nil"/>
            </w:tcBorders>
            <w:shd w:val="clear" w:color="auto" w:fill="auto"/>
            <w:vAlign w:val="center"/>
            <w:hideMark/>
          </w:tcPr>
          <w:p w14:paraId="7D75B369"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GEWE CSOs will participate in consultation mechanisms foreseen in all Outcome areas and the Joint Programme will substantively strengthen GEWE CSO participation and engagement in gender related SDGs localization and/or implementation.</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2770C61F"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single" w:sz="4" w:space="0" w:color="auto"/>
              <w:left w:val="nil"/>
              <w:bottom w:val="single" w:sz="4" w:space="0" w:color="auto"/>
              <w:right w:val="single" w:sz="8" w:space="0" w:color="auto"/>
            </w:tcBorders>
            <w:shd w:val="clear" w:color="auto" w:fill="auto"/>
            <w:noWrap/>
            <w:vAlign w:val="bottom"/>
            <w:hideMark/>
          </w:tcPr>
          <w:p w14:paraId="2C6D5A38"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46119B8B" w14:textId="77777777" w:rsidTr="00081FAC">
        <w:trPr>
          <w:trHeight w:val="290"/>
        </w:trPr>
        <w:tc>
          <w:tcPr>
            <w:tcW w:w="278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612BD7"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nil"/>
              <w:left w:val="nil"/>
              <w:bottom w:val="nil"/>
              <w:right w:val="single" w:sz="4" w:space="0" w:color="auto"/>
            </w:tcBorders>
            <w:shd w:val="clear" w:color="000000" w:fill="F2F2F2"/>
            <w:vAlign w:val="center"/>
            <w:hideMark/>
          </w:tcPr>
          <w:p w14:paraId="16DBBA17"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2.2</w:t>
            </w:r>
          </w:p>
        </w:tc>
        <w:tc>
          <w:tcPr>
            <w:tcW w:w="1620" w:type="dxa"/>
            <w:tcBorders>
              <w:top w:val="nil"/>
              <w:left w:val="nil"/>
              <w:bottom w:val="nil"/>
              <w:right w:val="single" w:sz="8" w:space="0" w:color="auto"/>
            </w:tcBorders>
            <w:shd w:val="clear" w:color="000000" w:fill="F2F2F2"/>
            <w:vAlign w:val="center"/>
            <w:hideMark/>
          </w:tcPr>
          <w:p w14:paraId="067EB5D0"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95,000.00 </w:t>
            </w:r>
          </w:p>
        </w:tc>
      </w:tr>
      <w:tr w:rsidR="00081FAC" w:rsidRPr="00081FAC" w14:paraId="54A982B9" w14:textId="77777777" w:rsidTr="00081FAC">
        <w:trPr>
          <w:trHeight w:val="1400"/>
        </w:trPr>
        <w:tc>
          <w:tcPr>
            <w:tcW w:w="2786" w:type="dxa"/>
            <w:tcBorders>
              <w:top w:val="nil"/>
              <w:left w:val="single" w:sz="8" w:space="0" w:color="auto"/>
              <w:bottom w:val="nil"/>
              <w:right w:val="nil"/>
            </w:tcBorders>
            <w:shd w:val="clear" w:color="auto" w:fill="auto"/>
            <w:vAlign w:val="center"/>
            <w:hideMark/>
          </w:tcPr>
          <w:p w14:paraId="2C88F911"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Output 2.3: Gender-responsive local planning guidelines in place in the target areas to ensure sustainable tourism</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7C54A"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2.3.1 Map potential threats and challenges arising from tourism development and establish mitigation measures to preserve the unique cultural and environmental heritage of both locations, ensuring sustainable land-sea planning and natural resource management, and minimize disruption in the livelihoods of local communities</w:t>
            </w:r>
          </w:p>
        </w:tc>
        <w:tc>
          <w:tcPr>
            <w:tcW w:w="1620" w:type="dxa"/>
            <w:tcBorders>
              <w:top w:val="single" w:sz="4" w:space="0" w:color="auto"/>
              <w:left w:val="nil"/>
              <w:bottom w:val="nil"/>
              <w:right w:val="single" w:sz="8" w:space="0" w:color="auto"/>
            </w:tcBorders>
            <w:shd w:val="clear" w:color="auto" w:fill="auto"/>
            <w:vAlign w:val="center"/>
            <w:hideMark/>
          </w:tcPr>
          <w:p w14:paraId="13E85FA2" w14:textId="77777777" w:rsidR="00081FAC" w:rsidRPr="00081FAC" w:rsidRDefault="00081FAC" w:rsidP="00081FAC">
            <w:pPr>
              <w:spacing w:after="0"/>
              <w:rPr>
                <w:rFonts w:eastAsia="Times New Roman" w:cs="Arial"/>
                <w:color w:val="000000"/>
                <w:sz w:val="20"/>
                <w:szCs w:val="20"/>
                <w:lang w:val="en-US"/>
              </w:rPr>
            </w:pPr>
            <w:r w:rsidRPr="00081FAC">
              <w:rPr>
                <w:rFonts w:eastAsia="Times New Roman" w:cs="Arial"/>
                <w:color w:val="000000"/>
                <w:sz w:val="20"/>
                <w:szCs w:val="20"/>
                <w:lang w:val="en-US"/>
              </w:rPr>
              <w:t xml:space="preserve">          70,000.00 </w:t>
            </w:r>
          </w:p>
        </w:tc>
      </w:tr>
      <w:tr w:rsidR="00081FAC" w:rsidRPr="00081FAC" w14:paraId="01DCFED9" w14:textId="77777777" w:rsidTr="00081FAC">
        <w:trPr>
          <w:trHeight w:val="660"/>
        </w:trPr>
        <w:tc>
          <w:tcPr>
            <w:tcW w:w="2786" w:type="dxa"/>
            <w:tcBorders>
              <w:top w:val="nil"/>
              <w:left w:val="single" w:sz="8" w:space="0" w:color="auto"/>
              <w:bottom w:val="nil"/>
              <w:right w:val="nil"/>
            </w:tcBorders>
            <w:shd w:val="clear" w:color="auto" w:fill="auto"/>
            <w:vAlign w:val="center"/>
            <w:hideMark/>
          </w:tcPr>
          <w:p w14:paraId="0608C7E1" w14:textId="77777777" w:rsidR="00081FAC" w:rsidRPr="00081FAC" w:rsidRDefault="00081FAC" w:rsidP="00081FAC">
            <w:pPr>
              <w:spacing w:after="0"/>
              <w:jc w:val="left"/>
              <w:rPr>
                <w:rFonts w:eastAsia="Times New Roman" w:cs="Arial"/>
                <w:i/>
                <w:iCs/>
                <w:color w:val="000000"/>
                <w:sz w:val="20"/>
                <w:szCs w:val="20"/>
                <w:lang w:val="en-US"/>
              </w:rPr>
            </w:pPr>
            <w:r w:rsidRPr="00081FAC">
              <w:rPr>
                <w:rFonts w:eastAsia="Times New Roman" w:cs="Arial"/>
                <w:i/>
                <w:iCs/>
                <w:color w:val="000000"/>
                <w:sz w:val="20"/>
                <w:szCs w:val="20"/>
                <w:lang w:val="en-US"/>
              </w:rPr>
              <w:t>Gender marker:</w:t>
            </w:r>
            <w:r w:rsidRPr="00081FAC">
              <w:rPr>
                <w:rFonts w:eastAsia="Times New Roman" w:cs="Arial"/>
                <w:color w:val="000000"/>
                <w:sz w:val="16"/>
                <w:szCs w:val="16"/>
                <w:lang w:val="en-US"/>
              </w:rPr>
              <w:t xml:space="preserve"> UNDP and </w:t>
            </w:r>
            <w:proofErr w:type="spellStart"/>
            <w:r w:rsidRPr="00081FAC">
              <w:rPr>
                <w:rFonts w:eastAsia="Times New Roman" w:cs="Arial"/>
                <w:color w:val="000000"/>
                <w:sz w:val="16"/>
                <w:szCs w:val="16"/>
                <w:lang w:val="en-US"/>
              </w:rPr>
              <w:t>UNHabitat</w:t>
            </w:r>
            <w:proofErr w:type="spellEnd"/>
            <w:r w:rsidRPr="00081FAC">
              <w:rPr>
                <w:rFonts w:eastAsia="Times New Roman" w:cs="Arial"/>
                <w:color w:val="000000"/>
                <w:sz w:val="16"/>
                <w:szCs w:val="16"/>
                <w:lang w:val="en-US"/>
              </w:rPr>
              <w:t xml:space="preserve"> will collaborate and engages with women’s/gender equality CSOs</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19E8BFF5"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single" w:sz="4" w:space="0" w:color="auto"/>
              <w:left w:val="nil"/>
              <w:bottom w:val="single" w:sz="4" w:space="0" w:color="auto"/>
              <w:right w:val="single" w:sz="8" w:space="0" w:color="auto"/>
            </w:tcBorders>
            <w:shd w:val="clear" w:color="auto" w:fill="auto"/>
            <w:noWrap/>
            <w:vAlign w:val="bottom"/>
            <w:hideMark/>
          </w:tcPr>
          <w:p w14:paraId="1118DCD8"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4A288FFE" w14:textId="77777777" w:rsidTr="00081FAC">
        <w:trPr>
          <w:trHeight w:val="1400"/>
        </w:trPr>
        <w:tc>
          <w:tcPr>
            <w:tcW w:w="2786" w:type="dxa"/>
            <w:tcBorders>
              <w:top w:val="nil"/>
              <w:left w:val="single" w:sz="8" w:space="0" w:color="auto"/>
              <w:bottom w:val="nil"/>
              <w:right w:val="nil"/>
            </w:tcBorders>
            <w:shd w:val="clear" w:color="auto" w:fill="auto"/>
            <w:vAlign w:val="center"/>
            <w:hideMark/>
          </w:tcPr>
          <w:p w14:paraId="16297D09"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GEWE CSOs will participate in consultation mechanisms foreseen in all Outcome areas and the Joint Programme will substantively strengthen GEWE CSO participation and engagement in gender related SDGs localization and/or implementation.</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50AE9092"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53ED1AC3"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1E69AB79" w14:textId="77777777" w:rsidTr="00081FAC">
        <w:trPr>
          <w:trHeight w:val="300"/>
        </w:trPr>
        <w:tc>
          <w:tcPr>
            <w:tcW w:w="2786" w:type="dxa"/>
            <w:tcBorders>
              <w:top w:val="single" w:sz="4" w:space="0" w:color="auto"/>
              <w:left w:val="single" w:sz="4" w:space="0" w:color="auto"/>
              <w:bottom w:val="nil"/>
              <w:right w:val="single" w:sz="4" w:space="0" w:color="auto"/>
            </w:tcBorders>
            <w:shd w:val="clear" w:color="000000" w:fill="F2F2F2"/>
            <w:noWrap/>
            <w:vAlign w:val="bottom"/>
            <w:hideMark/>
          </w:tcPr>
          <w:p w14:paraId="1128E55C"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nil"/>
              <w:left w:val="nil"/>
              <w:bottom w:val="nil"/>
              <w:right w:val="single" w:sz="4" w:space="0" w:color="auto"/>
            </w:tcBorders>
            <w:shd w:val="clear" w:color="000000" w:fill="F2F2F2"/>
            <w:vAlign w:val="center"/>
            <w:hideMark/>
          </w:tcPr>
          <w:p w14:paraId="68F3A4FB"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2.3</w:t>
            </w:r>
          </w:p>
        </w:tc>
        <w:tc>
          <w:tcPr>
            <w:tcW w:w="1620" w:type="dxa"/>
            <w:tcBorders>
              <w:top w:val="nil"/>
              <w:left w:val="nil"/>
              <w:bottom w:val="single" w:sz="8" w:space="0" w:color="auto"/>
              <w:right w:val="single" w:sz="8" w:space="0" w:color="auto"/>
            </w:tcBorders>
            <w:shd w:val="clear" w:color="000000" w:fill="F2F2F2"/>
            <w:vAlign w:val="center"/>
            <w:hideMark/>
          </w:tcPr>
          <w:p w14:paraId="660D119D"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70,000.00 </w:t>
            </w:r>
          </w:p>
        </w:tc>
      </w:tr>
      <w:tr w:rsidR="00081FAC" w:rsidRPr="00081FAC" w14:paraId="52C29153" w14:textId="77777777" w:rsidTr="00081FAC">
        <w:trPr>
          <w:trHeight w:val="300"/>
        </w:trPr>
        <w:tc>
          <w:tcPr>
            <w:tcW w:w="2786"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56E408F6"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Outcome 2</w:t>
            </w:r>
          </w:p>
        </w:tc>
        <w:tc>
          <w:tcPr>
            <w:tcW w:w="7234" w:type="dxa"/>
            <w:tcBorders>
              <w:top w:val="single" w:sz="8" w:space="0" w:color="auto"/>
              <w:left w:val="nil"/>
              <w:bottom w:val="single" w:sz="8" w:space="0" w:color="auto"/>
              <w:right w:val="single" w:sz="4" w:space="0" w:color="auto"/>
            </w:tcBorders>
            <w:shd w:val="clear" w:color="000000" w:fill="BFBFBF"/>
            <w:vAlign w:val="center"/>
            <w:hideMark/>
          </w:tcPr>
          <w:p w14:paraId="0538B491"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1620" w:type="dxa"/>
            <w:tcBorders>
              <w:top w:val="nil"/>
              <w:left w:val="nil"/>
              <w:bottom w:val="single" w:sz="8" w:space="0" w:color="auto"/>
              <w:right w:val="single" w:sz="8" w:space="0" w:color="auto"/>
            </w:tcBorders>
            <w:shd w:val="clear" w:color="000000" w:fill="BFBFBF"/>
            <w:vAlign w:val="center"/>
            <w:hideMark/>
          </w:tcPr>
          <w:p w14:paraId="6B73C111"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225,000.00 </w:t>
            </w:r>
          </w:p>
        </w:tc>
      </w:tr>
      <w:tr w:rsidR="00081FAC" w:rsidRPr="00081FAC" w14:paraId="2EF130D9" w14:textId="77777777" w:rsidTr="00081FAC">
        <w:trPr>
          <w:trHeight w:val="300"/>
        </w:trPr>
        <w:tc>
          <w:tcPr>
            <w:tcW w:w="2786" w:type="dxa"/>
            <w:tcBorders>
              <w:top w:val="nil"/>
              <w:left w:val="nil"/>
              <w:bottom w:val="nil"/>
              <w:right w:val="nil"/>
            </w:tcBorders>
            <w:shd w:val="clear" w:color="auto" w:fill="auto"/>
            <w:vAlign w:val="center"/>
            <w:hideMark/>
          </w:tcPr>
          <w:p w14:paraId="0D4E0994" w14:textId="77777777" w:rsidR="00081FAC" w:rsidRPr="00081FAC" w:rsidRDefault="00081FAC" w:rsidP="00081FAC">
            <w:pPr>
              <w:spacing w:after="0"/>
              <w:rPr>
                <w:rFonts w:eastAsia="Times New Roman" w:cs="Arial"/>
                <w:b/>
                <w:bCs/>
                <w:color w:val="000000"/>
                <w:sz w:val="20"/>
                <w:szCs w:val="20"/>
                <w:lang w:val="en-US"/>
              </w:rPr>
            </w:pPr>
          </w:p>
        </w:tc>
        <w:tc>
          <w:tcPr>
            <w:tcW w:w="7234" w:type="dxa"/>
            <w:tcBorders>
              <w:top w:val="nil"/>
              <w:left w:val="nil"/>
              <w:bottom w:val="nil"/>
              <w:right w:val="nil"/>
            </w:tcBorders>
            <w:shd w:val="clear" w:color="auto" w:fill="auto"/>
            <w:vAlign w:val="center"/>
            <w:hideMark/>
          </w:tcPr>
          <w:p w14:paraId="05D21FE0" w14:textId="77777777" w:rsidR="00081FAC" w:rsidRPr="00081FAC" w:rsidRDefault="00081FAC" w:rsidP="00081FAC">
            <w:pPr>
              <w:spacing w:after="0"/>
              <w:jc w:val="left"/>
              <w:rPr>
                <w:rFonts w:ascii="Times New Roman" w:eastAsia="Times New Roman" w:hAnsi="Times New Roman"/>
                <w:sz w:val="20"/>
                <w:szCs w:val="20"/>
                <w:lang w:val="en-US"/>
              </w:rPr>
            </w:pPr>
          </w:p>
        </w:tc>
        <w:tc>
          <w:tcPr>
            <w:tcW w:w="1620" w:type="dxa"/>
            <w:tcBorders>
              <w:top w:val="nil"/>
              <w:left w:val="nil"/>
              <w:bottom w:val="nil"/>
              <w:right w:val="nil"/>
            </w:tcBorders>
            <w:shd w:val="clear" w:color="auto" w:fill="auto"/>
            <w:noWrap/>
            <w:vAlign w:val="bottom"/>
            <w:hideMark/>
          </w:tcPr>
          <w:p w14:paraId="691D9530" w14:textId="77777777" w:rsidR="00081FAC" w:rsidRPr="00081FAC" w:rsidRDefault="00081FAC" w:rsidP="00081FAC">
            <w:pPr>
              <w:spacing w:after="0"/>
              <w:jc w:val="left"/>
              <w:rPr>
                <w:rFonts w:ascii="Times New Roman" w:eastAsia="Times New Roman" w:hAnsi="Times New Roman"/>
                <w:sz w:val="20"/>
                <w:szCs w:val="20"/>
                <w:lang w:val="en-US"/>
              </w:rPr>
            </w:pPr>
          </w:p>
        </w:tc>
      </w:tr>
      <w:tr w:rsidR="00081FAC" w:rsidRPr="00081FAC" w14:paraId="472EAD81" w14:textId="77777777" w:rsidTr="00081FAC">
        <w:trPr>
          <w:trHeight w:val="1515"/>
        </w:trPr>
        <w:tc>
          <w:tcPr>
            <w:tcW w:w="2786"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75EBC993"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Outcome 3</w:t>
            </w:r>
          </w:p>
        </w:tc>
        <w:tc>
          <w:tcPr>
            <w:tcW w:w="8854" w:type="dxa"/>
            <w:gridSpan w:val="2"/>
            <w:tcBorders>
              <w:top w:val="single" w:sz="8" w:space="0" w:color="auto"/>
              <w:left w:val="nil"/>
              <w:bottom w:val="single" w:sz="8" w:space="0" w:color="auto"/>
              <w:right w:val="single" w:sz="8" w:space="0" w:color="000000"/>
            </w:tcBorders>
            <w:shd w:val="clear" w:color="000000" w:fill="BFBFBF"/>
            <w:hideMark/>
          </w:tcPr>
          <w:p w14:paraId="71A0F6F3"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 xml:space="preserve">Targeted investments in renewable green energy and sustainable ecotourism increases proportion of population with primary reliance on ecotourism for livelihoods generation, clean </w:t>
            </w:r>
            <w:proofErr w:type="gramStart"/>
            <w:r w:rsidRPr="00081FAC">
              <w:rPr>
                <w:rFonts w:eastAsia="Times New Roman" w:cs="Arial"/>
                <w:b/>
                <w:bCs/>
                <w:color w:val="000000"/>
                <w:szCs w:val="22"/>
                <w:lang w:val="en-US"/>
              </w:rPr>
              <w:t>fuels</w:t>
            </w:r>
            <w:proofErr w:type="gramEnd"/>
            <w:r w:rsidRPr="00081FAC">
              <w:rPr>
                <w:rFonts w:eastAsia="Times New Roman" w:cs="Arial"/>
                <w:b/>
                <w:bCs/>
                <w:color w:val="000000"/>
                <w:szCs w:val="22"/>
                <w:lang w:val="en-US"/>
              </w:rPr>
              <w:t xml:space="preserve"> and technology, while preserving biodiversity and protecting environmental assets</w:t>
            </w:r>
          </w:p>
        </w:tc>
      </w:tr>
      <w:tr w:rsidR="00081FAC" w:rsidRPr="00081FAC" w14:paraId="162CEB7C" w14:textId="77777777" w:rsidTr="00081FAC">
        <w:trPr>
          <w:trHeight w:val="840"/>
        </w:trPr>
        <w:tc>
          <w:tcPr>
            <w:tcW w:w="2786" w:type="dxa"/>
            <w:tcBorders>
              <w:top w:val="nil"/>
              <w:left w:val="single" w:sz="8" w:space="0" w:color="auto"/>
              <w:bottom w:val="nil"/>
              <w:right w:val="nil"/>
            </w:tcBorders>
            <w:shd w:val="clear" w:color="auto" w:fill="auto"/>
            <w:vAlign w:val="center"/>
            <w:hideMark/>
          </w:tcPr>
          <w:p w14:paraId="64C316FC"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 xml:space="preserve">Output 3.1: Innovative partnerships for tourism </w:t>
            </w:r>
            <w:proofErr w:type="gramStart"/>
            <w:r w:rsidRPr="00081FAC">
              <w:rPr>
                <w:rFonts w:eastAsia="Times New Roman" w:cs="Arial"/>
                <w:b/>
                <w:bCs/>
                <w:color w:val="000000"/>
                <w:szCs w:val="22"/>
                <w:lang w:val="en-US"/>
              </w:rPr>
              <w:t>mini-grids</w:t>
            </w:r>
            <w:proofErr w:type="gramEnd"/>
            <w:r w:rsidRPr="00081FAC">
              <w:rPr>
                <w:rFonts w:eastAsia="Times New Roman" w:cs="Arial"/>
                <w:b/>
                <w:bCs/>
                <w:color w:val="000000"/>
                <w:szCs w:val="22"/>
                <w:lang w:val="en-US"/>
              </w:rPr>
              <w:t xml:space="preserve"> established</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2B55BBAE"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 xml:space="preserve">3.1.1 Undertake location mapping and feasibility studies for ecotourism sector renewable energy </w:t>
            </w:r>
            <w:proofErr w:type="gramStart"/>
            <w:r w:rsidRPr="00081FAC">
              <w:rPr>
                <w:rFonts w:eastAsia="Times New Roman" w:cs="Arial"/>
                <w:color w:val="000000"/>
                <w:sz w:val="16"/>
                <w:szCs w:val="16"/>
                <w:lang w:val="en-US"/>
              </w:rPr>
              <w:t>mini-grids</w:t>
            </w:r>
            <w:proofErr w:type="gramEnd"/>
            <w:r w:rsidRPr="00081FAC">
              <w:rPr>
                <w:rFonts w:eastAsia="Times New Roman" w:cs="Arial"/>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center"/>
            <w:hideMark/>
          </w:tcPr>
          <w:p w14:paraId="130DDEE6"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xml:space="preserve">            70,000.00 </w:t>
            </w:r>
          </w:p>
        </w:tc>
      </w:tr>
      <w:tr w:rsidR="00081FAC" w:rsidRPr="00081FAC" w14:paraId="4BCE277C" w14:textId="77777777" w:rsidTr="00081FAC">
        <w:trPr>
          <w:trHeight w:val="290"/>
        </w:trPr>
        <w:tc>
          <w:tcPr>
            <w:tcW w:w="2786" w:type="dxa"/>
            <w:tcBorders>
              <w:top w:val="nil"/>
              <w:left w:val="single" w:sz="8" w:space="0" w:color="auto"/>
              <w:bottom w:val="nil"/>
              <w:right w:val="nil"/>
            </w:tcBorders>
            <w:shd w:val="clear" w:color="auto" w:fill="auto"/>
            <w:vAlign w:val="center"/>
            <w:hideMark/>
          </w:tcPr>
          <w:p w14:paraId="5452A3ED" w14:textId="77777777" w:rsidR="00081FAC" w:rsidRPr="00081FAC" w:rsidRDefault="00081FAC" w:rsidP="00081FAC">
            <w:pPr>
              <w:spacing w:after="0"/>
              <w:rPr>
                <w:rFonts w:eastAsia="Times New Roman" w:cs="Arial"/>
                <w:color w:val="000000"/>
                <w:sz w:val="16"/>
                <w:szCs w:val="16"/>
                <w:lang w:val="en-US"/>
              </w:rPr>
            </w:pPr>
            <w:r w:rsidRPr="00081FAC">
              <w:rPr>
                <w:rFonts w:eastAsia="Times New Roman" w:cs="Arial"/>
                <w:color w:val="000000"/>
                <w:sz w:val="16"/>
                <w:szCs w:val="16"/>
                <w:lang w:val="en-US"/>
              </w:rPr>
              <w:t> </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01679790"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7E2E2854"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68621863" w14:textId="77777777" w:rsidTr="00081FAC">
        <w:trPr>
          <w:trHeight w:val="460"/>
        </w:trPr>
        <w:tc>
          <w:tcPr>
            <w:tcW w:w="2786" w:type="dxa"/>
            <w:tcBorders>
              <w:top w:val="nil"/>
              <w:left w:val="single" w:sz="8" w:space="0" w:color="auto"/>
              <w:bottom w:val="nil"/>
              <w:right w:val="nil"/>
            </w:tcBorders>
            <w:shd w:val="clear" w:color="auto" w:fill="auto"/>
            <w:vAlign w:val="center"/>
            <w:hideMark/>
          </w:tcPr>
          <w:p w14:paraId="3ECDA6EC" w14:textId="77777777" w:rsidR="00081FAC" w:rsidRPr="00081FAC" w:rsidRDefault="00081FAC" w:rsidP="00081FAC">
            <w:pPr>
              <w:spacing w:after="0"/>
              <w:rPr>
                <w:rFonts w:eastAsia="Times New Roman" w:cs="Arial"/>
                <w:i/>
                <w:iCs/>
                <w:color w:val="000000"/>
                <w:sz w:val="20"/>
                <w:szCs w:val="20"/>
                <w:lang w:val="en-US"/>
              </w:rPr>
            </w:pPr>
            <w:r w:rsidRPr="00081FAC">
              <w:rPr>
                <w:rFonts w:eastAsia="Times New Roman" w:cs="Arial"/>
                <w:i/>
                <w:iCs/>
                <w:color w:val="000000"/>
                <w:sz w:val="20"/>
                <w:szCs w:val="20"/>
                <w:lang w:val="en-US"/>
              </w:rPr>
              <w:t>Gender marker:</w:t>
            </w:r>
            <w:r w:rsidRPr="00081FAC">
              <w:rPr>
                <w:rFonts w:eastAsia="Times New Roman" w:cs="Arial"/>
                <w:color w:val="000000"/>
                <w:sz w:val="18"/>
                <w:szCs w:val="18"/>
                <w:lang w:val="en-US"/>
              </w:rPr>
              <w:t xml:space="preserve"> </w:t>
            </w:r>
            <w:r w:rsidRPr="00081FAC">
              <w:rPr>
                <w:rFonts w:eastAsia="Times New Roman" w:cs="Arial"/>
                <w:color w:val="000000"/>
                <w:sz w:val="16"/>
                <w:szCs w:val="16"/>
                <w:lang w:val="en-US"/>
              </w:rPr>
              <w:t>Program proposes a gender-responsive budget</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728994A2"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2317F015"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4B133A04" w14:textId="77777777" w:rsidTr="00081FAC">
        <w:trPr>
          <w:trHeight w:val="600"/>
        </w:trPr>
        <w:tc>
          <w:tcPr>
            <w:tcW w:w="2786" w:type="dxa"/>
            <w:tcBorders>
              <w:top w:val="nil"/>
              <w:left w:val="single" w:sz="8" w:space="0" w:color="auto"/>
              <w:bottom w:val="nil"/>
              <w:right w:val="nil"/>
            </w:tcBorders>
            <w:shd w:val="clear" w:color="auto" w:fill="auto"/>
            <w:vAlign w:val="center"/>
            <w:hideMark/>
          </w:tcPr>
          <w:p w14:paraId="164E881A" w14:textId="77777777" w:rsidR="00081FAC" w:rsidRPr="00081FAC" w:rsidRDefault="00081FAC" w:rsidP="00081FAC">
            <w:pPr>
              <w:spacing w:after="0"/>
              <w:rPr>
                <w:rFonts w:eastAsia="Times New Roman" w:cs="Arial"/>
                <w:color w:val="000000"/>
                <w:sz w:val="16"/>
                <w:szCs w:val="16"/>
                <w:lang w:val="en-US"/>
              </w:rPr>
            </w:pPr>
            <w:r w:rsidRPr="00081FAC">
              <w:rPr>
                <w:rFonts w:eastAsia="Times New Roman" w:cs="Arial"/>
                <w:color w:val="000000"/>
                <w:sz w:val="16"/>
                <w:szCs w:val="16"/>
                <w:lang w:val="en-US"/>
              </w:rPr>
              <w:t>35% of the total budget is allocated to gender equality or women’s empowerment.</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5DC803C4"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5D456A7E"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24CB652A" w14:textId="77777777" w:rsidTr="00081FAC">
        <w:trPr>
          <w:trHeight w:val="290"/>
        </w:trPr>
        <w:tc>
          <w:tcPr>
            <w:tcW w:w="278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BA587EA"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nil"/>
              <w:left w:val="nil"/>
              <w:bottom w:val="single" w:sz="4" w:space="0" w:color="auto"/>
              <w:right w:val="single" w:sz="4" w:space="0" w:color="auto"/>
            </w:tcBorders>
            <w:shd w:val="clear" w:color="000000" w:fill="F2F2F2"/>
            <w:vAlign w:val="center"/>
            <w:hideMark/>
          </w:tcPr>
          <w:p w14:paraId="585BFB64"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3.1</w:t>
            </w:r>
          </w:p>
        </w:tc>
        <w:tc>
          <w:tcPr>
            <w:tcW w:w="1620" w:type="dxa"/>
            <w:tcBorders>
              <w:top w:val="nil"/>
              <w:left w:val="nil"/>
              <w:bottom w:val="single" w:sz="4" w:space="0" w:color="auto"/>
              <w:right w:val="single" w:sz="8" w:space="0" w:color="auto"/>
            </w:tcBorders>
            <w:shd w:val="clear" w:color="000000" w:fill="F2F2F2"/>
            <w:vAlign w:val="center"/>
            <w:hideMark/>
          </w:tcPr>
          <w:p w14:paraId="5BC80DEF"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70,000.00 </w:t>
            </w:r>
          </w:p>
        </w:tc>
      </w:tr>
      <w:tr w:rsidR="00081FAC" w:rsidRPr="00081FAC" w14:paraId="3E4AE5DE" w14:textId="77777777" w:rsidTr="00081FAC">
        <w:trPr>
          <w:trHeight w:val="1120"/>
        </w:trPr>
        <w:tc>
          <w:tcPr>
            <w:tcW w:w="2786" w:type="dxa"/>
            <w:tcBorders>
              <w:top w:val="nil"/>
              <w:left w:val="single" w:sz="8" w:space="0" w:color="auto"/>
              <w:bottom w:val="nil"/>
              <w:right w:val="nil"/>
            </w:tcBorders>
            <w:shd w:val="clear" w:color="auto" w:fill="auto"/>
            <w:vAlign w:val="center"/>
            <w:hideMark/>
          </w:tcPr>
          <w:p w14:paraId="29F4BFD8" w14:textId="77777777" w:rsidR="00081FAC" w:rsidRPr="00081FAC" w:rsidRDefault="00081FAC" w:rsidP="00081FAC">
            <w:pPr>
              <w:spacing w:after="0"/>
              <w:jc w:val="left"/>
              <w:rPr>
                <w:rFonts w:eastAsia="Times New Roman" w:cs="Arial"/>
                <w:b/>
                <w:bCs/>
                <w:color w:val="000000"/>
                <w:szCs w:val="22"/>
                <w:lang w:val="en-US"/>
              </w:rPr>
            </w:pPr>
            <w:r w:rsidRPr="00081FAC">
              <w:rPr>
                <w:rFonts w:eastAsia="Times New Roman" w:cs="Arial"/>
                <w:b/>
                <w:bCs/>
                <w:color w:val="000000"/>
                <w:szCs w:val="22"/>
                <w:lang w:val="en-US"/>
              </w:rPr>
              <w:t>Output 3.2: Geospatial analysis conducted, and women-led community user groups established</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2D70952A"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 xml:space="preserve">3.2.1 Conduct geospatial analysis for the definition of optimal modalities for energy provision for different locations within the target areas, and identification of suitable sites for deployment </w:t>
            </w:r>
            <w:proofErr w:type="gramStart"/>
            <w:r w:rsidRPr="00081FAC">
              <w:rPr>
                <w:rFonts w:eastAsia="Times New Roman" w:cs="Arial"/>
                <w:color w:val="000000"/>
                <w:sz w:val="16"/>
                <w:szCs w:val="16"/>
                <w:lang w:val="en-US"/>
              </w:rPr>
              <w:t>of  mini</w:t>
            </w:r>
            <w:proofErr w:type="gramEnd"/>
            <w:r w:rsidRPr="00081FAC">
              <w:rPr>
                <w:rFonts w:eastAsia="Times New Roman" w:cs="Arial"/>
                <w:color w:val="000000"/>
                <w:sz w:val="16"/>
                <w:szCs w:val="16"/>
                <w:lang w:val="en-US"/>
              </w:rPr>
              <w:t>-grids where demand for electricity can be underpinned by investment in existing or start-up tourist businesses</w:t>
            </w:r>
          </w:p>
        </w:tc>
        <w:tc>
          <w:tcPr>
            <w:tcW w:w="1620" w:type="dxa"/>
            <w:tcBorders>
              <w:top w:val="nil"/>
              <w:left w:val="nil"/>
              <w:bottom w:val="single" w:sz="4" w:space="0" w:color="auto"/>
              <w:right w:val="single" w:sz="8" w:space="0" w:color="auto"/>
            </w:tcBorders>
            <w:shd w:val="clear" w:color="auto" w:fill="auto"/>
            <w:noWrap/>
            <w:vAlign w:val="center"/>
            <w:hideMark/>
          </w:tcPr>
          <w:p w14:paraId="531741FA"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xml:space="preserve">            70,000.00 </w:t>
            </w:r>
          </w:p>
        </w:tc>
      </w:tr>
      <w:tr w:rsidR="00081FAC" w:rsidRPr="00081FAC" w14:paraId="5167D64B" w14:textId="77777777" w:rsidTr="00081FAC">
        <w:trPr>
          <w:trHeight w:val="460"/>
        </w:trPr>
        <w:tc>
          <w:tcPr>
            <w:tcW w:w="2786" w:type="dxa"/>
            <w:tcBorders>
              <w:top w:val="nil"/>
              <w:left w:val="single" w:sz="8" w:space="0" w:color="auto"/>
              <w:bottom w:val="nil"/>
              <w:right w:val="nil"/>
            </w:tcBorders>
            <w:shd w:val="clear" w:color="auto" w:fill="auto"/>
            <w:vAlign w:val="center"/>
            <w:hideMark/>
          </w:tcPr>
          <w:p w14:paraId="5A614B84" w14:textId="77777777" w:rsidR="00081FAC" w:rsidRPr="00081FAC" w:rsidRDefault="00081FAC" w:rsidP="00081FAC">
            <w:pPr>
              <w:spacing w:after="0"/>
              <w:jc w:val="left"/>
              <w:rPr>
                <w:rFonts w:eastAsia="Times New Roman" w:cs="Arial"/>
                <w:i/>
                <w:iCs/>
                <w:color w:val="000000"/>
                <w:sz w:val="20"/>
                <w:szCs w:val="20"/>
                <w:lang w:val="en-US"/>
              </w:rPr>
            </w:pPr>
            <w:r w:rsidRPr="00081FAC">
              <w:rPr>
                <w:rFonts w:eastAsia="Times New Roman" w:cs="Arial"/>
                <w:i/>
                <w:iCs/>
                <w:color w:val="000000"/>
                <w:sz w:val="20"/>
                <w:szCs w:val="20"/>
                <w:lang w:val="en-US"/>
              </w:rPr>
              <w:t>Gender marker:</w:t>
            </w:r>
            <w:r w:rsidRPr="00081FAC">
              <w:rPr>
                <w:rFonts w:eastAsia="Times New Roman" w:cs="Arial"/>
                <w:color w:val="000000"/>
                <w:sz w:val="16"/>
                <w:szCs w:val="16"/>
                <w:lang w:val="en-US"/>
              </w:rPr>
              <w:t xml:space="preserve"> Gender Equality mainstreamed in proposed outputs</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619AE6EF"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0E9A52D1"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04B478BD" w14:textId="77777777" w:rsidTr="00081FAC">
        <w:trPr>
          <w:trHeight w:val="800"/>
        </w:trPr>
        <w:tc>
          <w:tcPr>
            <w:tcW w:w="2786" w:type="dxa"/>
            <w:tcBorders>
              <w:top w:val="nil"/>
              <w:left w:val="single" w:sz="8" w:space="0" w:color="auto"/>
              <w:bottom w:val="nil"/>
              <w:right w:val="nil"/>
            </w:tcBorders>
            <w:shd w:val="clear" w:color="auto" w:fill="auto"/>
            <w:vAlign w:val="center"/>
            <w:hideMark/>
          </w:tcPr>
          <w:p w14:paraId="1794E832"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 xml:space="preserve">Gender equality and the empowerment of women is visibly mainstreamed across all output areas in line with SDG priorities including SDG 5. </w:t>
            </w:r>
          </w:p>
        </w:tc>
        <w:tc>
          <w:tcPr>
            <w:tcW w:w="7234" w:type="dxa"/>
            <w:tcBorders>
              <w:top w:val="nil"/>
              <w:left w:val="single" w:sz="4" w:space="0" w:color="auto"/>
              <w:bottom w:val="single" w:sz="4" w:space="0" w:color="auto"/>
              <w:right w:val="single" w:sz="4" w:space="0" w:color="auto"/>
            </w:tcBorders>
            <w:shd w:val="clear" w:color="auto" w:fill="auto"/>
            <w:vAlign w:val="center"/>
            <w:hideMark/>
          </w:tcPr>
          <w:p w14:paraId="469C7DB0"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7C8E9343"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0FD101CF" w14:textId="77777777" w:rsidTr="00081FAC">
        <w:trPr>
          <w:trHeight w:val="800"/>
        </w:trPr>
        <w:tc>
          <w:tcPr>
            <w:tcW w:w="2786" w:type="dxa"/>
            <w:tcBorders>
              <w:top w:val="nil"/>
              <w:left w:val="single" w:sz="8" w:space="0" w:color="auto"/>
              <w:bottom w:val="nil"/>
              <w:right w:val="nil"/>
            </w:tcBorders>
            <w:shd w:val="clear" w:color="auto" w:fill="auto"/>
            <w:vAlign w:val="center"/>
            <w:hideMark/>
          </w:tcPr>
          <w:p w14:paraId="1A88A6D5" w14:textId="77777777" w:rsidR="00081FAC" w:rsidRPr="00081FAC" w:rsidRDefault="00081FAC" w:rsidP="00081FAC">
            <w:pPr>
              <w:spacing w:after="0"/>
              <w:jc w:val="left"/>
              <w:rPr>
                <w:rFonts w:eastAsia="Times New Roman" w:cs="Arial"/>
                <w:color w:val="000000"/>
                <w:sz w:val="16"/>
                <w:szCs w:val="16"/>
                <w:lang w:val="en-US"/>
              </w:rPr>
            </w:pPr>
            <w:r w:rsidRPr="00081FAC">
              <w:rPr>
                <w:rFonts w:eastAsia="Times New Roman" w:cs="Arial"/>
                <w:color w:val="000000"/>
                <w:sz w:val="16"/>
                <w:szCs w:val="16"/>
                <w:lang w:val="en-US"/>
              </w:rPr>
              <w:t>In addition, it specifically targets women entrepreneurs and women-led cooperative enterprises to establish or expand income-generating activities reliant on electricity.</w:t>
            </w:r>
          </w:p>
        </w:tc>
        <w:tc>
          <w:tcPr>
            <w:tcW w:w="7234" w:type="dxa"/>
            <w:tcBorders>
              <w:top w:val="nil"/>
              <w:left w:val="single" w:sz="4" w:space="0" w:color="auto"/>
              <w:bottom w:val="nil"/>
              <w:right w:val="single" w:sz="4" w:space="0" w:color="auto"/>
            </w:tcBorders>
            <w:shd w:val="clear" w:color="auto" w:fill="auto"/>
            <w:vAlign w:val="center"/>
            <w:hideMark/>
          </w:tcPr>
          <w:p w14:paraId="0774E763"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c>
          <w:tcPr>
            <w:tcW w:w="1620" w:type="dxa"/>
            <w:tcBorders>
              <w:top w:val="nil"/>
              <w:left w:val="nil"/>
              <w:bottom w:val="nil"/>
              <w:right w:val="single" w:sz="8" w:space="0" w:color="auto"/>
            </w:tcBorders>
            <w:shd w:val="clear" w:color="auto" w:fill="auto"/>
            <w:noWrap/>
            <w:vAlign w:val="bottom"/>
            <w:hideMark/>
          </w:tcPr>
          <w:p w14:paraId="2ADD88AC" w14:textId="77777777" w:rsidR="00081FAC" w:rsidRPr="00081FAC" w:rsidRDefault="00081FAC" w:rsidP="00081FAC">
            <w:pPr>
              <w:spacing w:after="0"/>
              <w:jc w:val="left"/>
              <w:rPr>
                <w:rFonts w:ascii="Calibri" w:eastAsia="Times New Roman" w:hAnsi="Calibri" w:cs="Calibri"/>
                <w:color w:val="000000"/>
                <w:szCs w:val="22"/>
                <w:lang w:val="en-US"/>
              </w:rPr>
            </w:pPr>
            <w:r w:rsidRPr="00081FAC">
              <w:rPr>
                <w:rFonts w:ascii="Calibri" w:eastAsia="Times New Roman" w:hAnsi="Calibri" w:cs="Calibri"/>
                <w:color w:val="000000"/>
                <w:szCs w:val="22"/>
                <w:lang w:val="en-US"/>
              </w:rPr>
              <w:t> </w:t>
            </w:r>
          </w:p>
        </w:tc>
      </w:tr>
      <w:tr w:rsidR="00081FAC" w:rsidRPr="00081FAC" w14:paraId="5F8C4E6E" w14:textId="77777777" w:rsidTr="00081FAC">
        <w:trPr>
          <w:trHeight w:val="300"/>
        </w:trPr>
        <w:tc>
          <w:tcPr>
            <w:tcW w:w="2786" w:type="dxa"/>
            <w:tcBorders>
              <w:top w:val="single" w:sz="4" w:space="0" w:color="auto"/>
              <w:left w:val="single" w:sz="4" w:space="0" w:color="auto"/>
              <w:bottom w:val="nil"/>
              <w:right w:val="single" w:sz="4" w:space="0" w:color="auto"/>
            </w:tcBorders>
            <w:shd w:val="clear" w:color="000000" w:fill="F2F2F2"/>
            <w:noWrap/>
            <w:vAlign w:val="bottom"/>
            <w:hideMark/>
          </w:tcPr>
          <w:p w14:paraId="603F1513" w14:textId="77777777" w:rsidR="00081FAC" w:rsidRPr="00081FAC" w:rsidRDefault="00081FAC" w:rsidP="00081FAC">
            <w:pPr>
              <w:spacing w:after="0"/>
              <w:jc w:val="left"/>
              <w:rPr>
                <w:rFonts w:ascii="Calibri" w:eastAsia="Times New Roman" w:hAnsi="Calibri" w:cs="Calibri"/>
                <w:color w:val="000000"/>
                <w:sz w:val="20"/>
                <w:szCs w:val="20"/>
                <w:lang w:val="en-US"/>
              </w:rPr>
            </w:pPr>
            <w:r w:rsidRPr="00081FAC">
              <w:rPr>
                <w:rFonts w:ascii="Calibri" w:eastAsia="Times New Roman" w:hAnsi="Calibri" w:cs="Calibri"/>
                <w:color w:val="000000"/>
                <w:sz w:val="20"/>
                <w:szCs w:val="20"/>
                <w:lang w:val="en-US"/>
              </w:rPr>
              <w:t> </w:t>
            </w:r>
          </w:p>
        </w:tc>
        <w:tc>
          <w:tcPr>
            <w:tcW w:w="7234" w:type="dxa"/>
            <w:tcBorders>
              <w:top w:val="single" w:sz="4" w:space="0" w:color="auto"/>
              <w:left w:val="nil"/>
              <w:bottom w:val="nil"/>
              <w:right w:val="single" w:sz="4" w:space="0" w:color="auto"/>
            </w:tcBorders>
            <w:shd w:val="clear" w:color="000000" w:fill="F2F2F2"/>
            <w:vAlign w:val="center"/>
            <w:hideMark/>
          </w:tcPr>
          <w:p w14:paraId="6F18608D"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for Output 3.2</w:t>
            </w:r>
          </w:p>
        </w:tc>
        <w:tc>
          <w:tcPr>
            <w:tcW w:w="1620" w:type="dxa"/>
            <w:tcBorders>
              <w:top w:val="single" w:sz="4" w:space="0" w:color="auto"/>
              <w:left w:val="nil"/>
              <w:bottom w:val="nil"/>
              <w:right w:val="single" w:sz="8" w:space="0" w:color="auto"/>
            </w:tcBorders>
            <w:shd w:val="clear" w:color="000000" w:fill="F2F2F2"/>
            <w:vAlign w:val="center"/>
            <w:hideMark/>
          </w:tcPr>
          <w:p w14:paraId="153CFB95"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70,000.00 </w:t>
            </w:r>
          </w:p>
        </w:tc>
      </w:tr>
      <w:tr w:rsidR="00081FAC" w:rsidRPr="00081FAC" w14:paraId="7070C794" w14:textId="77777777" w:rsidTr="00081FAC">
        <w:trPr>
          <w:trHeight w:val="300"/>
        </w:trPr>
        <w:tc>
          <w:tcPr>
            <w:tcW w:w="2786"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24A9C0DB"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Sub-Total Outcome 3</w:t>
            </w:r>
          </w:p>
        </w:tc>
        <w:tc>
          <w:tcPr>
            <w:tcW w:w="7234" w:type="dxa"/>
            <w:tcBorders>
              <w:top w:val="single" w:sz="8" w:space="0" w:color="auto"/>
              <w:left w:val="nil"/>
              <w:bottom w:val="single" w:sz="8" w:space="0" w:color="auto"/>
              <w:right w:val="single" w:sz="4" w:space="0" w:color="auto"/>
            </w:tcBorders>
            <w:shd w:val="clear" w:color="000000" w:fill="BFBFBF"/>
            <w:vAlign w:val="center"/>
            <w:hideMark/>
          </w:tcPr>
          <w:p w14:paraId="1F5864CE" w14:textId="77777777" w:rsidR="00081FAC" w:rsidRPr="00081FAC" w:rsidRDefault="00081FAC" w:rsidP="00081FAC">
            <w:pPr>
              <w:spacing w:after="0"/>
              <w:jc w:val="left"/>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1620" w:type="dxa"/>
            <w:tcBorders>
              <w:top w:val="single" w:sz="8" w:space="0" w:color="auto"/>
              <w:left w:val="nil"/>
              <w:bottom w:val="single" w:sz="8" w:space="0" w:color="auto"/>
              <w:right w:val="single" w:sz="8" w:space="0" w:color="auto"/>
            </w:tcBorders>
            <w:shd w:val="clear" w:color="000000" w:fill="BFBFBF"/>
            <w:vAlign w:val="center"/>
            <w:hideMark/>
          </w:tcPr>
          <w:p w14:paraId="1D20051C"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xml:space="preserve">          70,000.00 </w:t>
            </w:r>
          </w:p>
        </w:tc>
      </w:tr>
      <w:tr w:rsidR="00081FAC" w:rsidRPr="00081FAC" w14:paraId="5794579D" w14:textId="77777777" w:rsidTr="00081FAC">
        <w:trPr>
          <w:trHeight w:val="300"/>
        </w:trPr>
        <w:tc>
          <w:tcPr>
            <w:tcW w:w="2786" w:type="dxa"/>
            <w:tcBorders>
              <w:top w:val="nil"/>
              <w:left w:val="single" w:sz="8" w:space="0" w:color="auto"/>
              <w:bottom w:val="single" w:sz="8" w:space="0" w:color="auto"/>
              <w:right w:val="single" w:sz="4" w:space="0" w:color="auto"/>
            </w:tcBorders>
            <w:shd w:val="clear" w:color="000000" w:fill="CCCCCC"/>
            <w:vAlign w:val="center"/>
            <w:hideMark/>
          </w:tcPr>
          <w:p w14:paraId="31A572C0" w14:textId="77777777" w:rsidR="00081FAC" w:rsidRPr="00081FAC" w:rsidRDefault="00081FAC" w:rsidP="00081FAC">
            <w:pPr>
              <w:spacing w:after="0"/>
              <w:rPr>
                <w:rFonts w:eastAsia="Times New Roman" w:cs="Arial"/>
                <w:b/>
                <w:bCs/>
                <w:color w:val="000000"/>
                <w:szCs w:val="22"/>
                <w:lang w:val="en-US"/>
              </w:rPr>
            </w:pPr>
            <w:r w:rsidRPr="00081FAC">
              <w:rPr>
                <w:rFonts w:eastAsia="Times New Roman" w:cs="Arial"/>
                <w:b/>
                <w:bCs/>
                <w:color w:val="000000"/>
                <w:szCs w:val="22"/>
                <w:lang w:val="en-US"/>
              </w:rPr>
              <w:t>Subtotal of Activities</w:t>
            </w:r>
          </w:p>
        </w:tc>
        <w:tc>
          <w:tcPr>
            <w:tcW w:w="7234" w:type="dxa"/>
            <w:tcBorders>
              <w:top w:val="nil"/>
              <w:left w:val="nil"/>
              <w:bottom w:val="single" w:sz="8" w:space="0" w:color="auto"/>
              <w:right w:val="single" w:sz="4" w:space="0" w:color="auto"/>
            </w:tcBorders>
            <w:shd w:val="clear" w:color="000000" w:fill="CCCCCC"/>
            <w:vAlign w:val="center"/>
            <w:hideMark/>
          </w:tcPr>
          <w:p w14:paraId="332FFE80" w14:textId="77777777" w:rsidR="00081FAC" w:rsidRPr="00081FAC" w:rsidRDefault="00081FAC" w:rsidP="00081FAC">
            <w:pPr>
              <w:spacing w:after="0"/>
              <w:rPr>
                <w:rFonts w:eastAsia="Times New Roman" w:cs="Arial"/>
                <w:color w:val="000000"/>
                <w:szCs w:val="22"/>
                <w:lang w:val="en-US"/>
              </w:rPr>
            </w:pPr>
            <w:r w:rsidRPr="00081FAC">
              <w:rPr>
                <w:rFonts w:eastAsia="Times New Roman" w:cs="Arial"/>
                <w:color w:val="000000"/>
                <w:szCs w:val="22"/>
                <w:lang w:val="en-US"/>
              </w:rPr>
              <w:t> </w:t>
            </w:r>
          </w:p>
        </w:tc>
        <w:tc>
          <w:tcPr>
            <w:tcW w:w="1620" w:type="dxa"/>
            <w:tcBorders>
              <w:top w:val="nil"/>
              <w:left w:val="nil"/>
              <w:bottom w:val="single" w:sz="8" w:space="0" w:color="auto"/>
              <w:right w:val="single" w:sz="8" w:space="0" w:color="auto"/>
            </w:tcBorders>
            <w:shd w:val="clear" w:color="000000" w:fill="BFBFBF"/>
            <w:vAlign w:val="center"/>
            <w:hideMark/>
          </w:tcPr>
          <w:p w14:paraId="53434AAB" w14:textId="77777777" w:rsidR="00081FAC" w:rsidRPr="00081FAC" w:rsidRDefault="00081FAC" w:rsidP="00081FAC">
            <w:pPr>
              <w:spacing w:after="0"/>
              <w:rPr>
                <w:rFonts w:eastAsia="Times New Roman" w:cs="Arial"/>
                <w:b/>
                <w:bCs/>
                <w:color w:val="000000"/>
                <w:szCs w:val="22"/>
                <w:lang w:val="en-US"/>
              </w:rPr>
            </w:pPr>
            <w:r w:rsidRPr="00081FAC">
              <w:rPr>
                <w:rFonts w:eastAsia="Times New Roman" w:cs="Arial"/>
                <w:b/>
                <w:bCs/>
                <w:color w:val="000000"/>
                <w:szCs w:val="22"/>
                <w:lang w:val="en-US"/>
              </w:rPr>
              <w:t xml:space="preserve">       395,000.00 </w:t>
            </w:r>
          </w:p>
        </w:tc>
      </w:tr>
      <w:tr w:rsidR="00081FAC" w:rsidRPr="00081FAC" w14:paraId="5AC57100" w14:textId="77777777" w:rsidTr="00081FAC">
        <w:trPr>
          <w:trHeight w:val="290"/>
        </w:trPr>
        <w:tc>
          <w:tcPr>
            <w:tcW w:w="2786" w:type="dxa"/>
            <w:tcBorders>
              <w:top w:val="nil"/>
              <w:left w:val="single" w:sz="4" w:space="0" w:color="auto"/>
              <w:bottom w:val="single" w:sz="4" w:space="0" w:color="auto"/>
              <w:right w:val="single" w:sz="4" w:space="0" w:color="auto"/>
            </w:tcBorders>
            <w:shd w:val="clear" w:color="000000" w:fill="FFFFFF"/>
            <w:vAlign w:val="center"/>
            <w:hideMark/>
          </w:tcPr>
          <w:p w14:paraId="70F2058A" w14:textId="77777777" w:rsidR="00081FAC" w:rsidRPr="00081FAC" w:rsidRDefault="00081FAC" w:rsidP="00081FAC">
            <w:pPr>
              <w:spacing w:after="0"/>
              <w:rPr>
                <w:rFonts w:eastAsia="Times New Roman" w:cs="Arial"/>
                <w:b/>
                <w:bCs/>
                <w:color w:val="000000"/>
                <w:sz w:val="20"/>
                <w:szCs w:val="20"/>
                <w:lang w:val="en-US"/>
              </w:rPr>
            </w:pPr>
            <w:r w:rsidRPr="00081FAC">
              <w:rPr>
                <w:rFonts w:eastAsia="Times New Roman" w:cs="Arial"/>
                <w:b/>
                <w:bCs/>
                <w:color w:val="000000"/>
                <w:sz w:val="20"/>
                <w:szCs w:val="20"/>
                <w:lang w:val="en-US"/>
              </w:rPr>
              <w:t> </w:t>
            </w:r>
          </w:p>
        </w:tc>
        <w:tc>
          <w:tcPr>
            <w:tcW w:w="7234" w:type="dxa"/>
            <w:tcBorders>
              <w:top w:val="nil"/>
              <w:left w:val="nil"/>
              <w:bottom w:val="single" w:sz="4" w:space="0" w:color="auto"/>
              <w:right w:val="single" w:sz="4" w:space="0" w:color="auto"/>
            </w:tcBorders>
            <w:shd w:val="clear" w:color="000000" w:fill="FFFFFF"/>
            <w:vAlign w:val="center"/>
            <w:hideMark/>
          </w:tcPr>
          <w:p w14:paraId="0FCB615E" w14:textId="77777777" w:rsidR="00081FAC" w:rsidRPr="00081FAC" w:rsidRDefault="00081FAC" w:rsidP="00081FAC">
            <w:pPr>
              <w:spacing w:after="0"/>
              <w:rPr>
                <w:rFonts w:eastAsia="Times New Roman" w:cs="Arial"/>
                <w:color w:val="000000"/>
                <w:szCs w:val="22"/>
                <w:lang w:val="en-US"/>
              </w:rPr>
            </w:pPr>
            <w:r w:rsidRPr="00081FAC">
              <w:rPr>
                <w:rFonts w:eastAsia="Times New Roman" w:cs="Arial"/>
                <w:color w:val="000000"/>
                <w:szCs w:val="22"/>
                <w:lang w:val="en-US"/>
              </w:rPr>
              <w:t> </w:t>
            </w:r>
          </w:p>
        </w:tc>
        <w:tc>
          <w:tcPr>
            <w:tcW w:w="1620" w:type="dxa"/>
            <w:tcBorders>
              <w:top w:val="nil"/>
              <w:left w:val="nil"/>
              <w:bottom w:val="single" w:sz="4" w:space="0" w:color="auto"/>
              <w:right w:val="single" w:sz="8" w:space="0" w:color="auto"/>
            </w:tcBorders>
            <w:shd w:val="clear" w:color="000000" w:fill="FFFFFF"/>
            <w:vAlign w:val="center"/>
            <w:hideMark/>
          </w:tcPr>
          <w:p w14:paraId="08630BB9" w14:textId="77777777" w:rsidR="00081FAC" w:rsidRPr="00081FAC" w:rsidRDefault="00081FAC" w:rsidP="00081FAC">
            <w:pPr>
              <w:spacing w:after="0"/>
              <w:rPr>
                <w:rFonts w:eastAsia="Times New Roman" w:cs="Arial"/>
                <w:color w:val="000000"/>
                <w:szCs w:val="22"/>
                <w:lang w:val="en-US"/>
              </w:rPr>
            </w:pPr>
            <w:r w:rsidRPr="00081FAC">
              <w:rPr>
                <w:rFonts w:eastAsia="Times New Roman" w:cs="Arial"/>
                <w:color w:val="000000"/>
                <w:szCs w:val="22"/>
                <w:lang w:val="en-US"/>
              </w:rPr>
              <w:t> </w:t>
            </w:r>
          </w:p>
        </w:tc>
      </w:tr>
      <w:tr w:rsidR="00081FAC" w:rsidRPr="00081FAC" w14:paraId="35D05CC5" w14:textId="77777777" w:rsidTr="00081FAC">
        <w:trPr>
          <w:trHeight w:val="300"/>
        </w:trPr>
        <w:tc>
          <w:tcPr>
            <w:tcW w:w="2786" w:type="dxa"/>
            <w:tcBorders>
              <w:top w:val="nil"/>
              <w:left w:val="single" w:sz="4" w:space="0" w:color="auto"/>
              <w:bottom w:val="nil"/>
              <w:right w:val="single" w:sz="4" w:space="0" w:color="auto"/>
            </w:tcBorders>
            <w:shd w:val="clear" w:color="000000" w:fill="FFFFFF"/>
            <w:vAlign w:val="center"/>
            <w:hideMark/>
          </w:tcPr>
          <w:p w14:paraId="638D0110" w14:textId="77777777" w:rsidR="00081FAC" w:rsidRPr="00081FAC" w:rsidRDefault="00081FAC" w:rsidP="00081FAC">
            <w:pPr>
              <w:spacing w:after="0"/>
              <w:rPr>
                <w:rFonts w:eastAsia="Times New Roman" w:cs="Arial"/>
                <w:b/>
                <w:bCs/>
                <w:color w:val="000000"/>
                <w:szCs w:val="22"/>
                <w:lang w:val="en-US"/>
              </w:rPr>
            </w:pPr>
            <w:r w:rsidRPr="00081FAC">
              <w:rPr>
                <w:rFonts w:eastAsia="Times New Roman" w:cs="Arial"/>
                <w:b/>
                <w:bCs/>
                <w:color w:val="000000"/>
                <w:szCs w:val="22"/>
                <w:lang w:val="en-US"/>
              </w:rPr>
              <w:t>DPC (7%)</w:t>
            </w:r>
          </w:p>
        </w:tc>
        <w:tc>
          <w:tcPr>
            <w:tcW w:w="7234" w:type="dxa"/>
            <w:tcBorders>
              <w:top w:val="nil"/>
              <w:left w:val="nil"/>
              <w:bottom w:val="nil"/>
              <w:right w:val="single" w:sz="4" w:space="0" w:color="auto"/>
            </w:tcBorders>
            <w:shd w:val="clear" w:color="000000" w:fill="FFFFFF"/>
            <w:vAlign w:val="center"/>
            <w:hideMark/>
          </w:tcPr>
          <w:p w14:paraId="336EAA84" w14:textId="77777777" w:rsidR="00081FAC" w:rsidRPr="00081FAC" w:rsidRDefault="00081FAC" w:rsidP="00081FAC">
            <w:pPr>
              <w:spacing w:after="0"/>
              <w:rPr>
                <w:rFonts w:eastAsia="Times New Roman" w:cs="Arial"/>
                <w:b/>
                <w:bCs/>
                <w:color w:val="000000"/>
                <w:szCs w:val="22"/>
                <w:lang w:val="en-US"/>
              </w:rPr>
            </w:pPr>
            <w:r w:rsidRPr="00081FAC">
              <w:rPr>
                <w:rFonts w:eastAsia="Times New Roman" w:cs="Arial"/>
                <w:b/>
                <w:bCs/>
                <w:color w:val="000000"/>
                <w:szCs w:val="22"/>
                <w:lang w:val="en-US"/>
              </w:rPr>
              <w:t> </w:t>
            </w:r>
          </w:p>
        </w:tc>
        <w:tc>
          <w:tcPr>
            <w:tcW w:w="1620" w:type="dxa"/>
            <w:tcBorders>
              <w:top w:val="nil"/>
              <w:left w:val="nil"/>
              <w:bottom w:val="nil"/>
              <w:right w:val="single" w:sz="8" w:space="0" w:color="auto"/>
            </w:tcBorders>
            <w:shd w:val="clear" w:color="auto" w:fill="auto"/>
            <w:noWrap/>
            <w:vAlign w:val="center"/>
            <w:hideMark/>
          </w:tcPr>
          <w:p w14:paraId="37904C6A" w14:textId="77777777" w:rsidR="00081FAC" w:rsidRPr="00081FAC" w:rsidRDefault="00081FAC" w:rsidP="00081FAC">
            <w:pPr>
              <w:spacing w:after="0"/>
              <w:jc w:val="left"/>
              <w:rPr>
                <w:rFonts w:ascii="Calibri" w:eastAsia="Times New Roman" w:hAnsi="Calibri" w:cs="Calibri"/>
                <w:b/>
                <w:bCs/>
                <w:color w:val="000000"/>
                <w:szCs w:val="22"/>
                <w:lang w:val="en-US"/>
              </w:rPr>
            </w:pPr>
            <w:r w:rsidRPr="00081FAC">
              <w:rPr>
                <w:rFonts w:ascii="Calibri" w:eastAsia="Times New Roman" w:hAnsi="Calibri" w:cs="Calibri"/>
                <w:b/>
                <w:bCs/>
                <w:color w:val="000000"/>
                <w:szCs w:val="22"/>
                <w:lang w:val="en-US"/>
              </w:rPr>
              <w:t xml:space="preserve">            27,650.00 </w:t>
            </w:r>
          </w:p>
        </w:tc>
      </w:tr>
      <w:tr w:rsidR="00081FAC" w:rsidRPr="00081FAC" w14:paraId="79A9E133" w14:textId="77777777" w:rsidTr="00081FAC">
        <w:trPr>
          <w:trHeight w:val="320"/>
        </w:trPr>
        <w:tc>
          <w:tcPr>
            <w:tcW w:w="2786" w:type="dxa"/>
            <w:tcBorders>
              <w:top w:val="single" w:sz="8" w:space="0" w:color="auto"/>
              <w:left w:val="single" w:sz="8" w:space="0" w:color="auto"/>
              <w:bottom w:val="single" w:sz="8" w:space="0" w:color="auto"/>
              <w:right w:val="single" w:sz="8" w:space="0" w:color="auto"/>
            </w:tcBorders>
            <w:shd w:val="clear" w:color="000000" w:fill="CCCCCC"/>
            <w:vAlign w:val="center"/>
            <w:hideMark/>
          </w:tcPr>
          <w:p w14:paraId="1583B860" w14:textId="77777777" w:rsidR="00081FAC" w:rsidRPr="00081FAC" w:rsidRDefault="00081FAC" w:rsidP="00081FAC">
            <w:pPr>
              <w:spacing w:after="0"/>
              <w:rPr>
                <w:rFonts w:eastAsia="Times New Roman" w:cs="Arial"/>
                <w:b/>
                <w:bCs/>
                <w:color w:val="000000"/>
                <w:szCs w:val="22"/>
                <w:lang w:val="en-US"/>
              </w:rPr>
            </w:pPr>
            <w:r w:rsidRPr="00081FAC">
              <w:rPr>
                <w:rFonts w:eastAsia="Times New Roman" w:cs="Arial"/>
                <w:b/>
                <w:bCs/>
                <w:color w:val="000000"/>
                <w:szCs w:val="22"/>
                <w:lang w:val="en-US"/>
              </w:rPr>
              <w:t>TOTAL</w:t>
            </w:r>
          </w:p>
        </w:tc>
        <w:tc>
          <w:tcPr>
            <w:tcW w:w="7234" w:type="dxa"/>
            <w:tcBorders>
              <w:top w:val="single" w:sz="8" w:space="0" w:color="auto"/>
              <w:left w:val="nil"/>
              <w:bottom w:val="single" w:sz="8" w:space="0" w:color="auto"/>
              <w:right w:val="nil"/>
            </w:tcBorders>
            <w:shd w:val="clear" w:color="000000" w:fill="CCCCCC"/>
            <w:vAlign w:val="center"/>
            <w:hideMark/>
          </w:tcPr>
          <w:p w14:paraId="7945074C" w14:textId="77777777" w:rsidR="00081FAC" w:rsidRPr="00081FAC" w:rsidRDefault="00081FAC" w:rsidP="00081FAC">
            <w:pPr>
              <w:spacing w:after="0"/>
              <w:rPr>
                <w:rFonts w:eastAsia="Times New Roman" w:cs="Arial"/>
                <w:color w:val="000000"/>
                <w:szCs w:val="22"/>
                <w:lang w:val="en-US"/>
              </w:rPr>
            </w:pPr>
            <w:r w:rsidRPr="00081FAC">
              <w:rPr>
                <w:rFonts w:eastAsia="Times New Roman" w:cs="Arial"/>
                <w:color w:val="000000"/>
                <w:szCs w:val="22"/>
                <w:lang w:val="en-US"/>
              </w:rPr>
              <w:t> </w:t>
            </w:r>
          </w:p>
        </w:tc>
        <w:tc>
          <w:tcPr>
            <w:tcW w:w="1620"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6835F94D" w14:textId="77777777" w:rsidR="00081FAC" w:rsidRPr="00081FAC" w:rsidRDefault="00081FAC" w:rsidP="00081FAC">
            <w:pPr>
              <w:spacing w:after="0"/>
              <w:rPr>
                <w:rFonts w:eastAsia="Times New Roman" w:cs="Arial"/>
                <w:b/>
                <w:bCs/>
                <w:color w:val="000000"/>
                <w:sz w:val="24"/>
                <w:lang w:val="en-US"/>
              </w:rPr>
            </w:pPr>
            <w:r w:rsidRPr="00081FAC">
              <w:rPr>
                <w:rFonts w:eastAsia="Times New Roman" w:cs="Arial"/>
                <w:b/>
                <w:bCs/>
                <w:color w:val="000000"/>
                <w:sz w:val="24"/>
                <w:lang w:val="en-US"/>
              </w:rPr>
              <w:t xml:space="preserve">    422,650.00 </w:t>
            </w:r>
          </w:p>
        </w:tc>
      </w:tr>
    </w:tbl>
    <w:p w14:paraId="14188577" w14:textId="77777777" w:rsidR="002B5E98" w:rsidRDefault="002B5E98" w:rsidP="007A0060">
      <w:pPr>
        <w:spacing w:line="276" w:lineRule="auto"/>
        <w:rPr>
          <w:rFonts w:cs="Arial"/>
        </w:rPr>
      </w:pPr>
    </w:p>
    <w:p w14:paraId="1CF1831F" w14:textId="77777777" w:rsidR="002B5E98" w:rsidRDefault="002B5E98" w:rsidP="007A0060">
      <w:pPr>
        <w:spacing w:line="276" w:lineRule="auto"/>
        <w:rPr>
          <w:rFonts w:cs="Arial"/>
        </w:rPr>
      </w:pPr>
    </w:p>
    <w:p w14:paraId="4BAB6B7D" w14:textId="77777777" w:rsidR="002B5E98" w:rsidRDefault="002B5E98" w:rsidP="007A0060">
      <w:pPr>
        <w:spacing w:line="276" w:lineRule="auto"/>
        <w:rPr>
          <w:rFonts w:cs="Arial"/>
        </w:rPr>
      </w:pPr>
    </w:p>
    <w:p w14:paraId="7590A6E6" w14:textId="77777777" w:rsidR="002B5E98" w:rsidRDefault="002B5E98" w:rsidP="007A0060">
      <w:pPr>
        <w:spacing w:line="276" w:lineRule="auto"/>
        <w:rPr>
          <w:rFonts w:cs="Arial"/>
        </w:rPr>
      </w:pPr>
    </w:p>
    <w:p w14:paraId="76C89C89" w14:textId="77777777" w:rsidR="002B5E98" w:rsidRDefault="002B5E98" w:rsidP="007A0060">
      <w:pPr>
        <w:spacing w:line="276" w:lineRule="auto"/>
        <w:rPr>
          <w:rFonts w:cs="Arial"/>
        </w:rPr>
      </w:pPr>
    </w:p>
    <w:p w14:paraId="3218D4CA" w14:textId="77777777" w:rsidR="002B5E98" w:rsidRDefault="002B5E98" w:rsidP="007A0060">
      <w:pPr>
        <w:spacing w:line="276" w:lineRule="auto"/>
        <w:rPr>
          <w:rFonts w:cs="Arial"/>
        </w:rPr>
      </w:pPr>
    </w:p>
    <w:p w14:paraId="25650732" w14:textId="092A2D4F" w:rsidR="4245EC3B" w:rsidRDefault="00086FCD" w:rsidP="007A0060">
      <w:pPr>
        <w:spacing w:line="276" w:lineRule="auto"/>
      </w:pPr>
      <w:r w:rsidRPr="4245EC3B">
        <w:rPr>
          <w:rFonts w:cs="Arial"/>
        </w:rPr>
        <w:t xml:space="preserve"> </w:t>
      </w:r>
    </w:p>
    <w:p w14:paraId="5778B561" w14:textId="7FF090B9" w:rsidR="000F42EE" w:rsidRPr="008B5186" w:rsidRDefault="000F42EE" w:rsidP="000F42EE">
      <w:pPr>
        <w:pStyle w:val="Heading1"/>
      </w:pPr>
      <w:r>
        <w:t>Monitoring And Evaluation</w:t>
      </w:r>
    </w:p>
    <w:p w14:paraId="5D550B54" w14:textId="54B40D25" w:rsidR="00077F50" w:rsidRDefault="000F42EE" w:rsidP="006913B2">
      <w:r>
        <w:t xml:space="preserve">In accordance with UNDP’s programming policies and procedures, the project will be monitored through the following monitoring and evaluation plans: </w:t>
      </w:r>
    </w:p>
    <w:p w14:paraId="1A693A62" w14:textId="77777777" w:rsidR="00055B0C" w:rsidRPr="006913B2" w:rsidRDefault="00055B0C" w:rsidP="006913B2">
      <w:pPr>
        <w:rPr>
          <w:i/>
        </w:rPr>
      </w:pPr>
    </w:p>
    <w:p w14:paraId="22A08AEE" w14:textId="77777777" w:rsidR="000F42EE" w:rsidRPr="00962FFA" w:rsidRDefault="000F42EE" w:rsidP="000F42EE">
      <w:pPr>
        <w:rPr>
          <w:b/>
          <w:sz w:val="24"/>
        </w:rPr>
      </w:pPr>
      <w:r w:rsidRPr="00962FFA">
        <w:rPr>
          <w:b/>
          <w:sz w:val="24"/>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501"/>
        <w:gridCol w:w="2048"/>
        <w:gridCol w:w="3364"/>
        <w:gridCol w:w="1692"/>
        <w:gridCol w:w="1164"/>
      </w:tblGrid>
      <w:tr w:rsidR="00F372F9" w14:paraId="17E4DA2A" w14:textId="77777777" w:rsidTr="00964F1E">
        <w:tc>
          <w:tcPr>
            <w:tcW w:w="2358" w:type="dxa"/>
            <w:shd w:val="clear" w:color="auto" w:fill="auto"/>
            <w:vAlign w:val="center"/>
          </w:tcPr>
          <w:p w14:paraId="17945022" w14:textId="77777777" w:rsidR="00F372F9" w:rsidRPr="00666B7D" w:rsidRDefault="00F372F9" w:rsidP="00964F1E">
            <w:pPr>
              <w:spacing w:after="0"/>
              <w:jc w:val="center"/>
              <w:rPr>
                <w:b/>
              </w:rPr>
            </w:pPr>
            <w:r w:rsidRPr="00666B7D">
              <w:rPr>
                <w:b/>
              </w:rPr>
              <w:t>Monitoring Activity</w:t>
            </w:r>
          </w:p>
        </w:tc>
        <w:tc>
          <w:tcPr>
            <w:tcW w:w="4590" w:type="dxa"/>
            <w:shd w:val="clear" w:color="auto" w:fill="auto"/>
            <w:vAlign w:val="center"/>
          </w:tcPr>
          <w:p w14:paraId="2FD2F681" w14:textId="77777777" w:rsidR="00F372F9" w:rsidRPr="00666B7D" w:rsidRDefault="00F372F9" w:rsidP="00964F1E">
            <w:pPr>
              <w:spacing w:after="0"/>
              <w:jc w:val="center"/>
              <w:rPr>
                <w:b/>
              </w:rPr>
            </w:pPr>
            <w:r w:rsidRPr="00666B7D">
              <w:rPr>
                <w:b/>
              </w:rPr>
              <w:t>Purpose</w:t>
            </w:r>
          </w:p>
        </w:tc>
        <w:tc>
          <w:tcPr>
            <w:tcW w:w="2070" w:type="dxa"/>
            <w:shd w:val="clear" w:color="auto" w:fill="auto"/>
            <w:vAlign w:val="center"/>
          </w:tcPr>
          <w:p w14:paraId="4B4777A6" w14:textId="77777777" w:rsidR="00F372F9" w:rsidRPr="00666B7D" w:rsidRDefault="00F372F9" w:rsidP="00964F1E">
            <w:pPr>
              <w:spacing w:after="0"/>
              <w:jc w:val="center"/>
              <w:rPr>
                <w:b/>
              </w:rPr>
            </w:pPr>
            <w:r w:rsidRPr="00666B7D">
              <w:rPr>
                <w:b/>
              </w:rPr>
              <w:t>Frequency</w:t>
            </w:r>
          </w:p>
        </w:tc>
        <w:tc>
          <w:tcPr>
            <w:tcW w:w="3420" w:type="dxa"/>
            <w:shd w:val="clear" w:color="auto" w:fill="auto"/>
            <w:vAlign w:val="center"/>
          </w:tcPr>
          <w:p w14:paraId="0FC5EB68" w14:textId="77777777" w:rsidR="00F372F9" w:rsidRPr="00666B7D" w:rsidRDefault="00F372F9" w:rsidP="00964F1E">
            <w:pPr>
              <w:spacing w:after="0"/>
              <w:jc w:val="center"/>
              <w:rPr>
                <w:b/>
              </w:rPr>
            </w:pPr>
            <w:r w:rsidRPr="00666B7D">
              <w:rPr>
                <w:b/>
              </w:rPr>
              <w:t>Expected Action</w:t>
            </w:r>
          </w:p>
        </w:tc>
        <w:tc>
          <w:tcPr>
            <w:tcW w:w="1710" w:type="dxa"/>
            <w:shd w:val="clear" w:color="auto" w:fill="auto"/>
            <w:vAlign w:val="center"/>
          </w:tcPr>
          <w:p w14:paraId="36E4AEED" w14:textId="77777777" w:rsidR="00F372F9" w:rsidRPr="00666B7D" w:rsidRDefault="00F372F9" w:rsidP="00964F1E">
            <w:pPr>
              <w:spacing w:after="0"/>
              <w:jc w:val="center"/>
              <w:rPr>
                <w:b/>
              </w:rPr>
            </w:pPr>
            <w:r w:rsidRPr="00666B7D">
              <w:rPr>
                <w:b/>
              </w:rPr>
              <w:t xml:space="preserve">Partners </w:t>
            </w:r>
          </w:p>
          <w:p w14:paraId="7E179223" w14:textId="77777777" w:rsidR="00F372F9" w:rsidRPr="00666B7D" w:rsidRDefault="00F372F9" w:rsidP="00964F1E">
            <w:pPr>
              <w:spacing w:after="0"/>
              <w:jc w:val="center"/>
              <w:rPr>
                <w:b/>
              </w:rPr>
            </w:pPr>
            <w:r w:rsidRPr="00666B7D">
              <w:rPr>
                <w:b/>
              </w:rPr>
              <w:t>(if joint)</w:t>
            </w:r>
          </w:p>
        </w:tc>
        <w:tc>
          <w:tcPr>
            <w:tcW w:w="1178" w:type="dxa"/>
            <w:shd w:val="clear" w:color="auto" w:fill="auto"/>
            <w:vAlign w:val="center"/>
          </w:tcPr>
          <w:p w14:paraId="694E32F6" w14:textId="77777777" w:rsidR="00F372F9" w:rsidRPr="00666B7D" w:rsidRDefault="00F372F9" w:rsidP="00964F1E">
            <w:pPr>
              <w:spacing w:after="0"/>
              <w:jc w:val="center"/>
              <w:rPr>
                <w:b/>
              </w:rPr>
            </w:pPr>
            <w:r w:rsidRPr="00666B7D">
              <w:rPr>
                <w:b/>
              </w:rPr>
              <w:t xml:space="preserve">Cost </w:t>
            </w:r>
          </w:p>
          <w:p w14:paraId="7805F715" w14:textId="77777777" w:rsidR="00F372F9" w:rsidRPr="00666B7D" w:rsidRDefault="00F372F9" w:rsidP="00964F1E">
            <w:pPr>
              <w:spacing w:after="0"/>
              <w:jc w:val="center"/>
              <w:rPr>
                <w:b/>
              </w:rPr>
            </w:pPr>
            <w:r w:rsidRPr="00666B7D">
              <w:rPr>
                <w:b/>
              </w:rPr>
              <w:t>(if any)</w:t>
            </w:r>
          </w:p>
        </w:tc>
      </w:tr>
      <w:tr w:rsidR="00F372F9" w14:paraId="13D6C21D" w14:textId="77777777" w:rsidTr="00964F1E">
        <w:tc>
          <w:tcPr>
            <w:tcW w:w="2358" w:type="dxa"/>
            <w:shd w:val="clear" w:color="auto" w:fill="auto"/>
            <w:vAlign w:val="center"/>
          </w:tcPr>
          <w:p w14:paraId="419248B6" w14:textId="77777777" w:rsidR="00F372F9" w:rsidRPr="00666B7D" w:rsidRDefault="00F372F9" w:rsidP="00964F1E">
            <w:pPr>
              <w:spacing w:after="0"/>
              <w:jc w:val="left"/>
              <w:rPr>
                <w:b/>
              </w:rPr>
            </w:pPr>
            <w:r w:rsidRPr="00666B7D">
              <w:rPr>
                <w:b/>
              </w:rPr>
              <w:t>Track results progress</w:t>
            </w:r>
          </w:p>
        </w:tc>
        <w:tc>
          <w:tcPr>
            <w:tcW w:w="4590" w:type="dxa"/>
            <w:shd w:val="clear" w:color="auto" w:fill="auto"/>
          </w:tcPr>
          <w:p w14:paraId="23FC4496" w14:textId="77777777" w:rsidR="00F372F9" w:rsidRDefault="00F372F9" w:rsidP="00964F1E">
            <w:pPr>
              <w:spacing w:after="0"/>
              <w:jc w:val="left"/>
            </w:pPr>
            <w:r w:rsidRPr="00666B7D">
              <w:rPr>
                <w:rFonts w:cs="Arial"/>
                <w:szCs w:val="22"/>
              </w:rPr>
              <w:t>Progress data against the results indicators in the RRF will be collected and analysed to assess the progress of the project in achieving the agreed outputs.</w:t>
            </w:r>
          </w:p>
        </w:tc>
        <w:tc>
          <w:tcPr>
            <w:tcW w:w="2070" w:type="dxa"/>
            <w:shd w:val="clear" w:color="auto" w:fill="auto"/>
          </w:tcPr>
          <w:p w14:paraId="1FDFF97F" w14:textId="77777777" w:rsidR="00F372F9" w:rsidRDefault="00F372F9" w:rsidP="00964F1E">
            <w:pPr>
              <w:spacing w:after="0"/>
              <w:jc w:val="left"/>
            </w:pPr>
            <w:r>
              <w:t>Quarterly, or in the frequency required for each indicator.</w:t>
            </w:r>
          </w:p>
        </w:tc>
        <w:tc>
          <w:tcPr>
            <w:tcW w:w="3420" w:type="dxa"/>
            <w:shd w:val="clear" w:color="auto" w:fill="auto"/>
          </w:tcPr>
          <w:p w14:paraId="6E735028" w14:textId="77777777" w:rsidR="00F372F9" w:rsidRDefault="00F372F9" w:rsidP="00964F1E">
            <w:pPr>
              <w:spacing w:after="0"/>
              <w:jc w:val="left"/>
            </w:pPr>
            <w:r w:rsidRPr="00666B7D">
              <w:rPr>
                <w:rFonts w:cs="Arial"/>
                <w:szCs w:val="22"/>
              </w:rPr>
              <w:t>Slower than expected progress will be addressed by project management.</w:t>
            </w:r>
          </w:p>
        </w:tc>
        <w:tc>
          <w:tcPr>
            <w:tcW w:w="1710" w:type="dxa"/>
            <w:shd w:val="clear" w:color="auto" w:fill="auto"/>
          </w:tcPr>
          <w:p w14:paraId="4918C530" w14:textId="27CACEC1" w:rsidR="00F372F9" w:rsidRDefault="00F372F9" w:rsidP="00964F1E">
            <w:pPr>
              <w:spacing w:after="0"/>
            </w:pPr>
          </w:p>
        </w:tc>
        <w:tc>
          <w:tcPr>
            <w:tcW w:w="1178" w:type="dxa"/>
            <w:shd w:val="clear" w:color="auto" w:fill="auto"/>
          </w:tcPr>
          <w:p w14:paraId="56519BE7" w14:textId="77777777" w:rsidR="00F372F9" w:rsidRDefault="00F372F9" w:rsidP="00964F1E">
            <w:pPr>
              <w:spacing w:after="0"/>
            </w:pPr>
          </w:p>
        </w:tc>
      </w:tr>
      <w:tr w:rsidR="00F372F9" w14:paraId="07187817" w14:textId="77777777" w:rsidTr="00964F1E">
        <w:tc>
          <w:tcPr>
            <w:tcW w:w="2358" w:type="dxa"/>
            <w:shd w:val="clear" w:color="auto" w:fill="auto"/>
            <w:vAlign w:val="center"/>
          </w:tcPr>
          <w:p w14:paraId="30E19A2B" w14:textId="77777777" w:rsidR="00F372F9" w:rsidRPr="00666B7D" w:rsidRDefault="00F372F9" w:rsidP="00964F1E">
            <w:pPr>
              <w:spacing w:after="0"/>
              <w:jc w:val="left"/>
              <w:rPr>
                <w:b/>
              </w:rPr>
            </w:pPr>
            <w:r w:rsidRPr="00666B7D">
              <w:rPr>
                <w:b/>
              </w:rPr>
              <w:t>Monitor and Manage Risk</w:t>
            </w:r>
          </w:p>
        </w:tc>
        <w:tc>
          <w:tcPr>
            <w:tcW w:w="4590" w:type="dxa"/>
            <w:shd w:val="clear" w:color="auto" w:fill="auto"/>
          </w:tcPr>
          <w:p w14:paraId="59E42FF9" w14:textId="77777777" w:rsidR="00F372F9" w:rsidRPr="00666B7D" w:rsidRDefault="00F372F9" w:rsidP="00964F1E">
            <w:pPr>
              <w:spacing w:after="0"/>
              <w:jc w:val="left"/>
              <w:rPr>
                <w:rFonts w:cs="Arial"/>
                <w:szCs w:val="22"/>
                <w:lang w:val="en-US"/>
              </w:rPr>
            </w:pPr>
            <w:r>
              <w:t xml:space="preserve">Identify specific risks that may threaten achievement of intended results. Identify and monitor risk management actions using a risk log. </w:t>
            </w:r>
            <w:r w:rsidRPr="00666B7D">
              <w:rPr>
                <w:rFonts w:cs="Arial"/>
                <w:szCs w:val="22"/>
                <w:lang w:val="en-US"/>
              </w:rPr>
              <w:t>This includes monitoring measures and plans that may have been required as per UNDP’s Social and Environmental Standards. Audits will be conducted in accordance with UNDP’s audit policy to manage financial risk.</w:t>
            </w:r>
          </w:p>
        </w:tc>
        <w:tc>
          <w:tcPr>
            <w:tcW w:w="2070" w:type="dxa"/>
            <w:shd w:val="clear" w:color="auto" w:fill="auto"/>
            <w:vAlign w:val="center"/>
          </w:tcPr>
          <w:p w14:paraId="221140D2" w14:textId="77777777" w:rsidR="00F372F9" w:rsidRDefault="00F372F9" w:rsidP="00964F1E">
            <w:pPr>
              <w:spacing w:after="0"/>
              <w:jc w:val="center"/>
            </w:pPr>
            <w:r>
              <w:t>Quarterly</w:t>
            </w:r>
          </w:p>
        </w:tc>
        <w:tc>
          <w:tcPr>
            <w:tcW w:w="3420" w:type="dxa"/>
            <w:shd w:val="clear" w:color="auto" w:fill="auto"/>
          </w:tcPr>
          <w:p w14:paraId="0AF07835" w14:textId="77777777" w:rsidR="00F372F9" w:rsidRDefault="00F372F9" w:rsidP="00964F1E">
            <w:pPr>
              <w:spacing w:after="0"/>
              <w:jc w:val="left"/>
            </w:pPr>
            <w:r>
              <w:t>Risks are identified by project management and actions are taken to manage risk. The risk log is actively maintained to keep track of identified risks and actions taken.</w:t>
            </w:r>
          </w:p>
        </w:tc>
        <w:tc>
          <w:tcPr>
            <w:tcW w:w="1710" w:type="dxa"/>
            <w:shd w:val="clear" w:color="auto" w:fill="auto"/>
          </w:tcPr>
          <w:p w14:paraId="46403A68" w14:textId="77777777" w:rsidR="00F372F9" w:rsidRDefault="00F372F9" w:rsidP="00964F1E">
            <w:pPr>
              <w:spacing w:after="0"/>
            </w:pPr>
          </w:p>
        </w:tc>
        <w:tc>
          <w:tcPr>
            <w:tcW w:w="1178" w:type="dxa"/>
            <w:shd w:val="clear" w:color="auto" w:fill="auto"/>
          </w:tcPr>
          <w:p w14:paraId="290D879E" w14:textId="77777777" w:rsidR="00F372F9" w:rsidRDefault="00F372F9" w:rsidP="00964F1E">
            <w:pPr>
              <w:spacing w:after="0"/>
            </w:pPr>
          </w:p>
        </w:tc>
      </w:tr>
      <w:tr w:rsidR="00F372F9" w14:paraId="51A73DAE" w14:textId="77777777" w:rsidTr="00964F1E">
        <w:tc>
          <w:tcPr>
            <w:tcW w:w="2358" w:type="dxa"/>
            <w:shd w:val="clear" w:color="auto" w:fill="auto"/>
            <w:vAlign w:val="center"/>
          </w:tcPr>
          <w:p w14:paraId="50C3CCF7" w14:textId="77777777" w:rsidR="00F372F9" w:rsidRPr="00666B7D" w:rsidRDefault="00F372F9" w:rsidP="00964F1E">
            <w:pPr>
              <w:spacing w:after="0"/>
              <w:jc w:val="left"/>
              <w:rPr>
                <w:b/>
              </w:rPr>
            </w:pPr>
            <w:r w:rsidRPr="00666B7D">
              <w:rPr>
                <w:b/>
              </w:rPr>
              <w:t xml:space="preserve">Learn </w:t>
            </w:r>
          </w:p>
        </w:tc>
        <w:tc>
          <w:tcPr>
            <w:tcW w:w="4590" w:type="dxa"/>
            <w:shd w:val="clear" w:color="auto" w:fill="auto"/>
            <w:vAlign w:val="center"/>
          </w:tcPr>
          <w:p w14:paraId="029B0BEE" w14:textId="77777777" w:rsidR="00F372F9" w:rsidRDefault="00F372F9" w:rsidP="00964F1E">
            <w:pPr>
              <w:spacing w:after="0"/>
              <w:jc w:val="left"/>
            </w:pPr>
            <w:r w:rsidRPr="00666B7D">
              <w:rPr>
                <w:rFonts w:cs="Arial"/>
                <w:szCs w:val="22"/>
                <w:lang w:val="en-US"/>
              </w:rPr>
              <w:t xml:space="preserve">Knowledge, good </w:t>
            </w:r>
            <w:proofErr w:type="gramStart"/>
            <w:r w:rsidRPr="00666B7D">
              <w:rPr>
                <w:rFonts w:cs="Arial"/>
                <w:szCs w:val="22"/>
                <w:lang w:val="en-US"/>
              </w:rPr>
              <w:t>practices</w:t>
            </w:r>
            <w:proofErr w:type="gramEnd"/>
            <w:r w:rsidRPr="00666B7D">
              <w:rPr>
                <w:rFonts w:cs="Arial"/>
                <w:szCs w:val="22"/>
                <w:lang w:val="en-US"/>
              </w:rPr>
              <w:t xml:space="preserve"> and lessons will be captured regularly, as well as actively sourced from other projects and partners and integrated back into the project.</w:t>
            </w:r>
          </w:p>
        </w:tc>
        <w:tc>
          <w:tcPr>
            <w:tcW w:w="2070" w:type="dxa"/>
            <w:shd w:val="clear" w:color="auto" w:fill="auto"/>
            <w:vAlign w:val="center"/>
          </w:tcPr>
          <w:p w14:paraId="11256807" w14:textId="50FD60DE" w:rsidR="00F372F9" w:rsidRDefault="00F372F9" w:rsidP="00964F1E">
            <w:pPr>
              <w:spacing w:after="0"/>
              <w:jc w:val="center"/>
            </w:pPr>
            <w:r>
              <w:t>Quarterly</w:t>
            </w:r>
          </w:p>
        </w:tc>
        <w:tc>
          <w:tcPr>
            <w:tcW w:w="3420" w:type="dxa"/>
            <w:shd w:val="clear" w:color="auto" w:fill="auto"/>
            <w:vAlign w:val="center"/>
          </w:tcPr>
          <w:p w14:paraId="6314A1B8" w14:textId="77777777" w:rsidR="00F372F9" w:rsidRDefault="00F372F9" w:rsidP="00964F1E">
            <w:pPr>
              <w:spacing w:after="0"/>
              <w:jc w:val="left"/>
            </w:pPr>
            <w:r>
              <w:t>Relevant lessons are captured by the project team and used to inform management decisions.</w:t>
            </w:r>
          </w:p>
        </w:tc>
        <w:tc>
          <w:tcPr>
            <w:tcW w:w="1710" w:type="dxa"/>
            <w:shd w:val="clear" w:color="auto" w:fill="auto"/>
          </w:tcPr>
          <w:p w14:paraId="298D0422" w14:textId="77777777" w:rsidR="00F372F9" w:rsidRDefault="00F372F9" w:rsidP="00964F1E">
            <w:pPr>
              <w:spacing w:after="0"/>
            </w:pPr>
          </w:p>
        </w:tc>
        <w:tc>
          <w:tcPr>
            <w:tcW w:w="1178" w:type="dxa"/>
            <w:shd w:val="clear" w:color="auto" w:fill="auto"/>
          </w:tcPr>
          <w:p w14:paraId="21E46299" w14:textId="77777777" w:rsidR="00F372F9" w:rsidRDefault="00F372F9" w:rsidP="00964F1E">
            <w:pPr>
              <w:spacing w:after="0"/>
            </w:pPr>
          </w:p>
        </w:tc>
      </w:tr>
      <w:tr w:rsidR="00F372F9" w14:paraId="59864AF2" w14:textId="77777777" w:rsidTr="00964F1E">
        <w:tc>
          <w:tcPr>
            <w:tcW w:w="2358" w:type="dxa"/>
            <w:shd w:val="clear" w:color="auto" w:fill="auto"/>
            <w:vAlign w:val="center"/>
          </w:tcPr>
          <w:p w14:paraId="17F61B99" w14:textId="77777777" w:rsidR="00F372F9" w:rsidRPr="00666B7D" w:rsidRDefault="00F372F9" w:rsidP="00964F1E">
            <w:pPr>
              <w:spacing w:after="0"/>
              <w:jc w:val="left"/>
              <w:rPr>
                <w:b/>
              </w:rPr>
            </w:pPr>
            <w:r w:rsidRPr="00666B7D">
              <w:rPr>
                <w:b/>
              </w:rPr>
              <w:t>Annual Project Quality Assurance</w:t>
            </w:r>
          </w:p>
        </w:tc>
        <w:tc>
          <w:tcPr>
            <w:tcW w:w="4590" w:type="dxa"/>
            <w:shd w:val="clear" w:color="auto" w:fill="auto"/>
            <w:vAlign w:val="center"/>
          </w:tcPr>
          <w:p w14:paraId="578D78D3" w14:textId="77777777" w:rsidR="00F372F9" w:rsidRPr="00666B7D" w:rsidRDefault="00F372F9" w:rsidP="00964F1E">
            <w:pPr>
              <w:spacing w:after="0"/>
              <w:jc w:val="left"/>
              <w:rPr>
                <w:rFonts w:cs="Arial"/>
                <w:szCs w:val="22"/>
                <w:lang w:val="en-US"/>
              </w:rPr>
            </w:pPr>
            <w:r w:rsidRPr="00666B7D">
              <w:rPr>
                <w:rFonts w:cs="Arial"/>
                <w:szCs w:val="22"/>
              </w:rPr>
              <w:t>The quality of the project will be assessed against UNDP’s quality standards to identify project strengths and weaknesses and to inform management decision making to improve the project.</w:t>
            </w:r>
          </w:p>
        </w:tc>
        <w:tc>
          <w:tcPr>
            <w:tcW w:w="2070" w:type="dxa"/>
            <w:shd w:val="clear" w:color="auto" w:fill="auto"/>
            <w:vAlign w:val="center"/>
          </w:tcPr>
          <w:p w14:paraId="696111FD" w14:textId="1D804C6A" w:rsidR="00F372F9" w:rsidRDefault="00F372F9" w:rsidP="00964F1E">
            <w:pPr>
              <w:spacing w:after="0"/>
              <w:jc w:val="center"/>
            </w:pPr>
            <w:r>
              <w:t>Quarterly</w:t>
            </w:r>
          </w:p>
        </w:tc>
        <w:tc>
          <w:tcPr>
            <w:tcW w:w="3420" w:type="dxa"/>
            <w:shd w:val="clear" w:color="auto" w:fill="auto"/>
            <w:vAlign w:val="center"/>
          </w:tcPr>
          <w:p w14:paraId="4BFC00DC" w14:textId="77777777" w:rsidR="00F372F9" w:rsidRDefault="00F372F9" w:rsidP="00964F1E">
            <w:pPr>
              <w:spacing w:after="0"/>
              <w:jc w:val="left"/>
            </w:pPr>
            <w:r>
              <w:t>Areas of strength and weakness will be reviewed by project management and used to inform decisions to improve project performance.</w:t>
            </w:r>
          </w:p>
        </w:tc>
        <w:tc>
          <w:tcPr>
            <w:tcW w:w="1710" w:type="dxa"/>
            <w:shd w:val="clear" w:color="auto" w:fill="auto"/>
          </w:tcPr>
          <w:p w14:paraId="1DB9CB9F" w14:textId="77777777" w:rsidR="00F372F9" w:rsidRDefault="00F372F9" w:rsidP="00964F1E">
            <w:pPr>
              <w:spacing w:after="0"/>
            </w:pPr>
          </w:p>
        </w:tc>
        <w:tc>
          <w:tcPr>
            <w:tcW w:w="1178" w:type="dxa"/>
            <w:shd w:val="clear" w:color="auto" w:fill="auto"/>
          </w:tcPr>
          <w:p w14:paraId="7BC5421D" w14:textId="77777777" w:rsidR="00F372F9" w:rsidRDefault="00F372F9" w:rsidP="00964F1E">
            <w:pPr>
              <w:spacing w:after="0"/>
            </w:pPr>
          </w:p>
        </w:tc>
      </w:tr>
      <w:tr w:rsidR="00F372F9" w14:paraId="49003144" w14:textId="77777777" w:rsidTr="00964F1E">
        <w:tc>
          <w:tcPr>
            <w:tcW w:w="2358" w:type="dxa"/>
            <w:shd w:val="clear" w:color="auto" w:fill="auto"/>
            <w:vAlign w:val="center"/>
          </w:tcPr>
          <w:p w14:paraId="0FF5FBDC" w14:textId="77777777" w:rsidR="00F372F9" w:rsidRPr="00666B7D" w:rsidRDefault="00F372F9" w:rsidP="00964F1E">
            <w:pPr>
              <w:spacing w:after="0"/>
              <w:jc w:val="left"/>
              <w:rPr>
                <w:b/>
              </w:rPr>
            </w:pPr>
            <w:r w:rsidRPr="00666B7D">
              <w:rPr>
                <w:b/>
              </w:rPr>
              <w:t>Review and Make Course Corrections</w:t>
            </w:r>
          </w:p>
        </w:tc>
        <w:tc>
          <w:tcPr>
            <w:tcW w:w="4590" w:type="dxa"/>
            <w:shd w:val="clear" w:color="auto" w:fill="auto"/>
            <w:vAlign w:val="center"/>
          </w:tcPr>
          <w:p w14:paraId="6ACBE782" w14:textId="77777777" w:rsidR="00F372F9" w:rsidRDefault="00F372F9" w:rsidP="00964F1E">
            <w:pPr>
              <w:spacing w:after="0"/>
              <w:jc w:val="left"/>
            </w:pPr>
            <w:r>
              <w:t>Internal review of data and evidence from all monitoring actions to inform decision making.</w:t>
            </w:r>
          </w:p>
        </w:tc>
        <w:tc>
          <w:tcPr>
            <w:tcW w:w="2070" w:type="dxa"/>
            <w:shd w:val="clear" w:color="auto" w:fill="auto"/>
            <w:vAlign w:val="center"/>
          </w:tcPr>
          <w:p w14:paraId="2B7D5619" w14:textId="4D8988AB" w:rsidR="00F372F9" w:rsidRDefault="00F372F9" w:rsidP="00964F1E">
            <w:pPr>
              <w:spacing w:after="0"/>
              <w:jc w:val="center"/>
            </w:pPr>
            <w:r>
              <w:t>Quarterly</w:t>
            </w:r>
          </w:p>
        </w:tc>
        <w:tc>
          <w:tcPr>
            <w:tcW w:w="3420" w:type="dxa"/>
            <w:shd w:val="clear" w:color="auto" w:fill="auto"/>
          </w:tcPr>
          <w:p w14:paraId="025CB7E8" w14:textId="77777777" w:rsidR="00F372F9" w:rsidRDefault="00F372F9" w:rsidP="00964F1E">
            <w:pPr>
              <w:spacing w:after="0"/>
              <w:jc w:val="left"/>
            </w:pPr>
            <w:r>
              <w:t xml:space="preserve">Performance data, risks, </w:t>
            </w:r>
            <w:proofErr w:type="gramStart"/>
            <w:r>
              <w:t>lessons</w:t>
            </w:r>
            <w:proofErr w:type="gramEnd"/>
            <w:r>
              <w:t xml:space="preserve"> and quality will be discussed by the project board and used to make course corrections.</w:t>
            </w:r>
          </w:p>
        </w:tc>
        <w:tc>
          <w:tcPr>
            <w:tcW w:w="1710" w:type="dxa"/>
            <w:shd w:val="clear" w:color="auto" w:fill="auto"/>
          </w:tcPr>
          <w:p w14:paraId="3A07E2F3" w14:textId="77777777" w:rsidR="00F372F9" w:rsidRDefault="00F372F9" w:rsidP="00964F1E">
            <w:pPr>
              <w:spacing w:after="0"/>
            </w:pPr>
          </w:p>
        </w:tc>
        <w:tc>
          <w:tcPr>
            <w:tcW w:w="1178" w:type="dxa"/>
            <w:shd w:val="clear" w:color="auto" w:fill="auto"/>
          </w:tcPr>
          <w:p w14:paraId="5B9A4970" w14:textId="77777777" w:rsidR="00F372F9" w:rsidRDefault="00F372F9" w:rsidP="00964F1E">
            <w:pPr>
              <w:spacing w:after="0"/>
            </w:pPr>
          </w:p>
        </w:tc>
      </w:tr>
      <w:tr w:rsidR="00F372F9" w14:paraId="71E58A3F" w14:textId="77777777" w:rsidTr="00964F1E">
        <w:tc>
          <w:tcPr>
            <w:tcW w:w="2358" w:type="dxa"/>
            <w:shd w:val="clear" w:color="auto" w:fill="auto"/>
            <w:vAlign w:val="center"/>
          </w:tcPr>
          <w:p w14:paraId="276EE6E7" w14:textId="77777777" w:rsidR="00F372F9" w:rsidRPr="00666B7D" w:rsidRDefault="00F372F9" w:rsidP="00964F1E">
            <w:pPr>
              <w:spacing w:after="0"/>
              <w:jc w:val="left"/>
              <w:rPr>
                <w:b/>
              </w:rPr>
            </w:pPr>
            <w:r w:rsidRPr="00666B7D">
              <w:rPr>
                <w:b/>
              </w:rPr>
              <w:t>Project Report</w:t>
            </w:r>
          </w:p>
        </w:tc>
        <w:tc>
          <w:tcPr>
            <w:tcW w:w="4590" w:type="dxa"/>
            <w:shd w:val="clear" w:color="auto" w:fill="auto"/>
            <w:vAlign w:val="center"/>
          </w:tcPr>
          <w:p w14:paraId="649D06A7" w14:textId="77777777" w:rsidR="00F372F9" w:rsidRDefault="00F372F9" w:rsidP="00964F1E">
            <w:pPr>
              <w:spacing w:after="0"/>
              <w:jc w:val="left"/>
            </w:pPr>
            <w:r w:rsidRPr="00666B7D">
              <w:rPr>
                <w:rFonts w:cs="Arial"/>
                <w:szCs w:val="22"/>
                <w:lang w:val="en-US"/>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070" w:type="dxa"/>
            <w:shd w:val="clear" w:color="auto" w:fill="auto"/>
            <w:vAlign w:val="center"/>
          </w:tcPr>
          <w:p w14:paraId="77153398" w14:textId="5CFAD766" w:rsidR="00F372F9" w:rsidRDefault="00F372F9" w:rsidP="00964F1E">
            <w:pPr>
              <w:spacing w:after="0"/>
              <w:jc w:val="center"/>
            </w:pPr>
            <w:r>
              <w:t xml:space="preserve">Annually, </w:t>
            </w:r>
            <w:r>
              <w:t>f</w:t>
            </w:r>
            <w:r w:rsidR="00250747">
              <w:t>inal evaluation</w:t>
            </w:r>
          </w:p>
        </w:tc>
        <w:tc>
          <w:tcPr>
            <w:tcW w:w="3420" w:type="dxa"/>
            <w:shd w:val="clear" w:color="auto" w:fill="auto"/>
          </w:tcPr>
          <w:p w14:paraId="036942E3" w14:textId="77777777" w:rsidR="00F372F9" w:rsidRDefault="00F372F9" w:rsidP="00964F1E">
            <w:pPr>
              <w:spacing w:after="0"/>
            </w:pPr>
          </w:p>
        </w:tc>
        <w:tc>
          <w:tcPr>
            <w:tcW w:w="1710" w:type="dxa"/>
            <w:shd w:val="clear" w:color="auto" w:fill="auto"/>
          </w:tcPr>
          <w:p w14:paraId="0AA40862" w14:textId="2B7A7625" w:rsidR="00F372F9" w:rsidRDefault="00F372F9" w:rsidP="00964F1E">
            <w:pPr>
              <w:spacing w:after="0"/>
            </w:pPr>
          </w:p>
        </w:tc>
        <w:tc>
          <w:tcPr>
            <w:tcW w:w="1178" w:type="dxa"/>
            <w:shd w:val="clear" w:color="auto" w:fill="auto"/>
          </w:tcPr>
          <w:p w14:paraId="51E24E60" w14:textId="77777777" w:rsidR="00F372F9" w:rsidRDefault="00F372F9" w:rsidP="00964F1E">
            <w:pPr>
              <w:spacing w:after="0"/>
            </w:pPr>
          </w:p>
        </w:tc>
      </w:tr>
      <w:tr w:rsidR="00F372F9" w14:paraId="494D07E7" w14:textId="77777777" w:rsidTr="00964F1E">
        <w:tc>
          <w:tcPr>
            <w:tcW w:w="2358" w:type="dxa"/>
            <w:shd w:val="clear" w:color="auto" w:fill="auto"/>
            <w:vAlign w:val="center"/>
          </w:tcPr>
          <w:p w14:paraId="0DF576C5" w14:textId="77777777" w:rsidR="00F372F9" w:rsidRPr="00666B7D" w:rsidRDefault="00F372F9" w:rsidP="00964F1E">
            <w:pPr>
              <w:spacing w:after="0"/>
              <w:jc w:val="left"/>
              <w:rPr>
                <w:b/>
              </w:rPr>
            </w:pPr>
            <w:r w:rsidRPr="00666B7D">
              <w:rPr>
                <w:b/>
              </w:rPr>
              <w:t>Project Review (Project Board)</w:t>
            </w:r>
          </w:p>
        </w:tc>
        <w:tc>
          <w:tcPr>
            <w:tcW w:w="4590" w:type="dxa"/>
            <w:shd w:val="clear" w:color="auto" w:fill="auto"/>
            <w:vAlign w:val="center"/>
          </w:tcPr>
          <w:p w14:paraId="1CDA1BFD" w14:textId="77777777" w:rsidR="00F372F9" w:rsidRDefault="00F372F9" w:rsidP="00964F1E">
            <w:pPr>
              <w:spacing w:after="0"/>
              <w:jc w:val="left"/>
            </w:pPr>
            <w:r w:rsidRPr="00666B7D">
              <w:rPr>
                <w:rFonts w:cs="Arial"/>
                <w:szCs w:val="22"/>
                <w:lang w:val="en-US"/>
              </w:rPr>
              <w:t xml:space="preserve">The </w:t>
            </w:r>
            <w:r>
              <w:rPr>
                <w:rFonts w:cs="Arial"/>
                <w:szCs w:val="22"/>
                <w:lang w:val="en-US"/>
              </w:rPr>
              <w:t>project’s governance mechanism (i.e., p</w:t>
            </w:r>
            <w:r w:rsidRPr="00666B7D">
              <w:rPr>
                <w:rFonts w:cs="Arial"/>
                <w:szCs w:val="22"/>
                <w:lang w:val="en-US"/>
              </w:rPr>
              <w:t xml:space="preserve">roject </w:t>
            </w:r>
            <w:r>
              <w:rPr>
                <w:rFonts w:cs="Arial"/>
                <w:szCs w:val="22"/>
                <w:lang w:val="en-US"/>
              </w:rPr>
              <w:t>b</w:t>
            </w:r>
            <w:r w:rsidRPr="00666B7D">
              <w:rPr>
                <w:rFonts w:cs="Arial"/>
                <w:szCs w:val="22"/>
                <w:lang w:val="en-US"/>
              </w:rPr>
              <w:t>oard</w:t>
            </w:r>
            <w:r>
              <w:rPr>
                <w:rFonts w:cs="Arial"/>
                <w:szCs w:val="22"/>
                <w:lang w:val="en-US"/>
              </w:rPr>
              <w:t>)</w:t>
            </w:r>
            <w:r w:rsidRPr="00666B7D">
              <w:rPr>
                <w:rFonts w:cs="Arial"/>
                <w:szCs w:val="22"/>
                <w:lang w:val="en-US"/>
              </w:rPr>
              <w:t xml:space="preserve"> will hold </w:t>
            </w:r>
            <w:r>
              <w:rPr>
                <w:rFonts w:cs="Arial"/>
                <w:szCs w:val="22"/>
                <w:lang w:val="en-US"/>
              </w:rPr>
              <w:t xml:space="preserve">regular </w:t>
            </w:r>
            <w:r w:rsidRPr="00666B7D">
              <w:rPr>
                <w:rFonts w:cs="Arial"/>
                <w:szCs w:val="22"/>
                <w:lang w:val="en-US"/>
              </w:rPr>
              <w:t xml:space="preserve">project reviews to assess the performance of the project and </w:t>
            </w:r>
            <w:r>
              <w:rPr>
                <w:rFonts w:cs="Arial"/>
                <w:szCs w:val="22"/>
                <w:lang w:val="en-US"/>
              </w:rPr>
              <w:t>review the Multi-Year</w:t>
            </w:r>
            <w:r w:rsidRPr="00666B7D">
              <w:rPr>
                <w:rFonts w:cs="Arial"/>
                <w:szCs w:val="22"/>
                <w:lang w:val="en-US"/>
              </w:rPr>
              <w:t xml:space="preserve"> Work Plan </w:t>
            </w:r>
            <w:r>
              <w:rPr>
                <w:rFonts w:cs="Arial"/>
                <w:szCs w:val="22"/>
                <w:lang w:val="en-US"/>
              </w:rPr>
              <w:t>to ensure realistic budgeting over the life of the project</w:t>
            </w:r>
            <w:r w:rsidRPr="00666B7D">
              <w:rPr>
                <w:rFonts w:cs="Arial"/>
                <w:szCs w:val="22"/>
                <w:lang w:val="en-US"/>
              </w:rPr>
              <w:t xml:space="preserve">. </w:t>
            </w:r>
            <w:r w:rsidRPr="00666B7D">
              <w:rPr>
                <w:szCs w:val="22"/>
              </w:rPr>
              <w:t>In the project’s final year, the Project Board shall hold an end-of project review to capture lessons learned and discuss opportunities for scaling up and to socialize project results and lessons learned with relevant audiences.</w:t>
            </w:r>
          </w:p>
        </w:tc>
        <w:tc>
          <w:tcPr>
            <w:tcW w:w="2070" w:type="dxa"/>
            <w:shd w:val="clear" w:color="auto" w:fill="auto"/>
            <w:vAlign w:val="center"/>
          </w:tcPr>
          <w:p w14:paraId="76708A21" w14:textId="681EAEEF" w:rsidR="00F372F9" w:rsidRDefault="00250747" w:rsidP="00964F1E">
            <w:pPr>
              <w:spacing w:after="0"/>
              <w:jc w:val="center"/>
            </w:pPr>
            <w:r>
              <w:t>Annually, final evaluation</w:t>
            </w:r>
          </w:p>
        </w:tc>
        <w:tc>
          <w:tcPr>
            <w:tcW w:w="3420" w:type="dxa"/>
            <w:shd w:val="clear" w:color="auto" w:fill="auto"/>
            <w:vAlign w:val="center"/>
          </w:tcPr>
          <w:p w14:paraId="5670104B" w14:textId="77777777" w:rsidR="00F372F9" w:rsidRPr="00666B7D" w:rsidRDefault="00F372F9" w:rsidP="00964F1E">
            <w:pPr>
              <w:jc w:val="left"/>
              <w:rPr>
                <w:b/>
                <w:szCs w:val="22"/>
              </w:rPr>
            </w:pPr>
            <w:r w:rsidRPr="00666B7D">
              <w:rPr>
                <w:rFonts w:cs="Arial"/>
                <w:szCs w:val="22"/>
                <w:lang w:val="en-US"/>
              </w:rPr>
              <w:t xml:space="preserve">Any quality concerns or slower than expected progress should be discussed by the project board and management actions agreed to address the issues identified. </w:t>
            </w:r>
          </w:p>
        </w:tc>
        <w:tc>
          <w:tcPr>
            <w:tcW w:w="1710" w:type="dxa"/>
            <w:shd w:val="clear" w:color="auto" w:fill="auto"/>
          </w:tcPr>
          <w:p w14:paraId="242DF446" w14:textId="77777777" w:rsidR="00F372F9" w:rsidRDefault="00F372F9" w:rsidP="00964F1E">
            <w:pPr>
              <w:spacing w:after="0"/>
            </w:pPr>
          </w:p>
        </w:tc>
        <w:tc>
          <w:tcPr>
            <w:tcW w:w="1178" w:type="dxa"/>
            <w:shd w:val="clear" w:color="auto" w:fill="auto"/>
          </w:tcPr>
          <w:p w14:paraId="1200F1E8" w14:textId="77777777" w:rsidR="00F372F9" w:rsidRDefault="00F372F9" w:rsidP="00964F1E">
            <w:pPr>
              <w:spacing w:after="0"/>
            </w:pPr>
          </w:p>
        </w:tc>
      </w:tr>
    </w:tbl>
    <w:p w14:paraId="4F974236" w14:textId="77777777" w:rsidR="000F42EE" w:rsidRDefault="000F42EE" w:rsidP="00086FCD">
      <w:pPr>
        <w:spacing w:line="276" w:lineRule="auto"/>
        <w:sectPr w:rsidR="000F42EE" w:rsidSect="00704256">
          <w:pgSz w:w="16838" w:h="11906" w:orient="landscape" w:code="9"/>
          <w:pgMar w:top="1152" w:right="864" w:bottom="1152" w:left="864" w:header="720" w:footer="432" w:gutter="0"/>
          <w:cols w:space="708"/>
          <w:titlePg/>
          <w:docGrid w:linePitch="360"/>
        </w:sectPr>
      </w:pPr>
    </w:p>
    <w:p w14:paraId="185AD582" w14:textId="3AD2B2D5" w:rsidR="008F1069" w:rsidRPr="00A41638" w:rsidRDefault="008F1069" w:rsidP="00250747">
      <w:pPr>
        <w:pStyle w:val="Heading1"/>
        <w:numPr>
          <w:ilvl w:val="0"/>
          <w:numId w:val="0"/>
        </w:numPr>
      </w:pPr>
    </w:p>
    <w:sectPr w:rsidR="008F1069" w:rsidRPr="00A41638" w:rsidSect="00DB3481">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FA626" w14:textId="77777777" w:rsidR="00712987" w:rsidRDefault="00712987">
      <w:r>
        <w:separator/>
      </w:r>
    </w:p>
  </w:endnote>
  <w:endnote w:type="continuationSeparator" w:id="0">
    <w:p w14:paraId="5FB75212" w14:textId="77777777" w:rsidR="00712987" w:rsidRDefault="00712987">
      <w:r>
        <w:continuationSeparator/>
      </w:r>
    </w:p>
  </w:endnote>
  <w:endnote w:type="continuationNotice" w:id="1">
    <w:p w14:paraId="6DD41872" w14:textId="77777777" w:rsidR="00712987" w:rsidRDefault="007129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697E" w14:textId="72EDFE58" w:rsidR="0083291C" w:rsidRDefault="0083291C">
    <w:pPr>
      <w:pStyle w:val="Footer"/>
      <w:jc w:val="center"/>
    </w:pPr>
    <w:r>
      <w:fldChar w:fldCharType="begin"/>
    </w:r>
    <w:r>
      <w:instrText>PAGE   \* MERGEFORMAT</w:instrText>
    </w:r>
    <w:r>
      <w:fldChar w:fldCharType="separate"/>
    </w:r>
    <w:r w:rsidRPr="00CC7727">
      <w:rPr>
        <w:noProof/>
        <w:lang w:val="pt-PT"/>
      </w:rPr>
      <w:t>3</w:t>
    </w:r>
    <w:r>
      <w:fldChar w:fldCharType="end"/>
    </w:r>
  </w:p>
  <w:p w14:paraId="6B29F6CA" w14:textId="77777777" w:rsidR="0083291C" w:rsidRDefault="0083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40EF" w14:textId="735EEBB0" w:rsidR="0083291C" w:rsidRDefault="0083291C">
    <w:pPr>
      <w:pStyle w:val="Footer"/>
      <w:jc w:val="right"/>
    </w:pPr>
    <w:r>
      <w:fldChar w:fldCharType="begin"/>
    </w:r>
    <w:r>
      <w:instrText xml:space="preserve"> PAGE   \* MERGEFORMAT </w:instrText>
    </w:r>
    <w:r>
      <w:fldChar w:fldCharType="separate"/>
    </w:r>
    <w:r>
      <w:rPr>
        <w:noProof/>
      </w:rPr>
      <w:t>14</w:t>
    </w:r>
    <w:r>
      <w:rPr>
        <w:noProof/>
      </w:rPr>
      <w:fldChar w:fldCharType="end"/>
    </w:r>
  </w:p>
  <w:p w14:paraId="7322C26D" w14:textId="77777777" w:rsidR="0083291C" w:rsidRDefault="0083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0C79" w14:textId="77777777" w:rsidR="00712987" w:rsidRDefault="00712987">
      <w:r>
        <w:separator/>
      </w:r>
    </w:p>
  </w:footnote>
  <w:footnote w:type="continuationSeparator" w:id="0">
    <w:p w14:paraId="5AD972F0" w14:textId="77777777" w:rsidR="00712987" w:rsidRDefault="00712987">
      <w:r>
        <w:continuationSeparator/>
      </w:r>
    </w:p>
  </w:footnote>
  <w:footnote w:type="continuationNotice" w:id="1">
    <w:p w14:paraId="29FE8753" w14:textId="77777777" w:rsidR="00712987" w:rsidRDefault="00712987">
      <w:pPr>
        <w:spacing w:after="0"/>
      </w:pPr>
    </w:p>
  </w:footnote>
  <w:footnote w:id="2">
    <w:p w14:paraId="0641BEE9" w14:textId="77777777" w:rsidR="0083291C" w:rsidRDefault="0083291C" w:rsidP="00D22194">
      <w:pPr>
        <w:pStyle w:val="FootnoteText"/>
        <w:spacing w:after="0"/>
        <w:rPr>
          <w:rFonts w:ascii="Calibri" w:hAnsi="Calibri"/>
          <w:sz w:val="20"/>
        </w:rPr>
      </w:pPr>
      <w:r>
        <w:rPr>
          <w:rStyle w:val="FootnoteReference"/>
        </w:rPr>
        <w:footnoteRef/>
      </w:r>
      <w:r>
        <w:t xml:space="preserve"> </w:t>
      </w:r>
      <w:r w:rsidRPr="00905928">
        <w:rPr>
          <w:rFonts w:ascii="Calibri" w:hAnsi="Calibri"/>
          <w:sz w:val="20"/>
        </w:rPr>
        <w:t>Note: Adjust signatures as needed</w:t>
      </w:r>
      <w:r w:rsidRPr="006844FD">
        <w:rPr>
          <w:rFonts w:ascii="Calibri" w:hAnsi="Calibri"/>
          <w:sz w:val="20"/>
        </w:rPr>
        <w:t xml:space="preserve"> </w:t>
      </w:r>
    </w:p>
    <w:p w14:paraId="2345998F" w14:textId="7F22A960" w:rsidR="0083291C" w:rsidRPr="00AA02A1" w:rsidRDefault="0083291C" w:rsidP="00D22194">
      <w:pPr>
        <w:pStyle w:val="FootnoteText"/>
        <w:spacing w:after="0"/>
      </w:pPr>
      <w:r w:rsidRPr="2F216552">
        <w:rPr>
          <w:rFonts w:ascii="Calibri" w:hAnsi="Calibri"/>
          <w:sz w:val="20"/>
          <w:vertAlign w:val="superscript"/>
        </w:rPr>
        <w:t>2 The</w:t>
      </w:r>
      <w:r w:rsidRPr="2F216552">
        <w:rPr>
          <w:rFonts w:ascii="Calibri" w:hAnsi="Calibri"/>
          <w:sz w:val="20"/>
        </w:rPr>
        <w:t xml:space="preserve"> Gender Marker measures how much a project invests in gender equality and women’s empowerment. Select one for each output: GEN3 (Gender equality as a </w:t>
      </w:r>
      <w:proofErr w:type="gramStart"/>
      <w:r w:rsidRPr="2F216552">
        <w:rPr>
          <w:rFonts w:ascii="Calibri" w:hAnsi="Calibri"/>
          <w:sz w:val="20"/>
        </w:rPr>
        <w:t>principle</w:t>
      </w:r>
      <w:proofErr w:type="gramEnd"/>
      <w:r w:rsidRPr="2F216552">
        <w:rPr>
          <w:rFonts w:ascii="Calibri" w:hAnsi="Calibri"/>
          <w:sz w:val="20"/>
        </w:rPr>
        <w:t xml:space="preserve"> objective); GEN2 (Gender equality as a significant objective); GEN1 (Limited contribution to gender equality); GEN0 (No contribution to gender quality) </w:t>
      </w:r>
      <w:r>
        <w:t xml:space="preserve"> </w:t>
      </w:r>
    </w:p>
    <w:p w14:paraId="4020BD2B" w14:textId="77777777" w:rsidR="0083291C" w:rsidRDefault="0083291C" w:rsidP="00D22194">
      <w:pPr>
        <w:pStyle w:val="FootnoteText"/>
        <w:spacing w:after="0"/>
      </w:pPr>
    </w:p>
  </w:footnote>
  <w:footnote w:id="3">
    <w:p w14:paraId="56D478F0" w14:textId="77777777" w:rsidR="00E91A5A" w:rsidRPr="00F33D81" w:rsidRDefault="00E91A5A" w:rsidP="00E91A5A">
      <w:pPr>
        <w:pStyle w:val="FootnoteText"/>
        <w:rPr>
          <w:rFonts w:ascii="Arial" w:hAnsi="Arial" w:cs="Arial"/>
          <w:sz w:val="16"/>
          <w:szCs w:val="16"/>
        </w:rPr>
      </w:pPr>
      <w:r w:rsidRPr="00F33D81">
        <w:rPr>
          <w:rStyle w:val="FootnoteReference"/>
          <w:rFonts w:cs="Arial"/>
          <w:sz w:val="16"/>
          <w:szCs w:val="16"/>
        </w:rPr>
        <w:footnoteRef/>
      </w:r>
      <w:r w:rsidRPr="00F33D81">
        <w:rPr>
          <w:rFonts w:ascii="Arial" w:hAnsi="Arial" w:cs="Arial"/>
          <w:sz w:val="16"/>
          <w:szCs w:val="16"/>
        </w:rPr>
        <w:t xml:space="preserve"> Agriculture accounted for over 47% of GDP and employed 88% of workers. (World Bank, 2018). The agricultural sector is not diversified, and the country’s economy is based on the monoculture of cashew nuts, making it vulnerable to price volatility</w:t>
      </w:r>
      <w:r>
        <w:rPr>
          <w:rFonts w:ascii="Arial" w:hAnsi="Arial" w:cs="Arial"/>
          <w:sz w:val="16"/>
          <w:szCs w:val="16"/>
        </w:rPr>
        <w:t>.</w:t>
      </w:r>
    </w:p>
  </w:footnote>
  <w:footnote w:id="4">
    <w:p w14:paraId="30306428" w14:textId="77777777" w:rsidR="00E91A5A" w:rsidRPr="00F33D81" w:rsidRDefault="00E91A5A" w:rsidP="00E91A5A">
      <w:pPr>
        <w:pStyle w:val="FootnoteText"/>
        <w:contextualSpacing/>
        <w:rPr>
          <w:rFonts w:ascii="Arial" w:hAnsi="Arial" w:cs="Arial"/>
          <w:sz w:val="16"/>
          <w:szCs w:val="16"/>
        </w:rPr>
      </w:pPr>
      <w:r w:rsidRPr="00F33D81">
        <w:rPr>
          <w:rStyle w:val="FootnoteReference"/>
          <w:rFonts w:cs="Arial"/>
          <w:sz w:val="16"/>
          <w:szCs w:val="16"/>
        </w:rPr>
        <w:footnoteRef/>
      </w:r>
      <w:r w:rsidRPr="00F33D81">
        <w:rPr>
          <w:rFonts w:ascii="Arial" w:hAnsi="Arial" w:cs="Arial"/>
          <w:sz w:val="16"/>
          <w:szCs w:val="16"/>
        </w:rPr>
        <w:t xml:space="preserve"> See  </w:t>
      </w:r>
      <w:hyperlink r:id="rId1" w:history="1">
        <w:r w:rsidRPr="00F33D81">
          <w:rPr>
            <w:rStyle w:val="Hyperlink"/>
            <w:rFonts w:ascii="Arial" w:hAnsi="Arial" w:cs="Arial"/>
            <w:sz w:val="16"/>
            <w:szCs w:val="16"/>
          </w:rPr>
          <w:t>https://www.gw.undp.org/content/guinea_bissau/en/home/news-centre/covid-19-socio-economic-impact-assessment-in-guinea-bissau.html</w:t>
        </w:r>
      </w:hyperlink>
      <w:r w:rsidRPr="00F33D81">
        <w:rPr>
          <w:rFonts w:ascii="Arial" w:hAnsi="Arial" w:cs="Arial"/>
          <w:sz w:val="16"/>
          <w:szCs w:val="16"/>
        </w:rPr>
        <w:t xml:space="preserve"> </w:t>
      </w:r>
    </w:p>
  </w:footnote>
  <w:footnote w:id="5">
    <w:p w14:paraId="4B7F2B9F" w14:textId="77777777" w:rsidR="00E91A5A" w:rsidRPr="00F33D81" w:rsidRDefault="00E91A5A" w:rsidP="00E91A5A">
      <w:pPr>
        <w:pStyle w:val="FootnoteText"/>
        <w:rPr>
          <w:rFonts w:ascii="Arial" w:hAnsi="Arial" w:cs="Arial"/>
          <w:sz w:val="16"/>
          <w:szCs w:val="16"/>
        </w:rPr>
      </w:pPr>
      <w:r w:rsidRPr="00F33D81">
        <w:rPr>
          <w:rStyle w:val="FootnoteReference"/>
          <w:rFonts w:cs="Arial"/>
          <w:sz w:val="16"/>
          <w:szCs w:val="16"/>
        </w:rPr>
        <w:footnoteRef/>
      </w:r>
      <w:r w:rsidRPr="00F33D81">
        <w:rPr>
          <w:rFonts w:ascii="Arial" w:hAnsi="Arial" w:cs="Arial"/>
          <w:sz w:val="16"/>
          <w:szCs w:val="16"/>
        </w:rPr>
        <w:t xml:space="preserve"> </w:t>
      </w:r>
      <w:hyperlink r:id="rId2" w:history="1">
        <w:r w:rsidRPr="00F33D81">
          <w:rPr>
            <w:rStyle w:val="Hyperlink"/>
            <w:rFonts w:ascii="Arial" w:hAnsi="Arial" w:cs="Arial"/>
            <w:sz w:val="16"/>
            <w:szCs w:val="16"/>
          </w:rPr>
          <w:t>https://www.afdb.org/fileadmin/uploads/afdb/Documents/Generic-Documents/Guinea-Bissau_-_Country_gender_profile.pdf</w:t>
        </w:r>
      </w:hyperlink>
      <w:r w:rsidRPr="00F33D81">
        <w:rPr>
          <w:rFonts w:ascii="Arial" w:hAnsi="Arial" w:cs="Arial"/>
          <w:sz w:val="16"/>
          <w:szCs w:val="16"/>
        </w:rPr>
        <w:t xml:space="preserve"> </w:t>
      </w:r>
    </w:p>
  </w:footnote>
  <w:footnote w:id="6">
    <w:p w14:paraId="2791638F" w14:textId="77777777" w:rsidR="00E91A5A" w:rsidRPr="00F33D81" w:rsidRDefault="00E91A5A" w:rsidP="00E91A5A">
      <w:pPr>
        <w:rPr>
          <w:rFonts w:cs="Arial"/>
          <w:sz w:val="16"/>
          <w:szCs w:val="16"/>
        </w:rPr>
      </w:pPr>
      <w:r w:rsidRPr="00F33D81">
        <w:rPr>
          <w:rStyle w:val="FootnoteReference"/>
          <w:rFonts w:cs="Arial"/>
          <w:sz w:val="16"/>
          <w:szCs w:val="16"/>
        </w:rPr>
        <w:footnoteRef/>
      </w:r>
      <w:r w:rsidRPr="00F33D81">
        <w:rPr>
          <w:rFonts w:cs="Arial"/>
          <w:sz w:val="16"/>
          <w:szCs w:val="16"/>
        </w:rPr>
        <w:t xml:space="preserve"> The AU Blue Economy Strategy Implementation Plan includes concrete recommendations for action including “Develop responsible tourism” and “Review and enhance quality of tourism products and services, one stop-border shop (visa services)”</w:t>
      </w:r>
    </w:p>
    <w:p w14:paraId="0FA52F6E" w14:textId="77777777" w:rsidR="00E91A5A" w:rsidRDefault="00E91A5A" w:rsidP="00E91A5A">
      <w:pPr>
        <w:pStyle w:val="FootnoteText"/>
      </w:pPr>
    </w:p>
  </w:footnote>
  <w:footnote w:id="7">
    <w:p w14:paraId="1AB8B7E4" w14:textId="77777777" w:rsidR="00DC4E66" w:rsidRPr="00083530" w:rsidRDefault="00DC4E66" w:rsidP="00DC4E66">
      <w:pPr>
        <w:spacing w:after="0"/>
        <w:rPr>
          <w:rFonts w:cs="Arial"/>
          <w:sz w:val="16"/>
          <w:szCs w:val="16"/>
        </w:rPr>
      </w:pPr>
      <w:r w:rsidRPr="00083530">
        <w:rPr>
          <w:rStyle w:val="FootnoteReference"/>
          <w:rFonts w:cs="Arial"/>
          <w:sz w:val="16"/>
          <w:szCs w:val="16"/>
        </w:rPr>
        <w:footnoteRef/>
      </w:r>
      <w:r w:rsidRPr="00083530">
        <w:rPr>
          <w:rFonts w:cs="Arial"/>
          <w:sz w:val="16"/>
          <w:szCs w:val="16"/>
        </w:rPr>
        <w:t xml:space="preserve"> Through a geospatial approach to national electrification planning, the existing grid network is mapped, and its attributes are digitalized. The supply of and demand for electricity are geo-located and overlaid with supporting data, including demographic (population density and growth patterns); social infrastructure (schools, health centres, churches, administrative offices); and economic (household income, poverty, commercial activities, willingness to pay) data</w:t>
      </w:r>
      <w:proofErr w:type="gramStart"/>
      <w:r w:rsidRPr="00083530">
        <w:rPr>
          <w:rFonts w:cs="Arial"/>
          <w:sz w:val="16"/>
          <w:szCs w:val="16"/>
        </w:rPr>
        <w:t xml:space="preserve">.  </w:t>
      </w:r>
      <w:proofErr w:type="gramEnd"/>
      <w:r w:rsidRPr="00083530">
        <w:rPr>
          <w:rFonts w:cs="Arial"/>
          <w:sz w:val="16"/>
          <w:szCs w:val="16"/>
        </w:rPr>
        <w:t xml:space="preserve">Geospatial analysis allows developers to assess mini grid sites at a fraction of the cost of traditional site assessment activities. </w:t>
      </w:r>
      <w:r w:rsidRPr="00083530">
        <w:rPr>
          <w:rFonts w:cs="Arial"/>
          <w:i/>
          <w:iCs/>
          <w:sz w:val="16"/>
          <w:szCs w:val="16"/>
        </w:rPr>
        <w:t>MINI GRIDS FOR HALF A BILLION PEOPLE: Market Outlook and Handbook for Decision Makers</w:t>
      </w:r>
      <w:r w:rsidRPr="00083530">
        <w:rPr>
          <w:rFonts w:cs="Arial"/>
          <w:sz w:val="16"/>
          <w:szCs w:val="16"/>
        </w:rPr>
        <w:t>, World Bank Energy Sector Management Assistance Program (ESMAP), June 2019.</w:t>
      </w:r>
    </w:p>
  </w:footnote>
  <w:footnote w:id="8">
    <w:p w14:paraId="6FE1CA3D" w14:textId="77777777" w:rsidR="00ED07BC" w:rsidRPr="008C15F0" w:rsidRDefault="00ED07BC" w:rsidP="00ED07BC">
      <w:pPr>
        <w:pStyle w:val="FootnoteText"/>
        <w:rPr>
          <w:rFonts w:ascii="Arial" w:hAnsi="Arial" w:cs="Arial"/>
          <w:sz w:val="16"/>
          <w:szCs w:val="16"/>
        </w:rPr>
      </w:pPr>
      <w:r w:rsidRPr="008C15F0">
        <w:rPr>
          <w:rStyle w:val="FootnoteReference"/>
          <w:rFonts w:cs="Arial"/>
          <w:sz w:val="16"/>
          <w:szCs w:val="16"/>
        </w:rPr>
        <w:footnoteRef/>
      </w:r>
      <w:r w:rsidRPr="008C15F0">
        <w:rPr>
          <w:rFonts w:ascii="Arial" w:hAnsi="Arial" w:cs="Arial"/>
          <w:sz w:val="16"/>
          <w:szCs w:val="16"/>
        </w:rPr>
        <w:t xml:space="preserve"> The Manila Call for Action on Measuring Sustainable Tourism (MST) “[acknowledges] </w:t>
      </w:r>
      <w:r w:rsidRPr="008C15F0">
        <w:rPr>
          <w:rFonts w:ascii="Arial" w:hAnsi="Arial" w:cs="Arial"/>
          <w:i/>
          <w:iCs/>
          <w:sz w:val="16"/>
          <w:szCs w:val="16"/>
        </w:rPr>
        <w:t>that designing and implementing an MST Framework is a priority in the context of measuring progress towards achieving the Sustainable Development Goals and in response to the needs of government and tourism stakeholders</w:t>
      </w:r>
      <w:r w:rsidRPr="008C15F0">
        <w:rPr>
          <w:rFonts w:ascii="Arial" w:hAnsi="Arial" w:cs="Arial"/>
          <w:sz w:val="16"/>
          <w:szCs w:val="16"/>
        </w:rPr>
        <w:t>”. A call for Action – Report of the 6th International Conference on Tourism Statistics, Manila, Philippines, 21–23 June 2017, UNWTO, Madrid.</w:t>
      </w:r>
    </w:p>
  </w:footnote>
  <w:footnote w:id="9">
    <w:p w14:paraId="7A1B8439" w14:textId="77777777" w:rsidR="00ED07BC" w:rsidRPr="00A00D32" w:rsidRDefault="00ED07BC" w:rsidP="00ED07BC">
      <w:pPr>
        <w:pStyle w:val="FootnoteText"/>
        <w:rPr>
          <w:rFonts w:ascii="Verdana" w:hAnsi="Verdana"/>
          <w:sz w:val="16"/>
          <w:szCs w:val="16"/>
        </w:rPr>
      </w:pPr>
      <w:r w:rsidRPr="00A00D32">
        <w:rPr>
          <w:rStyle w:val="FootnoteReference"/>
          <w:rFonts w:ascii="Verdana" w:hAnsi="Verdana"/>
          <w:sz w:val="16"/>
          <w:szCs w:val="16"/>
        </w:rPr>
        <w:footnoteRef/>
      </w:r>
      <w:r w:rsidRPr="00A00D32">
        <w:rPr>
          <w:rFonts w:ascii="Verdana" w:hAnsi="Verdana"/>
          <w:sz w:val="16"/>
          <w:szCs w:val="16"/>
        </w:rPr>
        <w:t xml:space="preserve"> </w:t>
      </w:r>
      <w:hyperlink r:id="rId3" w:history="1">
        <w:r w:rsidRPr="00A00D32">
          <w:rPr>
            <w:rStyle w:val="Hyperlink"/>
            <w:rFonts w:ascii="Verdana" w:hAnsi="Verdana"/>
            <w:sz w:val="16"/>
            <w:szCs w:val="16"/>
          </w:rPr>
          <w:t>https://www.borgenmagazine.com/credit-access-in-guinea-bissau/</w:t>
        </w:r>
      </w:hyperlink>
    </w:p>
  </w:footnote>
  <w:footnote w:id="10">
    <w:p w14:paraId="0CAC6643" w14:textId="77777777" w:rsidR="00ED07BC" w:rsidRPr="00157112" w:rsidRDefault="00ED07BC" w:rsidP="00ED07BC">
      <w:pPr>
        <w:pStyle w:val="FootnoteText"/>
        <w:rPr>
          <w:lang w:val="en-GB"/>
        </w:rPr>
      </w:pPr>
      <w:r>
        <w:rPr>
          <w:rStyle w:val="FootnoteReference"/>
        </w:rPr>
        <w:footnoteRef/>
      </w:r>
      <w:r>
        <w:t xml:space="preserve"> </w:t>
      </w:r>
    </w:p>
  </w:footnote>
  <w:footnote w:id="11">
    <w:p w14:paraId="34251A1E" w14:textId="77777777" w:rsidR="006207D5" w:rsidRPr="00AD754F" w:rsidRDefault="006207D5" w:rsidP="00E10378">
      <w:pPr>
        <w:pStyle w:val="FootnoteText"/>
        <w:rPr>
          <w:rFonts w:ascii="Calibri" w:hAnsi="Calibri"/>
        </w:rPr>
      </w:pPr>
      <w:r w:rsidRPr="006A2798">
        <w:rPr>
          <w:rStyle w:val="FootnoteReference"/>
          <w:rFonts w:cs="Arial"/>
          <w:sz w:val="16"/>
          <w:szCs w:val="16"/>
        </w:rPr>
        <w:footnoteRef/>
      </w:r>
      <w:r w:rsidRPr="006A2798">
        <w:rPr>
          <w:rFonts w:ascii="Arial" w:hAnsi="Arial" w:cs="Arial"/>
          <w:sz w:val="16"/>
          <w:szCs w:val="16"/>
        </w:rPr>
        <w:t xml:space="preserve"> It is recommended that projects use output indicators from the Strategic Plan IRRF, as relevant, in addition to project-specific results indicators. Indicators should be disaggregated by sex or for other targeted groups where relevant.</w:t>
      </w:r>
    </w:p>
  </w:footnote>
  <w:footnote w:id="12">
    <w:p w14:paraId="4305F9A1" w14:textId="3B45A9FB" w:rsidR="0083291C" w:rsidRPr="00ED57D5" w:rsidRDefault="0083291C" w:rsidP="00086FCD">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w:t>
      </w:r>
      <w:proofErr w:type="spellStart"/>
      <w:r w:rsidRPr="00ED57D5">
        <w:rPr>
          <w:rFonts w:ascii="Calibri" w:hAnsi="Calibri"/>
          <w:sz w:val="20"/>
        </w:rPr>
        <w:t>programme</w:t>
      </w:r>
      <w:proofErr w:type="spellEnd"/>
      <w:r w:rsidRPr="00ED57D5">
        <w:rPr>
          <w:rFonts w:ascii="Calibri" w:hAnsi="Calibri"/>
          <w:sz w:val="20"/>
        </w:rPr>
        <w:t xml:space="preserve"> and development effectiveness costs to be charged to the project are defined in the Executive Board decision DP/2010/32</w:t>
      </w:r>
      <w:r>
        <w:rPr>
          <w:rFonts w:ascii="Calibri" w:hAnsi="Calibri"/>
          <w:sz w:val="20"/>
        </w:rPr>
        <w:t>3</w:t>
      </w:r>
    </w:p>
  </w:footnote>
  <w:footnote w:id="13">
    <w:p w14:paraId="57467B9D" w14:textId="77777777" w:rsidR="0083291C" w:rsidRPr="00ED57D5" w:rsidRDefault="0083291C" w:rsidP="00086FCD">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xml:space="preserve">. In other cases, the UNDP </w:t>
      </w:r>
      <w:proofErr w:type="spellStart"/>
      <w:r w:rsidRPr="00ED57D5">
        <w:rPr>
          <w:rFonts w:ascii="Calibri" w:hAnsi="Calibri" w:cs="Arial"/>
          <w:color w:val="333333"/>
          <w:sz w:val="20"/>
        </w:rPr>
        <w:t>programme</w:t>
      </w:r>
      <w:proofErr w:type="spellEnd"/>
      <w:r w:rsidRPr="00ED57D5">
        <w:rPr>
          <w:rFonts w:ascii="Calibri" w:hAnsi="Calibri" w:cs="Arial"/>
          <w:color w:val="333333"/>
          <w:sz w:val="20"/>
        </w:rPr>
        <w:t xml:space="preserv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895"/>
    <w:multiLevelType w:val="hybridMultilevel"/>
    <w:tmpl w:val="C360C6C8"/>
    <w:lvl w:ilvl="0" w:tplc="64823294">
      <w:start w:val="1"/>
      <w:numFmt w:val="upperRoman"/>
      <w:lvlText w:val="%1."/>
      <w:lvlJc w:val="right"/>
      <w:pPr>
        <w:ind w:left="720" w:hanging="360"/>
      </w:pPr>
    </w:lvl>
    <w:lvl w:ilvl="1" w:tplc="A52E586A">
      <w:start w:val="1"/>
      <w:numFmt w:val="lowerLetter"/>
      <w:lvlText w:val="%2."/>
      <w:lvlJc w:val="left"/>
      <w:pPr>
        <w:ind w:left="1440" w:hanging="360"/>
      </w:pPr>
    </w:lvl>
    <w:lvl w:ilvl="2" w:tplc="3878D31C">
      <w:start w:val="1"/>
      <w:numFmt w:val="lowerRoman"/>
      <w:lvlText w:val="%3."/>
      <w:lvlJc w:val="right"/>
      <w:pPr>
        <w:ind w:left="2160" w:hanging="180"/>
      </w:pPr>
    </w:lvl>
    <w:lvl w:ilvl="3" w:tplc="90661498">
      <w:start w:val="1"/>
      <w:numFmt w:val="decimal"/>
      <w:lvlText w:val="%4."/>
      <w:lvlJc w:val="left"/>
      <w:pPr>
        <w:ind w:left="2880" w:hanging="360"/>
      </w:pPr>
    </w:lvl>
    <w:lvl w:ilvl="4" w:tplc="585AD6C6">
      <w:start w:val="1"/>
      <w:numFmt w:val="lowerLetter"/>
      <w:lvlText w:val="%5."/>
      <w:lvlJc w:val="left"/>
      <w:pPr>
        <w:ind w:left="3600" w:hanging="360"/>
      </w:pPr>
    </w:lvl>
    <w:lvl w:ilvl="5" w:tplc="1DCA5398">
      <w:start w:val="1"/>
      <w:numFmt w:val="lowerRoman"/>
      <w:lvlText w:val="%6."/>
      <w:lvlJc w:val="right"/>
      <w:pPr>
        <w:ind w:left="4320" w:hanging="180"/>
      </w:pPr>
    </w:lvl>
    <w:lvl w:ilvl="6" w:tplc="49ACC254">
      <w:start w:val="1"/>
      <w:numFmt w:val="decimal"/>
      <w:lvlText w:val="%7."/>
      <w:lvlJc w:val="left"/>
      <w:pPr>
        <w:ind w:left="5040" w:hanging="360"/>
      </w:pPr>
    </w:lvl>
    <w:lvl w:ilvl="7" w:tplc="AA2CF3D0">
      <w:start w:val="1"/>
      <w:numFmt w:val="lowerLetter"/>
      <w:lvlText w:val="%8."/>
      <w:lvlJc w:val="left"/>
      <w:pPr>
        <w:ind w:left="5760" w:hanging="360"/>
      </w:pPr>
    </w:lvl>
    <w:lvl w:ilvl="8" w:tplc="395AB6A4">
      <w:start w:val="1"/>
      <w:numFmt w:val="lowerRoman"/>
      <w:lvlText w:val="%9."/>
      <w:lvlJc w:val="right"/>
      <w:pPr>
        <w:ind w:left="6480" w:hanging="180"/>
      </w:pPr>
    </w:lvl>
  </w:abstractNum>
  <w:abstractNum w:abstractNumId="1"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6513C"/>
    <w:multiLevelType w:val="hybridMultilevel"/>
    <w:tmpl w:val="71B2549A"/>
    <w:lvl w:ilvl="0" w:tplc="1ABCEE90">
      <w:start w:val="1"/>
      <w:numFmt w:val="decimal"/>
      <w:lvlText w:val="%1."/>
      <w:lvlJc w:val="left"/>
      <w:pPr>
        <w:ind w:left="720" w:hanging="360"/>
      </w:pPr>
    </w:lvl>
    <w:lvl w:ilvl="1" w:tplc="BF50E4C8">
      <w:start w:val="1"/>
      <w:numFmt w:val="lowerLetter"/>
      <w:lvlText w:val="%2."/>
      <w:lvlJc w:val="left"/>
      <w:pPr>
        <w:ind w:left="1440" w:hanging="360"/>
      </w:pPr>
    </w:lvl>
    <w:lvl w:ilvl="2" w:tplc="62DAC8CC">
      <w:start w:val="1"/>
      <w:numFmt w:val="lowerRoman"/>
      <w:lvlText w:val="%3."/>
      <w:lvlJc w:val="right"/>
      <w:pPr>
        <w:ind w:left="2160" w:hanging="180"/>
      </w:pPr>
    </w:lvl>
    <w:lvl w:ilvl="3" w:tplc="BD142BDC">
      <w:start w:val="1"/>
      <w:numFmt w:val="decimal"/>
      <w:lvlText w:val="%4."/>
      <w:lvlJc w:val="left"/>
      <w:pPr>
        <w:ind w:left="2880" w:hanging="360"/>
      </w:pPr>
    </w:lvl>
    <w:lvl w:ilvl="4" w:tplc="EDC08650">
      <w:start w:val="1"/>
      <w:numFmt w:val="lowerLetter"/>
      <w:lvlText w:val="%5."/>
      <w:lvlJc w:val="left"/>
      <w:pPr>
        <w:ind w:left="3600" w:hanging="360"/>
      </w:pPr>
    </w:lvl>
    <w:lvl w:ilvl="5" w:tplc="4060F328">
      <w:start w:val="1"/>
      <w:numFmt w:val="lowerRoman"/>
      <w:lvlText w:val="%6."/>
      <w:lvlJc w:val="right"/>
      <w:pPr>
        <w:ind w:left="4320" w:hanging="180"/>
      </w:pPr>
    </w:lvl>
    <w:lvl w:ilvl="6" w:tplc="E0D019FE">
      <w:start w:val="1"/>
      <w:numFmt w:val="decimal"/>
      <w:lvlText w:val="%7."/>
      <w:lvlJc w:val="left"/>
      <w:pPr>
        <w:ind w:left="5040" w:hanging="360"/>
      </w:pPr>
    </w:lvl>
    <w:lvl w:ilvl="7" w:tplc="A8EA9D08">
      <w:start w:val="1"/>
      <w:numFmt w:val="lowerLetter"/>
      <w:lvlText w:val="%8."/>
      <w:lvlJc w:val="left"/>
      <w:pPr>
        <w:ind w:left="5760" w:hanging="360"/>
      </w:pPr>
    </w:lvl>
    <w:lvl w:ilvl="8" w:tplc="C6E24F02">
      <w:start w:val="1"/>
      <w:numFmt w:val="lowerRoman"/>
      <w:lvlText w:val="%9."/>
      <w:lvlJc w:val="right"/>
      <w:pPr>
        <w:ind w:left="6480" w:hanging="180"/>
      </w:pPr>
    </w:lvl>
  </w:abstractNum>
  <w:abstractNum w:abstractNumId="3" w15:restartNumberingAfterBreak="0">
    <w:nsid w:val="0D5400EF"/>
    <w:multiLevelType w:val="hybridMultilevel"/>
    <w:tmpl w:val="F80EE0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0E160FB2"/>
    <w:multiLevelType w:val="hybridMultilevel"/>
    <w:tmpl w:val="A666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77A5"/>
    <w:multiLevelType w:val="hybridMultilevel"/>
    <w:tmpl w:val="B3EC18EE"/>
    <w:lvl w:ilvl="0" w:tplc="CD3C1F74">
      <w:start w:val="1"/>
      <w:numFmt w:val="upperRoman"/>
      <w:pStyle w:val="Heading1"/>
      <w:lvlText w:val="%1."/>
      <w:lvlJc w:val="left"/>
      <w:pPr>
        <w:tabs>
          <w:tab w:val="num" w:pos="1530"/>
        </w:tabs>
        <w:ind w:left="153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D5FA5442">
      <w:numFmt w:val="bullet"/>
      <w:lvlText w:val="-"/>
      <w:lvlJc w:val="left"/>
      <w:pPr>
        <w:ind w:left="2700" w:hanging="720"/>
      </w:pPr>
      <w:rPr>
        <w:rFonts w:ascii="Arial" w:eastAsiaTheme="minorEastAsia"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4B47"/>
    <w:multiLevelType w:val="hybridMultilevel"/>
    <w:tmpl w:val="4A8C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67A7C"/>
    <w:multiLevelType w:val="hybridMultilevel"/>
    <w:tmpl w:val="919CACCA"/>
    <w:lvl w:ilvl="0" w:tplc="FFFFFFF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F4F4160"/>
    <w:multiLevelType w:val="hybridMultilevel"/>
    <w:tmpl w:val="61BCD5C4"/>
    <w:lvl w:ilvl="0" w:tplc="70FAA21A">
      <w:start w:val="1"/>
      <w:numFmt w:val="upperLetter"/>
      <w:lvlText w:val="%1."/>
      <w:lvlJc w:val="left"/>
      <w:pPr>
        <w:ind w:left="720" w:hanging="360"/>
      </w:pPr>
    </w:lvl>
    <w:lvl w:ilvl="1" w:tplc="5D5AA8FE">
      <w:start w:val="1"/>
      <w:numFmt w:val="lowerLetter"/>
      <w:lvlText w:val="%2."/>
      <w:lvlJc w:val="left"/>
      <w:pPr>
        <w:ind w:left="1440" w:hanging="360"/>
      </w:pPr>
    </w:lvl>
    <w:lvl w:ilvl="2" w:tplc="950EB474">
      <w:start w:val="1"/>
      <w:numFmt w:val="lowerRoman"/>
      <w:lvlText w:val="%3."/>
      <w:lvlJc w:val="right"/>
      <w:pPr>
        <w:ind w:left="2160" w:hanging="180"/>
      </w:pPr>
    </w:lvl>
    <w:lvl w:ilvl="3" w:tplc="65889502">
      <w:start w:val="1"/>
      <w:numFmt w:val="decimal"/>
      <w:lvlText w:val="%4."/>
      <w:lvlJc w:val="left"/>
      <w:pPr>
        <w:ind w:left="2880" w:hanging="360"/>
      </w:pPr>
    </w:lvl>
    <w:lvl w:ilvl="4" w:tplc="DF822D16">
      <w:start w:val="1"/>
      <w:numFmt w:val="lowerLetter"/>
      <w:lvlText w:val="%5."/>
      <w:lvlJc w:val="left"/>
      <w:pPr>
        <w:ind w:left="3600" w:hanging="360"/>
      </w:pPr>
    </w:lvl>
    <w:lvl w:ilvl="5" w:tplc="1F9CF58E">
      <w:start w:val="1"/>
      <w:numFmt w:val="lowerRoman"/>
      <w:lvlText w:val="%6."/>
      <w:lvlJc w:val="right"/>
      <w:pPr>
        <w:ind w:left="4320" w:hanging="180"/>
      </w:pPr>
    </w:lvl>
    <w:lvl w:ilvl="6" w:tplc="F2705B72">
      <w:start w:val="1"/>
      <w:numFmt w:val="decimal"/>
      <w:lvlText w:val="%7."/>
      <w:lvlJc w:val="left"/>
      <w:pPr>
        <w:ind w:left="5040" w:hanging="360"/>
      </w:pPr>
    </w:lvl>
    <w:lvl w:ilvl="7" w:tplc="A26A4246">
      <w:start w:val="1"/>
      <w:numFmt w:val="lowerLetter"/>
      <w:lvlText w:val="%8."/>
      <w:lvlJc w:val="left"/>
      <w:pPr>
        <w:ind w:left="5760" w:hanging="360"/>
      </w:pPr>
    </w:lvl>
    <w:lvl w:ilvl="8" w:tplc="E5FA3D56">
      <w:start w:val="1"/>
      <w:numFmt w:val="lowerRoman"/>
      <w:lvlText w:val="%9."/>
      <w:lvlJc w:val="right"/>
      <w:pPr>
        <w:ind w:left="6480" w:hanging="180"/>
      </w:pPr>
    </w:lvl>
  </w:abstractNum>
  <w:abstractNum w:abstractNumId="10" w15:restartNumberingAfterBreak="0">
    <w:nsid w:val="266E0B48"/>
    <w:multiLevelType w:val="hybridMultilevel"/>
    <w:tmpl w:val="00B6A42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6A9515D"/>
    <w:multiLevelType w:val="hybridMultilevel"/>
    <w:tmpl w:val="3A60079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AF52744"/>
    <w:multiLevelType w:val="hybridMultilevel"/>
    <w:tmpl w:val="1E7609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6306B2"/>
    <w:multiLevelType w:val="hybridMultilevel"/>
    <w:tmpl w:val="5D8E9C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20226"/>
    <w:multiLevelType w:val="hybridMultilevel"/>
    <w:tmpl w:val="2F7E3D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030826"/>
    <w:multiLevelType w:val="hybridMultilevel"/>
    <w:tmpl w:val="AF1E9CB2"/>
    <w:lvl w:ilvl="0" w:tplc="FFFFFFFF">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F11863"/>
    <w:multiLevelType w:val="hybridMultilevel"/>
    <w:tmpl w:val="77DEEA4A"/>
    <w:lvl w:ilvl="0" w:tplc="08160013">
      <w:start w:val="1"/>
      <w:numFmt w:val="upperRoman"/>
      <w:lvlText w:val="%1."/>
      <w:lvlJc w:val="righ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3A5D4C14"/>
    <w:multiLevelType w:val="hybridMultilevel"/>
    <w:tmpl w:val="A5CC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E656B"/>
    <w:multiLevelType w:val="hybridMultilevel"/>
    <w:tmpl w:val="244CDF42"/>
    <w:lvl w:ilvl="0" w:tplc="8FF8845E">
      <w:start w:val="6"/>
      <w:numFmt w:val="upperLetter"/>
      <w:lvlText w:val="%1."/>
      <w:lvlJc w:val="left"/>
      <w:pPr>
        <w:ind w:left="720" w:hanging="360"/>
      </w:pPr>
    </w:lvl>
    <w:lvl w:ilvl="1" w:tplc="8E7CA922">
      <w:start w:val="1"/>
      <w:numFmt w:val="lowerLetter"/>
      <w:lvlText w:val="%2."/>
      <w:lvlJc w:val="left"/>
      <w:pPr>
        <w:ind w:left="1440" w:hanging="360"/>
      </w:pPr>
    </w:lvl>
    <w:lvl w:ilvl="2" w:tplc="0046F1F6">
      <w:start w:val="1"/>
      <w:numFmt w:val="lowerRoman"/>
      <w:lvlText w:val="%3."/>
      <w:lvlJc w:val="right"/>
      <w:pPr>
        <w:ind w:left="2160" w:hanging="180"/>
      </w:pPr>
    </w:lvl>
    <w:lvl w:ilvl="3" w:tplc="09AECD06">
      <w:start w:val="1"/>
      <w:numFmt w:val="decimal"/>
      <w:lvlText w:val="%4."/>
      <w:lvlJc w:val="left"/>
      <w:pPr>
        <w:ind w:left="2880" w:hanging="360"/>
      </w:pPr>
    </w:lvl>
    <w:lvl w:ilvl="4" w:tplc="DAA8F416">
      <w:start w:val="1"/>
      <w:numFmt w:val="lowerLetter"/>
      <w:lvlText w:val="%5."/>
      <w:lvlJc w:val="left"/>
      <w:pPr>
        <w:ind w:left="3600" w:hanging="360"/>
      </w:pPr>
    </w:lvl>
    <w:lvl w:ilvl="5" w:tplc="73D63E30">
      <w:start w:val="1"/>
      <w:numFmt w:val="lowerRoman"/>
      <w:lvlText w:val="%6."/>
      <w:lvlJc w:val="right"/>
      <w:pPr>
        <w:ind w:left="4320" w:hanging="180"/>
      </w:pPr>
    </w:lvl>
    <w:lvl w:ilvl="6" w:tplc="4732AA8E">
      <w:start w:val="1"/>
      <w:numFmt w:val="decimal"/>
      <w:lvlText w:val="%7."/>
      <w:lvlJc w:val="left"/>
      <w:pPr>
        <w:ind w:left="5040" w:hanging="360"/>
      </w:pPr>
    </w:lvl>
    <w:lvl w:ilvl="7" w:tplc="9EF22B30">
      <w:start w:val="1"/>
      <w:numFmt w:val="lowerLetter"/>
      <w:lvlText w:val="%8."/>
      <w:lvlJc w:val="left"/>
      <w:pPr>
        <w:ind w:left="5760" w:hanging="360"/>
      </w:pPr>
    </w:lvl>
    <w:lvl w:ilvl="8" w:tplc="3EFE0AF8">
      <w:start w:val="1"/>
      <w:numFmt w:val="lowerRoman"/>
      <w:lvlText w:val="%9."/>
      <w:lvlJc w:val="right"/>
      <w:pPr>
        <w:ind w:left="6480" w:hanging="180"/>
      </w:pPr>
    </w:lvl>
  </w:abstractNum>
  <w:abstractNum w:abstractNumId="22" w15:restartNumberingAfterBreak="0">
    <w:nsid w:val="451E502B"/>
    <w:multiLevelType w:val="multilevel"/>
    <w:tmpl w:val="9FCA7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835405"/>
    <w:multiLevelType w:val="hybridMultilevel"/>
    <w:tmpl w:val="F330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03678"/>
    <w:multiLevelType w:val="multilevel"/>
    <w:tmpl w:val="B53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B6B17"/>
    <w:multiLevelType w:val="hybridMultilevel"/>
    <w:tmpl w:val="659A3A3C"/>
    <w:lvl w:ilvl="0" w:tplc="5B6243AC">
      <w:start w:val="1"/>
      <w:numFmt w:val="upperLetter"/>
      <w:lvlText w:val="%1."/>
      <w:lvlJc w:val="left"/>
      <w:pPr>
        <w:ind w:left="720" w:hanging="360"/>
      </w:pPr>
    </w:lvl>
    <w:lvl w:ilvl="1" w:tplc="8B248D70">
      <w:start w:val="1"/>
      <w:numFmt w:val="lowerLetter"/>
      <w:lvlText w:val="%2."/>
      <w:lvlJc w:val="left"/>
      <w:pPr>
        <w:ind w:left="1440" w:hanging="360"/>
      </w:pPr>
    </w:lvl>
    <w:lvl w:ilvl="2" w:tplc="653AF6AA">
      <w:start w:val="1"/>
      <w:numFmt w:val="lowerRoman"/>
      <w:lvlText w:val="%3."/>
      <w:lvlJc w:val="right"/>
      <w:pPr>
        <w:ind w:left="2160" w:hanging="180"/>
      </w:pPr>
    </w:lvl>
    <w:lvl w:ilvl="3" w:tplc="5888DDBA">
      <w:start w:val="1"/>
      <w:numFmt w:val="decimal"/>
      <w:lvlText w:val="%4."/>
      <w:lvlJc w:val="left"/>
      <w:pPr>
        <w:ind w:left="2880" w:hanging="360"/>
      </w:pPr>
    </w:lvl>
    <w:lvl w:ilvl="4" w:tplc="CB4472E4">
      <w:start w:val="1"/>
      <w:numFmt w:val="lowerLetter"/>
      <w:lvlText w:val="%5."/>
      <w:lvlJc w:val="left"/>
      <w:pPr>
        <w:ind w:left="3600" w:hanging="360"/>
      </w:pPr>
    </w:lvl>
    <w:lvl w:ilvl="5" w:tplc="FE4897B6">
      <w:start w:val="1"/>
      <w:numFmt w:val="lowerRoman"/>
      <w:lvlText w:val="%6."/>
      <w:lvlJc w:val="right"/>
      <w:pPr>
        <w:ind w:left="4320" w:hanging="180"/>
      </w:pPr>
    </w:lvl>
    <w:lvl w:ilvl="6" w:tplc="C58C40DA">
      <w:start w:val="1"/>
      <w:numFmt w:val="decimal"/>
      <w:lvlText w:val="%7."/>
      <w:lvlJc w:val="left"/>
      <w:pPr>
        <w:ind w:left="5040" w:hanging="360"/>
      </w:pPr>
    </w:lvl>
    <w:lvl w:ilvl="7" w:tplc="47D8ACA6">
      <w:start w:val="1"/>
      <w:numFmt w:val="lowerLetter"/>
      <w:lvlText w:val="%8."/>
      <w:lvlJc w:val="left"/>
      <w:pPr>
        <w:ind w:left="5760" w:hanging="360"/>
      </w:pPr>
    </w:lvl>
    <w:lvl w:ilvl="8" w:tplc="D1287A58">
      <w:start w:val="1"/>
      <w:numFmt w:val="lowerRoman"/>
      <w:lvlText w:val="%9."/>
      <w:lvlJc w:val="right"/>
      <w:pPr>
        <w:ind w:left="6480" w:hanging="180"/>
      </w:pPr>
    </w:lvl>
  </w:abstractNum>
  <w:abstractNum w:abstractNumId="27" w15:restartNumberingAfterBreak="0">
    <w:nsid w:val="4E9439C0"/>
    <w:multiLevelType w:val="hybridMultilevel"/>
    <w:tmpl w:val="6E682B28"/>
    <w:lvl w:ilvl="0" w:tplc="643CD9F2">
      <w:start w:val="6"/>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64ED5"/>
    <w:multiLevelType w:val="hybridMultilevel"/>
    <w:tmpl w:val="FE42C1C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5BDF36F3"/>
    <w:multiLevelType w:val="hybridMultilevel"/>
    <w:tmpl w:val="FFB6B384"/>
    <w:lvl w:ilvl="0" w:tplc="244A88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259399B"/>
    <w:multiLevelType w:val="hybridMultilevel"/>
    <w:tmpl w:val="74BC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E1A51"/>
    <w:multiLevelType w:val="hybridMultilevel"/>
    <w:tmpl w:val="B31E1114"/>
    <w:lvl w:ilvl="0" w:tplc="0409000F">
      <w:start w:val="1"/>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678B06CC"/>
    <w:multiLevelType w:val="hybridMultilevel"/>
    <w:tmpl w:val="D58035B8"/>
    <w:lvl w:ilvl="0" w:tplc="643CD9F2">
      <w:start w:val="6"/>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15:restartNumberingAfterBreak="0">
    <w:nsid w:val="6A4D4CC6"/>
    <w:multiLevelType w:val="multilevel"/>
    <w:tmpl w:val="272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2B2756B"/>
    <w:multiLevelType w:val="hybridMultilevel"/>
    <w:tmpl w:val="0808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61338"/>
    <w:multiLevelType w:val="hybridMultilevel"/>
    <w:tmpl w:val="2356EFC6"/>
    <w:lvl w:ilvl="0" w:tplc="BC42D5B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3037"/>
    <w:multiLevelType w:val="hybridMultilevel"/>
    <w:tmpl w:val="F2461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6"/>
  </w:num>
  <w:num w:numId="4">
    <w:abstractNumId w:val="2"/>
  </w:num>
  <w:num w:numId="5">
    <w:abstractNumId w:val="0"/>
  </w:num>
  <w:num w:numId="6">
    <w:abstractNumId w:val="6"/>
  </w:num>
  <w:num w:numId="7">
    <w:abstractNumId w:val="6"/>
    <w:lvlOverride w:ilvl="0">
      <w:startOverride w:val="1"/>
    </w:lvlOverride>
  </w:num>
  <w:num w:numId="8">
    <w:abstractNumId w:val="15"/>
  </w:num>
  <w:num w:numId="9">
    <w:abstractNumId w:val="5"/>
  </w:num>
  <w:num w:numId="10">
    <w:abstractNumId w:val="16"/>
  </w:num>
  <w:num w:numId="11">
    <w:abstractNumId w:val="22"/>
  </w:num>
  <w:num w:numId="12">
    <w:abstractNumId w:val="13"/>
  </w:num>
  <w:num w:numId="13">
    <w:abstractNumId w:val="31"/>
  </w:num>
  <w:num w:numId="14">
    <w:abstractNumId w:val="37"/>
  </w:num>
  <w:num w:numId="15">
    <w:abstractNumId w:val="36"/>
  </w:num>
  <w:num w:numId="16">
    <w:abstractNumId w:val="25"/>
  </w:num>
  <w:num w:numId="17">
    <w:abstractNumId w:val="28"/>
  </w:num>
  <w:num w:numId="18">
    <w:abstractNumId w:val="1"/>
  </w:num>
  <w:num w:numId="19">
    <w:abstractNumId w:val="41"/>
  </w:num>
  <w:num w:numId="20">
    <w:abstractNumId w:val="38"/>
  </w:num>
  <w:num w:numId="21">
    <w:abstractNumId w:val="23"/>
  </w:num>
  <w:num w:numId="22">
    <w:abstractNumId w:val="39"/>
  </w:num>
  <w:num w:numId="23">
    <w:abstractNumId w:val="11"/>
  </w:num>
  <w:num w:numId="24">
    <w:abstractNumId w:val="14"/>
  </w:num>
  <w:num w:numId="25">
    <w:abstractNumId w:val="18"/>
  </w:num>
  <w:num w:numId="26">
    <w:abstractNumId w:val="27"/>
  </w:num>
  <w:num w:numId="27">
    <w:abstractNumId w:val="34"/>
  </w:num>
  <w:num w:numId="28">
    <w:abstractNumId w:val="33"/>
  </w:num>
  <w:num w:numId="29">
    <w:abstractNumId w:val="12"/>
  </w:num>
  <w:num w:numId="30">
    <w:abstractNumId w:val="30"/>
  </w:num>
  <w:num w:numId="31">
    <w:abstractNumId w:val="10"/>
  </w:num>
  <w:num w:numId="32">
    <w:abstractNumId w:val="29"/>
  </w:num>
  <w:num w:numId="33">
    <w:abstractNumId w:val="8"/>
  </w:num>
  <w:num w:numId="34">
    <w:abstractNumId w:val="19"/>
  </w:num>
  <w:num w:numId="35">
    <w:abstractNumId w:val="24"/>
  </w:num>
  <w:num w:numId="36">
    <w:abstractNumId w:val="35"/>
  </w:num>
  <w:num w:numId="37">
    <w:abstractNumId w:val="4"/>
  </w:num>
  <w:num w:numId="38">
    <w:abstractNumId w:val="40"/>
  </w:num>
  <w:num w:numId="39">
    <w:abstractNumId w:val="32"/>
  </w:num>
  <w:num w:numId="40">
    <w:abstractNumId w:val="20"/>
  </w:num>
  <w:num w:numId="41">
    <w:abstractNumId w:val="17"/>
  </w:num>
  <w:num w:numId="42">
    <w:abstractNumId w:val="7"/>
  </w:num>
  <w:num w:numId="43">
    <w:abstractNumId w:val="3"/>
  </w:num>
  <w:num w:numId="44">
    <w:abstractNumId w:val="6"/>
  </w:num>
  <w:num w:numId="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49CA"/>
    <w:rsid w:val="000057AA"/>
    <w:rsid w:val="000072CF"/>
    <w:rsid w:val="00010930"/>
    <w:rsid w:val="00011505"/>
    <w:rsid w:val="00011915"/>
    <w:rsid w:val="00011D45"/>
    <w:rsid w:val="00013611"/>
    <w:rsid w:val="000156C6"/>
    <w:rsid w:val="00015FF2"/>
    <w:rsid w:val="00016782"/>
    <w:rsid w:val="0001785A"/>
    <w:rsid w:val="00021880"/>
    <w:rsid w:val="00022634"/>
    <w:rsid w:val="00022DE9"/>
    <w:rsid w:val="00024653"/>
    <w:rsid w:val="00027EE6"/>
    <w:rsid w:val="00030A48"/>
    <w:rsid w:val="00031E16"/>
    <w:rsid w:val="00031EB7"/>
    <w:rsid w:val="00033117"/>
    <w:rsid w:val="000332E1"/>
    <w:rsid w:val="0003356C"/>
    <w:rsid w:val="0003461C"/>
    <w:rsid w:val="0003787B"/>
    <w:rsid w:val="0004020D"/>
    <w:rsid w:val="00041F71"/>
    <w:rsid w:val="00044654"/>
    <w:rsid w:val="00044655"/>
    <w:rsid w:val="00045877"/>
    <w:rsid w:val="00051C87"/>
    <w:rsid w:val="000524CF"/>
    <w:rsid w:val="00053313"/>
    <w:rsid w:val="0005468D"/>
    <w:rsid w:val="00055972"/>
    <w:rsid w:val="00055B0C"/>
    <w:rsid w:val="000615B0"/>
    <w:rsid w:val="00062A21"/>
    <w:rsid w:val="00062E78"/>
    <w:rsid w:val="00064C6B"/>
    <w:rsid w:val="000672ED"/>
    <w:rsid w:val="000717D8"/>
    <w:rsid w:val="00072825"/>
    <w:rsid w:val="000734EF"/>
    <w:rsid w:val="000748FE"/>
    <w:rsid w:val="00074C29"/>
    <w:rsid w:val="00075711"/>
    <w:rsid w:val="00075DBC"/>
    <w:rsid w:val="000776E9"/>
    <w:rsid w:val="00077F50"/>
    <w:rsid w:val="00080443"/>
    <w:rsid w:val="000818E0"/>
    <w:rsid w:val="000818F5"/>
    <w:rsid w:val="00081FAC"/>
    <w:rsid w:val="0008221B"/>
    <w:rsid w:val="00082D1E"/>
    <w:rsid w:val="0008309A"/>
    <w:rsid w:val="000833C3"/>
    <w:rsid w:val="00084487"/>
    <w:rsid w:val="00084934"/>
    <w:rsid w:val="00085AA9"/>
    <w:rsid w:val="000868DE"/>
    <w:rsid w:val="00086FCD"/>
    <w:rsid w:val="00090431"/>
    <w:rsid w:val="00092A3C"/>
    <w:rsid w:val="00092A70"/>
    <w:rsid w:val="000939D5"/>
    <w:rsid w:val="000945A2"/>
    <w:rsid w:val="000970AD"/>
    <w:rsid w:val="000A0830"/>
    <w:rsid w:val="000A0FA0"/>
    <w:rsid w:val="000A5A14"/>
    <w:rsid w:val="000A60FE"/>
    <w:rsid w:val="000A7614"/>
    <w:rsid w:val="000B063B"/>
    <w:rsid w:val="000B36C3"/>
    <w:rsid w:val="000B3A46"/>
    <w:rsid w:val="000B3D30"/>
    <w:rsid w:val="000B4494"/>
    <w:rsid w:val="000B4627"/>
    <w:rsid w:val="000B48E2"/>
    <w:rsid w:val="000B4B2D"/>
    <w:rsid w:val="000B660E"/>
    <w:rsid w:val="000B6775"/>
    <w:rsid w:val="000B6DC3"/>
    <w:rsid w:val="000C49F5"/>
    <w:rsid w:val="000C4DDD"/>
    <w:rsid w:val="000C6A67"/>
    <w:rsid w:val="000D3CFA"/>
    <w:rsid w:val="000D60DE"/>
    <w:rsid w:val="000D65BC"/>
    <w:rsid w:val="000E09B1"/>
    <w:rsid w:val="000E2455"/>
    <w:rsid w:val="000E29A8"/>
    <w:rsid w:val="000E3CEC"/>
    <w:rsid w:val="000E506E"/>
    <w:rsid w:val="000F2760"/>
    <w:rsid w:val="000F36C5"/>
    <w:rsid w:val="000F42EE"/>
    <w:rsid w:val="000F4EE2"/>
    <w:rsid w:val="000F517F"/>
    <w:rsid w:val="00104FDC"/>
    <w:rsid w:val="00106518"/>
    <w:rsid w:val="00107ECE"/>
    <w:rsid w:val="001107E4"/>
    <w:rsid w:val="001116C2"/>
    <w:rsid w:val="00113A56"/>
    <w:rsid w:val="001141FC"/>
    <w:rsid w:val="0011482C"/>
    <w:rsid w:val="00115EED"/>
    <w:rsid w:val="00116DF3"/>
    <w:rsid w:val="00123A7A"/>
    <w:rsid w:val="0012598E"/>
    <w:rsid w:val="00126A67"/>
    <w:rsid w:val="00130AC0"/>
    <w:rsid w:val="00131DCD"/>
    <w:rsid w:val="00132EE7"/>
    <w:rsid w:val="00135649"/>
    <w:rsid w:val="00137EA6"/>
    <w:rsid w:val="00137EB2"/>
    <w:rsid w:val="00140058"/>
    <w:rsid w:val="00140AC7"/>
    <w:rsid w:val="001411C6"/>
    <w:rsid w:val="001434C9"/>
    <w:rsid w:val="00143F97"/>
    <w:rsid w:val="001441EC"/>
    <w:rsid w:val="00144D89"/>
    <w:rsid w:val="00146350"/>
    <w:rsid w:val="00146AC1"/>
    <w:rsid w:val="00146DAE"/>
    <w:rsid w:val="00147411"/>
    <w:rsid w:val="0015229E"/>
    <w:rsid w:val="001522D5"/>
    <w:rsid w:val="0015272F"/>
    <w:rsid w:val="001535D9"/>
    <w:rsid w:val="001555BB"/>
    <w:rsid w:val="00155DA1"/>
    <w:rsid w:val="00157D62"/>
    <w:rsid w:val="0016464E"/>
    <w:rsid w:val="00165334"/>
    <w:rsid w:val="00167101"/>
    <w:rsid w:val="00167302"/>
    <w:rsid w:val="0017042B"/>
    <w:rsid w:val="00171649"/>
    <w:rsid w:val="00174430"/>
    <w:rsid w:val="00175FA7"/>
    <w:rsid w:val="001776D4"/>
    <w:rsid w:val="001777E4"/>
    <w:rsid w:val="00177DEE"/>
    <w:rsid w:val="00177FA0"/>
    <w:rsid w:val="00180874"/>
    <w:rsid w:val="00181491"/>
    <w:rsid w:val="00182D66"/>
    <w:rsid w:val="00183C2F"/>
    <w:rsid w:val="00184097"/>
    <w:rsid w:val="001845BD"/>
    <w:rsid w:val="00184AA4"/>
    <w:rsid w:val="00185A4E"/>
    <w:rsid w:val="00185E47"/>
    <w:rsid w:val="001871D0"/>
    <w:rsid w:val="00190860"/>
    <w:rsid w:val="00190F93"/>
    <w:rsid w:val="0019112B"/>
    <w:rsid w:val="00192618"/>
    <w:rsid w:val="0019405B"/>
    <w:rsid w:val="00194BA9"/>
    <w:rsid w:val="00194F6B"/>
    <w:rsid w:val="00195274"/>
    <w:rsid w:val="00196057"/>
    <w:rsid w:val="001A0D4A"/>
    <w:rsid w:val="001A1150"/>
    <w:rsid w:val="001A615C"/>
    <w:rsid w:val="001A7C89"/>
    <w:rsid w:val="001B14E4"/>
    <w:rsid w:val="001B30A4"/>
    <w:rsid w:val="001B33D4"/>
    <w:rsid w:val="001B368C"/>
    <w:rsid w:val="001B5BE3"/>
    <w:rsid w:val="001B782A"/>
    <w:rsid w:val="001B7B76"/>
    <w:rsid w:val="001C0394"/>
    <w:rsid w:val="001C0955"/>
    <w:rsid w:val="001C0CF1"/>
    <w:rsid w:val="001C44EF"/>
    <w:rsid w:val="001C4F43"/>
    <w:rsid w:val="001C5460"/>
    <w:rsid w:val="001C60D2"/>
    <w:rsid w:val="001C7029"/>
    <w:rsid w:val="001C7077"/>
    <w:rsid w:val="001D0B24"/>
    <w:rsid w:val="001D0F8F"/>
    <w:rsid w:val="001D1221"/>
    <w:rsid w:val="001D1CA5"/>
    <w:rsid w:val="001D6B14"/>
    <w:rsid w:val="001D70AA"/>
    <w:rsid w:val="001E2B57"/>
    <w:rsid w:val="001E6209"/>
    <w:rsid w:val="001F04C2"/>
    <w:rsid w:val="001F0DF7"/>
    <w:rsid w:val="001F1500"/>
    <w:rsid w:val="001F1717"/>
    <w:rsid w:val="001F2C19"/>
    <w:rsid w:val="001F343D"/>
    <w:rsid w:val="001F4B06"/>
    <w:rsid w:val="001F51F2"/>
    <w:rsid w:val="001F6626"/>
    <w:rsid w:val="001F7DD5"/>
    <w:rsid w:val="00201312"/>
    <w:rsid w:val="0020154C"/>
    <w:rsid w:val="00203F64"/>
    <w:rsid w:val="00204E38"/>
    <w:rsid w:val="002053AE"/>
    <w:rsid w:val="00205A82"/>
    <w:rsid w:val="002078C3"/>
    <w:rsid w:val="00207C3F"/>
    <w:rsid w:val="0021109F"/>
    <w:rsid w:val="002110E8"/>
    <w:rsid w:val="0021343B"/>
    <w:rsid w:val="00214FCC"/>
    <w:rsid w:val="00215B4A"/>
    <w:rsid w:val="00216441"/>
    <w:rsid w:val="002218D3"/>
    <w:rsid w:val="00221CCB"/>
    <w:rsid w:val="00221E00"/>
    <w:rsid w:val="00222A27"/>
    <w:rsid w:val="00224B4E"/>
    <w:rsid w:val="00224DFE"/>
    <w:rsid w:val="002250C4"/>
    <w:rsid w:val="00226B92"/>
    <w:rsid w:val="00226D1B"/>
    <w:rsid w:val="002317AF"/>
    <w:rsid w:val="00231AEE"/>
    <w:rsid w:val="00231CDD"/>
    <w:rsid w:val="00233370"/>
    <w:rsid w:val="00233A96"/>
    <w:rsid w:val="00234C8A"/>
    <w:rsid w:val="00235641"/>
    <w:rsid w:val="00235F3D"/>
    <w:rsid w:val="002367F0"/>
    <w:rsid w:val="00236B9C"/>
    <w:rsid w:val="00237B80"/>
    <w:rsid w:val="0024180B"/>
    <w:rsid w:val="0024292C"/>
    <w:rsid w:val="00243068"/>
    <w:rsid w:val="0024340F"/>
    <w:rsid w:val="0024437D"/>
    <w:rsid w:val="00246251"/>
    <w:rsid w:val="00246539"/>
    <w:rsid w:val="00246A04"/>
    <w:rsid w:val="00246BC6"/>
    <w:rsid w:val="00246D95"/>
    <w:rsid w:val="00247233"/>
    <w:rsid w:val="00250747"/>
    <w:rsid w:val="002510C6"/>
    <w:rsid w:val="00252769"/>
    <w:rsid w:val="00254C84"/>
    <w:rsid w:val="00254F75"/>
    <w:rsid w:val="0025523F"/>
    <w:rsid w:val="00256169"/>
    <w:rsid w:val="00264CF7"/>
    <w:rsid w:val="002650C9"/>
    <w:rsid w:val="00266278"/>
    <w:rsid w:val="00266A88"/>
    <w:rsid w:val="002678BD"/>
    <w:rsid w:val="002743C4"/>
    <w:rsid w:val="00274AD6"/>
    <w:rsid w:val="00277329"/>
    <w:rsid w:val="00277FF0"/>
    <w:rsid w:val="002825CF"/>
    <w:rsid w:val="00282FDF"/>
    <w:rsid w:val="00283B80"/>
    <w:rsid w:val="00285154"/>
    <w:rsid w:val="00285A98"/>
    <w:rsid w:val="00287241"/>
    <w:rsid w:val="0028D5E4"/>
    <w:rsid w:val="002906AA"/>
    <w:rsid w:val="00294206"/>
    <w:rsid w:val="0029421D"/>
    <w:rsid w:val="00296F57"/>
    <w:rsid w:val="002A0800"/>
    <w:rsid w:val="002A0E49"/>
    <w:rsid w:val="002A3015"/>
    <w:rsid w:val="002A5C87"/>
    <w:rsid w:val="002A6344"/>
    <w:rsid w:val="002A6D77"/>
    <w:rsid w:val="002A7441"/>
    <w:rsid w:val="002B104C"/>
    <w:rsid w:val="002B19AE"/>
    <w:rsid w:val="002B1A4A"/>
    <w:rsid w:val="002B401A"/>
    <w:rsid w:val="002B5E98"/>
    <w:rsid w:val="002B60B4"/>
    <w:rsid w:val="002B7BD9"/>
    <w:rsid w:val="002B7D87"/>
    <w:rsid w:val="002C0F93"/>
    <w:rsid w:val="002C132E"/>
    <w:rsid w:val="002C133E"/>
    <w:rsid w:val="002C1A40"/>
    <w:rsid w:val="002C26FB"/>
    <w:rsid w:val="002C29A3"/>
    <w:rsid w:val="002C3155"/>
    <w:rsid w:val="002C5AB4"/>
    <w:rsid w:val="002C669A"/>
    <w:rsid w:val="002C7759"/>
    <w:rsid w:val="002D17F8"/>
    <w:rsid w:val="002D3DB9"/>
    <w:rsid w:val="002D4549"/>
    <w:rsid w:val="002D49DD"/>
    <w:rsid w:val="002D4D04"/>
    <w:rsid w:val="002D6697"/>
    <w:rsid w:val="002D7ADF"/>
    <w:rsid w:val="002E7232"/>
    <w:rsid w:val="002F1329"/>
    <w:rsid w:val="002F3343"/>
    <w:rsid w:val="00300948"/>
    <w:rsid w:val="00302288"/>
    <w:rsid w:val="003027DB"/>
    <w:rsid w:val="00303A27"/>
    <w:rsid w:val="00303D06"/>
    <w:rsid w:val="003049B2"/>
    <w:rsid w:val="003065F1"/>
    <w:rsid w:val="003069DF"/>
    <w:rsid w:val="0030798F"/>
    <w:rsid w:val="00313BAA"/>
    <w:rsid w:val="00314B45"/>
    <w:rsid w:val="00314CAF"/>
    <w:rsid w:val="003156E0"/>
    <w:rsid w:val="00315ADA"/>
    <w:rsid w:val="00315F9D"/>
    <w:rsid w:val="00316445"/>
    <w:rsid w:val="00320666"/>
    <w:rsid w:val="00321193"/>
    <w:rsid w:val="00321457"/>
    <w:rsid w:val="0032302E"/>
    <w:rsid w:val="00323613"/>
    <w:rsid w:val="0032365E"/>
    <w:rsid w:val="003248C7"/>
    <w:rsid w:val="003249D4"/>
    <w:rsid w:val="003257DC"/>
    <w:rsid w:val="00327BE1"/>
    <w:rsid w:val="00327F53"/>
    <w:rsid w:val="003303F2"/>
    <w:rsid w:val="00330C89"/>
    <w:rsid w:val="003315F6"/>
    <w:rsid w:val="00332086"/>
    <w:rsid w:val="003320E1"/>
    <w:rsid w:val="0033512E"/>
    <w:rsid w:val="00335154"/>
    <w:rsid w:val="0033621C"/>
    <w:rsid w:val="00337A1D"/>
    <w:rsid w:val="00337D42"/>
    <w:rsid w:val="00340E23"/>
    <w:rsid w:val="0034294D"/>
    <w:rsid w:val="00343C7E"/>
    <w:rsid w:val="0034529B"/>
    <w:rsid w:val="0034663D"/>
    <w:rsid w:val="003508AE"/>
    <w:rsid w:val="003517B0"/>
    <w:rsid w:val="00353A37"/>
    <w:rsid w:val="003634A7"/>
    <w:rsid w:val="00363A75"/>
    <w:rsid w:val="003641B4"/>
    <w:rsid w:val="003650E3"/>
    <w:rsid w:val="00365140"/>
    <w:rsid w:val="0037132E"/>
    <w:rsid w:val="003714D3"/>
    <w:rsid w:val="00372C81"/>
    <w:rsid w:val="003731DF"/>
    <w:rsid w:val="003747AD"/>
    <w:rsid w:val="0037570D"/>
    <w:rsid w:val="003758BF"/>
    <w:rsid w:val="00375CA3"/>
    <w:rsid w:val="003765D4"/>
    <w:rsid w:val="00381202"/>
    <w:rsid w:val="00381E69"/>
    <w:rsid w:val="003825CA"/>
    <w:rsid w:val="003830B6"/>
    <w:rsid w:val="0038628D"/>
    <w:rsid w:val="00386971"/>
    <w:rsid w:val="003871E1"/>
    <w:rsid w:val="00390519"/>
    <w:rsid w:val="00392E99"/>
    <w:rsid w:val="00394C21"/>
    <w:rsid w:val="00395B84"/>
    <w:rsid w:val="00396601"/>
    <w:rsid w:val="00396EB2"/>
    <w:rsid w:val="00396F09"/>
    <w:rsid w:val="0039A942"/>
    <w:rsid w:val="003A0E46"/>
    <w:rsid w:val="003A15D0"/>
    <w:rsid w:val="003A16E2"/>
    <w:rsid w:val="003A1B73"/>
    <w:rsid w:val="003A2010"/>
    <w:rsid w:val="003A4636"/>
    <w:rsid w:val="003A5E50"/>
    <w:rsid w:val="003A6046"/>
    <w:rsid w:val="003A76AA"/>
    <w:rsid w:val="003B1B6B"/>
    <w:rsid w:val="003B2278"/>
    <w:rsid w:val="003B2A5A"/>
    <w:rsid w:val="003B3FAE"/>
    <w:rsid w:val="003B4054"/>
    <w:rsid w:val="003B57B0"/>
    <w:rsid w:val="003B6580"/>
    <w:rsid w:val="003C0FEB"/>
    <w:rsid w:val="003C15F5"/>
    <w:rsid w:val="003C412F"/>
    <w:rsid w:val="003C4190"/>
    <w:rsid w:val="003C4481"/>
    <w:rsid w:val="003C7251"/>
    <w:rsid w:val="003D005D"/>
    <w:rsid w:val="003D0562"/>
    <w:rsid w:val="003D0A31"/>
    <w:rsid w:val="003D2B45"/>
    <w:rsid w:val="003D377E"/>
    <w:rsid w:val="003D4608"/>
    <w:rsid w:val="003D7C6A"/>
    <w:rsid w:val="003E49D4"/>
    <w:rsid w:val="003E5B4D"/>
    <w:rsid w:val="003E639A"/>
    <w:rsid w:val="003E6852"/>
    <w:rsid w:val="003F016E"/>
    <w:rsid w:val="003F05FA"/>
    <w:rsid w:val="003F0B87"/>
    <w:rsid w:val="003F2255"/>
    <w:rsid w:val="003F2425"/>
    <w:rsid w:val="003F25C1"/>
    <w:rsid w:val="003F2ED5"/>
    <w:rsid w:val="003F35E8"/>
    <w:rsid w:val="003F3A82"/>
    <w:rsid w:val="003F6F61"/>
    <w:rsid w:val="003F7130"/>
    <w:rsid w:val="003F778F"/>
    <w:rsid w:val="003F77BC"/>
    <w:rsid w:val="003F79FE"/>
    <w:rsid w:val="004071AD"/>
    <w:rsid w:val="004154AB"/>
    <w:rsid w:val="00416CF2"/>
    <w:rsid w:val="00420C4E"/>
    <w:rsid w:val="00421F5F"/>
    <w:rsid w:val="004235F8"/>
    <w:rsid w:val="00424483"/>
    <w:rsid w:val="00425242"/>
    <w:rsid w:val="004260A6"/>
    <w:rsid w:val="00426296"/>
    <w:rsid w:val="0043121A"/>
    <w:rsid w:val="004315C4"/>
    <w:rsid w:val="00434ACC"/>
    <w:rsid w:val="0043514A"/>
    <w:rsid w:val="00436564"/>
    <w:rsid w:val="004369F6"/>
    <w:rsid w:val="00440CE7"/>
    <w:rsid w:val="004426F5"/>
    <w:rsid w:val="00442B38"/>
    <w:rsid w:val="00445633"/>
    <w:rsid w:val="00450154"/>
    <w:rsid w:val="004501B9"/>
    <w:rsid w:val="00451245"/>
    <w:rsid w:val="0045189A"/>
    <w:rsid w:val="0045198F"/>
    <w:rsid w:val="00452F86"/>
    <w:rsid w:val="0045303A"/>
    <w:rsid w:val="0045321A"/>
    <w:rsid w:val="00453D4C"/>
    <w:rsid w:val="00454397"/>
    <w:rsid w:val="00457107"/>
    <w:rsid w:val="004613BE"/>
    <w:rsid w:val="004618BE"/>
    <w:rsid w:val="00463D63"/>
    <w:rsid w:val="00464440"/>
    <w:rsid w:val="0046511B"/>
    <w:rsid w:val="004713E4"/>
    <w:rsid w:val="00472917"/>
    <w:rsid w:val="00473497"/>
    <w:rsid w:val="004734C3"/>
    <w:rsid w:val="004734DD"/>
    <w:rsid w:val="0047726B"/>
    <w:rsid w:val="00477767"/>
    <w:rsid w:val="00481250"/>
    <w:rsid w:val="00481E7B"/>
    <w:rsid w:val="004848D5"/>
    <w:rsid w:val="004910EC"/>
    <w:rsid w:val="00492543"/>
    <w:rsid w:val="00493501"/>
    <w:rsid w:val="0049415E"/>
    <w:rsid w:val="00495469"/>
    <w:rsid w:val="004A0EC3"/>
    <w:rsid w:val="004A268D"/>
    <w:rsid w:val="004A37F4"/>
    <w:rsid w:val="004A3D07"/>
    <w:rsid w:val="004A48C0"/>
    <w:rsid w:val="004A7B64"/>
    <w:rsid w:val="004A7D2E"/>
    <w:rsid w:val="004B1EA8"/>
    <w:rsid w:val="004B28EA"/>
    <w:rsid w:val="004B4027"/>
    <w:rsid w:val="004B525D"/>
    <w:rsid w:val="004B6EA2"/>
    <w:rsid w:val="004C12CA"/>
    <w:rsid w:val="004C427B"/>
    <w:rsid w:val="004C67AD"/>
    <w:rsid w:val="004C69C4"/>
    <w:rsid w:val="004D0895"/>
    <w:rsid w:val="004D16E4"/>
    <w:rsid w:val="004D276E"/>
    <w:rsid w:val="004D36F0"/>
    <w:rsid w:val="004D4E35"/>
    <w:rsid w:val="004D6098"/>
    <w:rsid w:val="004E026D"/>
    <w:rsid w:val="004E3153"/>
    <w:rsid w:val="004E3827"/>
    <w:rsid w:val="004E4260"/>
    <w:rsid w:val="004E51CC"/>
    <w:rsid w:val="004E52AA"/>
    <w:rsid w:val="004F00E0"/>
    <w:rsid w:val="004F0A6A"/>
    <w:rsid w:val="004F18DF"/>
    <w:rsid w:val="004F234D"/>
    <w:rsid w:val="004F2706"/>
    <w:rsid w:val="004F28ED"/>
    <w:rsid w:val="004F2A0D"/>
    <w:rsid w:val="004F2F76"/>
    <w:rsid w:val="004F45ED"/>
    <w:rsid w:val="004F4E41"/>
    <w:rsid w:val="004F7613"/>
    <w:rsid w:val="0050022A"/>
    <w:rsid w:val="005024D1"/>
    <w:rsid w:val="00502C3B"/>
    <w:rsid w:val="00506A26"/>
    <w:rsid w:val="005106F3"/>
    <w:rsid w:val="00511D22"/>
    <w:rsid w:val="00513BBB"/>
    <w:rsid w:val="00516224"/>
    <w:rsid w:val="00516495"/>
    <w:rsid w:val="005167C9"/>
    <w:rsid w:val="00516B48"/>
    <w:rsid w:val="00517212"/>
    <w:rsid w:val="0052083C"/>
    <w:rsid w:val="00521622"/>
    <w:rsid w:val="00521699"/>
    <w:rsid w:val="00521FA0"/>
    <w:rsid w:val="005223C2"/>
    <w:rsid w:val="00523E48"/>
    <w:rsid w:val="00525831"/>
    <w:rsid w:val="0052716D"/>
    <w:rsid w:val="005279BA"/>
    <w:rsid w:val="005336A9"/>
    <w:rsid w:val="005343A8"/>
    <w:rsid w:val="00534621"/>
    <w:rsid w:val="0053649B"/>
    <w:rsid w:val="00540303"/>
    <w:rsid w:val="00541C34"/>
    <w:rsid w:val="005447D0"/>
    <w:rsid w:val="005464FC"/>
    <w:rsid w:val="00551440"/>
    <w:rsid w:val="005521F5"/>
    <w:rsid w:val="005523F8"/>
    <w:rsid w:val="005541E6"/>
    <w:rsid w:val="005561EB"/>
    <w:rsid w:val="005610D7"/>
    <w:rsid w:val="00563F84"/>
    <w:rsid w:val="00567423"/>
    <w:rsid w:val="0057030B"/>
    <w:rsid w:val="005704DE"/>
    <w:rsid w:val="005722AF"/>
    <w:rsid w:val="005731FC"/>
    <w:rsid w:val="00573FB1"/>
    <w:rsid w:val="00574712"/>
    <w:rsid w:val="00575FC5"/>
    <w:rsid w:val="00576696"/>
    <w:rsid w:val="00576F79"/>
    <w:rsid w:val="005772E4"/>
    <w:rsid w:val="0058020F"/>
    <w:rsid w:val="00580C72"/>
    <w:rsid w:val="00581281"/>
    <w:rsid w:val="005827B8"/>
    <w:rsid w:val="00585274"/>
    <w:rsid w:val="005859CD"/>
    <w:rsid w:val="00586716"/>
    <w:rsid w:val="00590EC3"/>
    <w:rsid w:val="005917DA"/>
    <w:rsid w:val="00591989"/>
    <w:rsid w:val="005931DB"/>
    <w:rsid w:val="00594C17"/>
    <w:rsid w:val="00596143"/>
    <w:rsid w:val="00597EF5"/>
    <w:rsid w:val="005A2DB4"/>
    <w:rsid w:val="005A4A5F"/>
    <w:rsid w:val="005A4AE0"/>
    <w:rsid w:val="005A6451"/>
    <w:rsid w:val="005A7714"/>
    <w:rsid w:val="005A7C58"/>
    <w:rsid w:val="005B018F"/>
    <w:rsid w:val="005B2B2F"/>
    <w:rsid w:val="005B30DA"/>
    <w:rsid w:val="005B43DF"/>
    <w:rsid w:val="005B46E9"/>
    <w:rsid w:val="005B630C"/>
    <w:rsid w:val="005C1294"/>
    <w:rsid w:val="005C2E35"/>
    <w:rsid w:val="005C2ED7"/>
    <w:rsid w:val="005C44F6"/>
    <w:rsid w:val="005C5574"/>
    <w:rsid w:val="005C5E0F"/>
    <w:rsid w:val="005C7D9F"/>
    <w:rsid w:val="005D00B1"/>
    <w:rsid w:val="005D291B"/>
    <w:rsid w:val="005D35D7"/>
    <w:rsid w:val="005D3FB5"/>
    <w:rsid w:val="005D5966"/>
    <w:rsid w:val="005D77E2"/>
    <w:rsid w:val="005D7B63"/>
    <w:rsid w:val="005E35E6"/>
    <w:rsid w:val="005E3E9D"/>
    <w:rsid w:val="005E50D6"/>
    <w:rsid w:val="005E6449"/>
    <w:rsid w:val="005E6EF0"/>
    <w:rsid w:val="005E763F"/>
    <w:rsid w:val="005F1FAA"/>
    <w:rsid w:val="005F288A"/>
    <w:rsid w:val="005F32D8"/>
    <w:rsid w:val="005F371A"/>
    <w:rsid w:val="005F3E31"/>
    <w:rsid w:val="005F41A2"/>
    <w:rsid w:val="005F5487"/>
    <w:rsid w:val="00601686"/>
    <w:rsid w:val="00601694"/>
    <w:rsid w:val="00602A96"/>
    <w:rsid w:val="00603A45"/>
    <w:rsid w:val="00606833"/>
    <w:rsid w:val="006139B5"/>
    <w:rsid w:val="0061532A"/>
    <w:rsid w:val="00615FEA"/>
    <w:rsid w:val="00616675"/>
    <w:rsid w:val="006203CA"/>
    <w:rsid w:val="006207D5"/>
    <w:rsid w:val="00620B96"/>
    <w:rsid w:val="00621AF7"/>
    <w:rsid w:val="006224CC"/>
    <w:rsid w:val="006229FB"/>
    <w:rsid w:val="00626B6E"/>
    <w:rsid w:val="00627FF9"/>
    <w:rsid w:val="006322B2"/>
    <w:rsid w:val="00633615"/>
    <w:rsid w:val="00634C6E"/>
    <w:rsid w:val="00635B19"/>
    <w:rsid w:val="00635DC2"/>
    <w:rsid w:val="00636661"/>
    <w:rsid w:val="00640C52"/>
    <w:rsid w:val="00640FC6"/>
    <w:rsid w:val="0064123B"/>
    <w:rsid w:val="00641E2D"/>
    <w:rsid w:val="0064206F"/>
    <w:rsid w:val="006428D0"/>
    <w:rsid w:val="0064552C"/>
    <w:rsid w:val="0064590D"/>
    <w:rsid w:val="00645EF2"/>
    <w:rsid w:val="00647417"/>
    <w:rsid w:val="006506FE"/>
    <w:rsid w:val="00650D00"/>
    <w:rsid w:val="00653E77"/>
    <w:rsid w:val="0065693C"/>
    <w:rsid w:val="0065743B"/>
    <w:rsid w:val="00657AE7"/>
    <w:rsid w:val="006615C8"/>
    <w:rsid w:val="00661658"/>
    <w:rsid w:val="006626EC"/>
    <w:rsid w:val="0066404F"/>
    <w:rsid w:val="006647A8"/>
    <w:rsid w:val="00665B4B"/>
    <w:rsid w:val="00665FAC"/>
    <w:rsid w:val="00666861"/>
    <w:rsid w:val="00666B7D"/>
    <w:rsid w:val="00667218"/>
    <w:rsid w:val="0066C39B"/>
    <w:rsid w:val="006703D0"/>
    <w:rsid w:val="00670ECD"/>
    <w:rsid w:val="00672902"/>
    <w:rsid w:val="00673B74"/>
    <w:rsid w:val="0067566D"/>
    <w:rsid w:val="006814C9"/>
    <w:rsid w:val="00681937"/>
    <w:rsid w:val="0068266F"/>
    <w:rsid w:val="00682ECA"/>
    <w:rsid w:val="006844FD"/>
    <w:rsid w:val="00687EC5"/>
    <w:rsid w:val="006913B2"/>
    <w:rsid w:val="0069159E"/>
    <w:rsid w:val="00691C19"/>
    <w:rsid w:val="00692D50"/>
    <w:rsid w:val="00694192"/>
    <w:rsid w:val="00695C5D"/>
    <w:rsid w:val="006A05E3"/>
    <w:rsid w:val="006A076B"/>
    <w:rsid w:val="006A0C6D"/>
    <w:rsid w:val="006A2171"/>
    <w:rsid w:val="006A2636"/>
    <w:rsid w:val="006A2662"/>
    <w:rsid w:val="006A3AE1"/>
    <w:rsid w:val="006B3189"/>
    <w:rsid w:val="006B31E5"/>
    <w:rsid w:val="006B3803"/>
    <w:rsid w:val="006B4F27"/>
    <w:rsid w:val="006B515F"/>
    <w:rsid w:val="006B59BC"/>
    <w:rsid w:val="006B701B"/>
    <w:rsid w:val="006C3698"/>
    <w:rsid w:val="006C4130"/>
    <w:rsid w:val="006C4231"/>
    <w:rsid w:val="006C4F42"/>
    <w:rsid w:val="006C5D24"/>
    <w:rsid w:val="006C65DF"/>
    <w:rsid w:val="006D2C73"/>
    <w:rsid w:val="006D2CBF"/>
    <w:rsid w:val="006D58B9"/>
    <w:rsid w:val="006D6D0F"/>
    <w:rsid w:val="006D777D"/>
    <w:rsid w:val="006E0F36"/>
    <w:rsid w:val="006E0F66"/>
    <w:rsid w:val="006E19FC"/>
    <w:rsid w:val="006E3197"/>
    <w:rsid w:val="006E5163"/>
    <w:rsid w:val="006E7AE0"/>
    <w:rsid w:val="006F0067"/>
    <w:rsid w:val="006F0C40"/>
    <w:rsid w:val="006F1631"/>
    <w:rsid w:val="006F1D2F"/>
    <w:rsid w:val="006F2142"/>
    <w:rsid w:val="006F2144"/>
    <w:rsid w:val="006F260D"/>
    <w:rsid w:val="006F2F88"/>
    <w:rsid w:val="006F368F"/>
    <w:rsid w:val="006F39A0"/>
    <w:rsid w:val="006F4610"/>
    <w:rsid w:val="006F47AD"/>
    <w:rsid w:val="006F50CB"/>
    <w:rsid w:val="006F71FA"/>
    <w:rsid w:val="007008FA"/>
    <w:rsid w:val="00700D7C"/>
    <w:rsid w:val="00703170"/>
    <w:rsid w:val="00704256"/>
    <w:rsid w:val="00706434"/>
    <w:rsid w:val="00707181"/>
    <w:rsid w:val="0071188F"/>
    <w:rsid w:val="00712987"/>
    <w:rsid w:val="007143D5"/>
    <w:rsid w:val="007144F7"/>
    <w:rsid w:val="00714A69"/>
    <w:rsid w:val="0071592C"/>
    <w:rsid w:val="00715EDA"/>
    <w:rsid w:val="00717F4A"/>
    <w:rsid w:val="007229A8"/>
    <w:rsid w:val="00722FB5"/>
    <w:rsid w:val="0072383C"/>
    <w:rsid w:val="00723B7A"/>
    <w:rsid w:val="007252DD"/>
    <w:rsid w:val="00726E1C"/>
    <w:rsid w:val="00726F4D"/>
    <w:rsid w:val="00734532"/>
    <w:rsid w:val="00736477"/>
    <w:rsid w:val="0074429C"/>
    <w:rsid w:val="007444F1"/>
    <w:rsid w:val="007459D3"/>
    <w:rsid w:val="007461CC"/>
    <w:rsid w:val="00746E4F"/>
    <w:rsid w:val="00746E7B"/>
    <w:rsid w:val="007473E3"/>
    <w:rsid w:val="007478B1"/>
    <w:rsid w:val="00750BE8"/>
    <w:rsid w:val="00750FFC"/>
    <w:rsid w:val="00752C05"/>
    <w:rsid w:val="00753AF6"/>
    <w:rsid w:val="00753CC9"/>
    <w:rsid w:val="007549CC"/>
    <w:rsid w:val="00754BC0"/>
    <w:rsid w:val="00757054"/>
    <w:rsid w:val="0075BE76"/>
    <w:rsid w:val="00760587"/>
    <w:rsid w:val="007622B3"/>
    <w:rsid w:val="007626DF"/>
    <w:rsid w:val="00766B89"/>
    <w:rsid w:val="00768781"/>
    <w:rsid w:val="00770C66"/>
    <w:rsid w:val="00770DC8"/>
    <w:rsid w:val="00773141"/>
    <w:rsid w:val="0077331E"/>
    <w:rsid w:val="007746C0"/>
    <w:rsid w:val="00774B54"/>
    <w:rsid w:val="00775445"/>
    <w:rsid w:val="00777DBA"/>
    <w:rsid w:val="007814A2"/>
    <w:rsid w:val="007819F5"/>
    <w:rsid w:val="00782712"/>
    <w:rsid w:val="00782B2D"/>
    <w:rsid w:val="00786926"/>
    <w:rsid w:val="007877D6"/>
    <w:rsid w:val="007878A9"/>
    <w:rsid w:val="00790895"/>
    <w:rsid w:val="007918D7"/>
    <w:rsid w:val="00793287"/>
    <w:rsid w:val="00793580"/>
    <w:rsid w:val="007938D0"/>
    <w:rsid w:val="00794C50"/>
    <w:rsid w:val="00797D38"/>
    <w:rsid w:val="007A0060"/>
    <w:rsid w:val="007A0CCB"/>
    <w:rsid w:val="007A2368"/>
    <w:rsid w:val="007A2D91"/>
    <w:rsid w:val="007A4217"/>
    <w:rsid w:val="007A4C4D"/>
    <w:rsid w:val="007A63AC"/>
    <w:rsid w:val="007A70D8"/>
    <w:rsid w:val="007B0FE8"/>
    <w:rsid w:val="007B16C9"/>
    <w:rsid w:val="007B1D5A"/>
    <w:rsid w:val="007B5E0E"/>
    <w:rsid w:val="007B62FA"/>
    <w:rsid w:val="007C0B75"/>
    <w:rsid w:val="007C0C9A"/>
    <w:rsid w:val="007C0D52"/>
    <w:rsid w:val="007C3273"/>
    <w:rsid w:val="007C5423"/>
    <w:rsid w:val="007C54AF"/>
    <w:rsid w:val="007C5646"/>
    <w:rsid w:val="007C6793"/>
    <w:rsid w:val="007C77A4"/>
    <w:rsid w:val="007D001B"/>
    <w:rsid w:val="007D05FC"/>
    <w:rsid w:val="007D6D7F"/>
    <w:rsid w:val="007D78AF"/>
    <w:rsid w:val="007D792E"/>
    <w:rsid w:val="007E007A"/>
    <w:rsid w:val="007E25BE"/>
    <w:rsid w:val="007E2A62"/>
    <w:rsid w:val="007E2F6E"/>
    <w:rsid w:val="007E3FDF"/>
    <w:rsid w:val="007E639B"/>
    <w:rsid w:val="007E63A6"/>
    <w:rsid w:val="007E68FF"/>
    <w:rsid w:val="007E7808"/>
    <w:rsid w:val="007E7862"/>
    <w:rsid w:val="007E79C2"/>
    <w:rsid w:val="007F006D"/>
    <w:rsid w:val="007F037D"/>
    <w:rsid w:val="007F055F"/>
    <w:rsid w:val="007F1A4F"/>
    <w:rsid w:val="007F27D0"/>
    <w:rsid w:val="007F2CC3"/>
    <w:rsid w:val="007F4384"/>
    <w:rsid w:val="007F514E"/>
    <w:rsid w:val="007F61FD"/>
    <w:rsid w:val="00802085"/>
    <w:rsid w:val="008030F2"/>
    <w:rsid w:val="00805F3C"/>
    <w:rsid w:val="0080775F"/>
    <w:rsid w:val="00811314"/>
    <w:rsid w:val="00812B73"/>
    <w:rsid w:val="008146AF"/>
    <w:rsid w:val="0081486B"/>
    <w:rsid w:val="00814F0B"/>
    <w:rsid w:val="00815892"/>
    <w:rsid w:val="00816D98"/>
    <w:rsid w:val="00821E53"/>
    <w:rsid w:val="008224ED"/>
    <w:rsid w:val="008232AB"/>
    <w:rsid w:val="008243A7"/>
    <w:rsid w:val="0082465C"/>
    <w:rsid w:val="00826EA0"/>
    <w:rsid w:val="0082707E"/>
    <w:rsid w:val="008300DC"/>
    <w:rsid w:val="00831540"/>
    <w:rsid w:val="008320BF"/>
    <w:rsid w:val="00832274"/>
    <w:rsid w:val="0083291C"/>
    <w:rsid w:val="008356A7"/>
    <w:rsid w:val="00836092"/>
    <w:rsid w:val="008423E3"/>
    <w:rsid w:val="008424BF"/>
    <w:rsid w:val="008443F5"/>
    <w:rsid w:val="00846274"/>
    <w:rsid w:val="00847E37"/>
    <w:rsid w:val="00850057"/>
    <w:rsid w:val="00852060"/>
    <w:rsid w:val="00856A2C"/>
    <w:rsid w:val="00857FE7"/>
    <w:rsid w:val="008605D1"/>
    <w:rsid w:val="00862B3C"/>
    <w:rsid w:val="00862F04"/>
    <w:rsid w:val="0086371F"/>
    <w:rsid w:val="00870978"/>
    <w:rsid w:val="00870E11"/>
    <w:rsid w:val="0087109E"/>
    <w:rsid w:val="008736C4"/>
    <w:rsid w:val="00875895"/>
    <w:rsid w:val="00876EAF"/>
    <w:rsid w:val="0087703C"/>
    <w:rsid w:val="0088148A"/>
    <w:rsid w:val="00881874"/>
    <w:rsid w:val="008867FA"/>
    <w:rsid w:val="00886C14"/>
    <w:rsid w:val="00890268"/>
    <w:rsid w:val="008949B6"/>
    <w:rsid w:val="00894D47"/>
    <w:rsid w:val="008B19FA"/>
    <w:rsid w:val="008B2E3A"/>
    <w:rsid w:val="008B2EED"/>
    <w:rsid w:val="008B34BF"/>
    <w:rsid w:val="008B5186"/>
    <w:rsid w:val="008B681D"/>
    <w:rsid w:val="008B7F1D"/>
    <w:rsid w:val="008C02D7"/>
    <w:rsid w:val="008C0E2C"/>
    <w:rsid w:val="008C22A9"/>
    <w:rsid w:val="008C2EDC"/>
    <w:rsid w:val="008C51C5"/>
    <w:rsid w:val="008C6272"/>
    <w:rsid w:val="008C7274"/>
    <w:rsid w:val="008C7ADA"/>
    <w:rsid w:val="008CFCAF"/>
    <w:rsid w:val="008D1171"/>
    <w:rsid w:val="008D1DE5"/>
    <w:rsid w:val="008D1E3E"/>
    <w:rsid w:val="008D348B"/>
    <w:rsid w:val="008D486A"/>
    <w:rsid w:val="008D51D0"/>
    <w:rsid w:val="008D552A"/>
    <w:rsid w:val="008D5E82"/>
    <w:rsid w:val="008D6C17"/>
    <w:rsid w:val="008D78A0"/>
    <w:rsid w:val="008D7D89"/>
    <w:rsid w:val="008E1741"/>
    <w:rsid w:val="008E2627"/>
    <w:rsid w:val="008E37FA"/>
    <w:rsid w:val="008E389C"/>
    <w:rsid w:val="008E38A9"/>
    <w:rsid w:val="008E482E"/>
    <w:rsid w:val="008E61AA"/>
    <w:rsid w:val="008E627A"/>
    <w:rsid w:val="008E6363"/>
    <w:rsid w:val="008E7428"/>
    <w:rsid w:val="008F1069"/>
    <w:rsid w:val="008F2ED5"/>
    <w:rsid w:val="008F52D9"/>
    <w:rsid w:val="008F6A20"/>
    <w:rsid w:val="008F6B1A"/>
    <w:rsid w:val="008F7FCB"/>
    <w:rsid w:val="00900031"/>
    <w:rsid w:val="00901C7D"/>
    <w:rsid w:val="00901F94"/>
    <w:rsid w:val="00904118"/>
    <w:rsid w:val="00904D59"/>
    <w:rsid w:val="00905523"/>
    <w:rsid w:val="00905928"/>
    <w:rsid w:val="00905FEF"/>
    <w:rsid w:val="00906FB9"/>
    <w:rsid w:val="00911A88"/>
    <w:rsid w:val="00912009"/>
    <w:rsid w:val="00912142"/>
    <w:rsid w:val="00914264"/>
    <w:rsid w:val="00914854"/>
    <w:rsid w:val="00915E34"/>
    <w:rsid w:val="00916EDA"/>
    <w:rsid w:val="00917704"/>
    <w:rsid w:val="009202DD"/>
    <w:rsid w:val="0092153F"/>
    <w:rsid w:val="009217CD"/>
    <w:rsid w:val="009227A7"/>
    <w:rsid w:val="00923D2E"/>
    <w:rsid w:val="00925100"/>
    <w:rsid w:val="0092579B"/>
    <w:rsid w:val="0093006E"/>
    <w:rsid w:val="00930980"/>
    <w:rsid w:val="009315A9"/>
    <w:rsid w:val="00931605"/>
    <w:rsid w:val="009326DA"/>
    <w:rsid w:val="00932FCB"/>
    <w:rsid w:val="00935A29"/>
    <w:rsid w:val="0094068D"/>
    <w:rsid w:val="00946E59"/>
    <w:rsid w:val="00950B90"/>
    <w:rsid w:val="00953E55"/>
    <w:rsid w:val="009548B8"/>
    <w:rsid w:val="009551D3"/>
    <w:rsid w:val="00955924"/>
    <w:rsid w:val="00961B12"/>
    <w:rsid w:val="00962E7C"/>
    <w:rsid w:val="00962FFA"/>
    <w:rsid w:val="00963A28"/>
    <w:rsid w:val="00966F29"/>
    <w:rsid w:val="0096742D"/>
    <w:rsid w:val="00967EEB"/>
    <w:rsid w:val="00971F05"/>
    <w:rsid w:val="00976DBB"/>
    <w:rsid w:val="009775E4"/>
    <w:rsid w:val="009786B0"/>
    <w:rsid w:val="00981A6B"/>
    <w:rsid w:val="00983566"/>
    <w:rsid w:val="00984739"/>
    <w:rsid w:val="00984B5A"/>
    <w:rsid w:val="00985B88"/>
    <w:rsid w:val="0098604D"/>
    <w:rsid w:val="00986CBD"/>
    <w:rsid w:val="0098725F"/>
    <w:rsid w:val="009900ED"/>
    <w:rsid w:val="009914EE"/>
    <w:rsid w:val="00991FF7"/>
    <w:rsid w:val="00993A28"/>
    <w:rsid w:val="009941E9"/>
    <w:rsid w:val="0099474D"/>
    <w:rsid w:val="009A07EC"/>
    <w:rsid w:val="009A1B61"/>
    <w:rsid w:val="009A38BA"/>
    <w:rsid w:val="009A6019"/>
    <w:rsid w:val="009A6261"/>
    <w:rsid w:val="009B1CBA"/>
    <w:rsid w:val="009B3301"/>
    <w:rsid w:val="009B4D31"/>
    <w:rsid w:val="009B5C8B"/>
    <w:rsid w:val="009B63D7"/>
    <w:rsid w:val="009B6C72"/>
    <w:rsid w:val="009B75F1"/>
    <w:rsid w:val="009C0650"/>
    <w:rsid w:val="009C2CAD"/>
    <w:rsid w:val="009C356D"/>
    <w:rsid w:val="009C5406"/>
    <w:rsid w:val="009C640C"/>
    <w:rsid w:val="009D00A9"/>
    <w:rsid w:val="009D071B"/>
    <w:rsid w:val="009D0B59"/>
    <w:rsid w:val="009D1644"/>
    <w:rsid w:val="009D40D0"/>
    <w:rsid w:val="009D4C0D"/>
    <w:rsid w:val="009D6C51"/>
    <w:rsid w:val="009D6F98"/>
    <w:rsid w:val="009D783F"/>
    <w:rsid w:val="009E3419"/>
    <w:rsid w:val="009E50D8"/>
    <w:rsid w:val="009F0556"/>
    <w:rsid w:val="009F056E"/>
    <w:rsid w:val="009F0BA3"/>
    <w:rsid w:val="009F18E1"/>
    <w:rsid w:val="009F3636"/>
    <w:rsid w:val="009F3825"/>
    <w:rsid w:val="009F388A"/>
    <w:rsid w:val="009F4891"/>
    <w:rsid w:val="009F5081"/>
    <w:rsid w:val="009F5A06"/>
    <w:rsid w:val="009F6665"/>
    <w:rsid w:val="00A02DE8"/>
    <w:rsid w:val="00A04EB0"/>
    <w:rsid w:val="00A075E2"/>
    <w:rsid w:val="00A11A45"/>
    <w:rsid w:val="00A12116"/>
    <w:rsid w:val="00A13CBA"/>
    <w:rsid w:val="00A1423A"/>
    <w:rsid w:val="00A16708"/>
    <w:rsid w:val="00A224CB"/>
    <w:rsid w:val="00A22B90"/>
    <w:rsid w:val="00A232F7"/>
    <w:rsid w:val="00A237A1"/>
    <w:rsid w:val="00A23B5D"/>
    <w:rsid w:val="00A248CF"/>
    <w:rsid w:val="00A25709"/>
    <w:rsid w:val="00A3213F"/>
    <w:rsid w:val="00A33171"/>
    <w:rsid w:val="00A3369E"/>
    <w:rsid w:val="00A349F2"/>
    <w:rsid w:val="00A34E6F"/>
    <w:rsid w:val="00A36071"/>
    <w:rsid w:val="00A36335"/>
    <w:rsid w:val="00A3739D"/>
    <w:rsid w:val="00A378C4"/>
    <w:rsid w:val="00A40DE0"/>
    <w:rsid w:val="00A41638"/>
    <w:rsid w:val="00A41693"/>
    <w:rsid w:val="00A41F5A"/>
    <w:rsid w:val="00A42184"/>
    <w:rsid w:val="00A42C33"/>
    <w:rsid w:val="00A42FC7"/>
    <w:rsid w:val="00A433F8"/>
    <w:rsid w:val="00A44EC7"/>
    <w:rsid w:val="00A45385"/>
    <w:rsid w:val="00A458C9"/>
    <w:rsid w:val="00A45B78"/>
    <w:rsid w:val="00A469BA"/>
    <w:rsid w:val="00A47C29"/>
    <w:rsid w:val="00A53241"/>
    <w:rsid w:val="00A54034"/>
    <w:rsid w:val="00A54FB3"/>
    <w:rsid w:val="00A551B7"/>
    <w:rsid w:val="00A56DAE"/>
    <w:rsid w:val="00A57720"/>
    <w:rsid w:val="00A61DC1"/>
    <w:rsid w:val="00A61FC9"/>
    <w:rsid w:val="00A6266E"/>
    <w:rsid w:val="00A62D57"/>
    <w:rsid w:val="00A63797"/>
    <w:rsid w:val="00A64F0F"/>
    <w:rsid w:val="00A65407"/>
    <w:rsid w:val="00A65EE3"/>
    <w:rsid w:val="00A6671C"/>
    <w:rsid w:val="00A67E7A"/>
    <w:rsid w:val="00A7054C"/>
    <w:rsid w:val="00A71303"/>
    <w:rsid w:val="00A7443B"/>
    <w:rsid w:val="00A75953"/>
    <w:rsid w:val="00A77369"/>
    <w:rsid w:val="00A82C84"/>
    <w:rsid w:val="00A83A5B"/>
    <w:rsid w:val="00A84123"/>
    <w:rsid w:val="00A86DF5"/>
    <w:rsid w:val="00A87CB4"/>
    <w:rsid w:val="00A90CB0"/>
    <w:rsid w:val="00A92CA3"/>
    <w:rsid w:val="00A97A49"/>
    <w:rsid w:val="00A97AD7"/>
    <w:rsid w:val="00AA02A1"/>
    <w:rsid w:val="00AA0710"/>
    <w:rsid w:val="00AA0FBD"/>
    <w:rsid w:val="00AA11DE"/>
    <w:rsid w:val="00AA219E"/>
    <w:rsid w:val="00AA290F"/>
    <w:rsid w:val="00AA2C25"/>
    <w:rsid w:val="00AA2D50"/>
    <w:rsid w:val="00AA5363"/>
    <w:rsid w:val="00AA6E2E"/>
    <w:rsid w:val="00AB161B"/>
    <w:rsid w:val="00AB3048"/>
    <w:rsid w:val="00AB3277"/>
    <w:rsid w:val="00AB3598"/>
    <w:rsid w:val="00AB5BEA"/>
    <w:rsid w:val="00AB67DC"/>
    <w:rsid w:val="00AB7B9B"/>
    <w:rsid w:val="00AC43E9"/>
    <w:rsid w:val="00AC5549"/>
    <w:rsid w:val="00AC7489"/>
    <w:rsid w:val="00AD0DD6"/>
    <w:rsid w:val="00AD18BC"/>
    <w:rsid w:val="00AD4BAB"/>
    <w:rsid w:val="00AD58F8"/>
    <w:rsid w:val="00AD658B"/>
    <w:rsid w:val="00AD6966"/>
    <w:rsid w:val="00AD7530"/>
    <w:rsid w:val="00AD754F"/>
    <w:rsid w:val="00AD78F2"/>
    <w:rsid w:val="00AE1859"/>
    <w:rsid w:val="00AE1A77"/>
    <w:rsid w:val="00AE2052"/>
    <w:rsid w:val="00AE24D7"/>
    <w:rsid w:val="00AE3A7E"/>
    <w:rsid w:val="00AE3E9A"/>
    <w:rsid w:val="00AE4CA7"/>
    <w:rsid w:val="00AE4DEA"/>
    <w:rsid w:val="00AE5A78"/>
    <w:rsid w:val="00AE5EBA"/>
    <w:rsid w:val="00AE606B"/>
    <w:rsid w:val="00AF4FB3"/>
    <w:rsid w:val="00AF5ADA"/>
    <w:rsid w:val="00AF5B68"/>
    <w:rsid w:val="00AF5CB9"/>
    <w:rsid w:val="00AF6E8B"/>
    <w:rsid w:val="00B02C3C"/>
    <w:rsid w:val="00B044E4"/>
    <w:rsid w:val="00B04560"/>
    <w:rsid w:val="00B04FE3"/>
    <w:rsid w:val="00B07D0C"/>
    <w:rsid w:val="00B13319"/>
    <w:rsid w:val="00B14CB8"/>
    <w:rsid w:val="00B15C21"/>
    <w:rsid w:val="00B160FE"/>
    <w:rsid w:val="00B165E7"/>
    <w:rsid w:val="00B1755C"/>
    <w:rsid w:val="00B175A4"/>
    <w:rsid w:val="00B20EF7"/>
    <w:rsid w:val="00B23D45"/>
    <w:rsid w:val="00B24857"/>
    <w:rsid w:val="00B24F82"/>
    <w:rsid w:val="00B258EA"/>
    <w:rsid w:val="00B2608F"/>
    <w:rsid w:val="00B26ECA"/>
    <w:rsid w:val="00B350E1"/>
    <w:rsid w:val="00B355E2"/>
    <w:rsid w:val="00B3728F"/>
    <w:rsid w:val="00B40F98"/>
    <w:rsid w:val="00B413B8"/>
    <w:rsid w:val="00B41D4D"/>
    <w:rsid w:val="00B42D00"/>
    <w:rsid w:val="00B45654"/>
    <w:rsid w:val="00B45D1E"/>
    <w:rsid w:val="00B46C39"/>
    <w:rsid w:val="00B47F3A"/>
    <w:rsid w:val="00B53014"/>
    <w:rsid w:val="00B53DA1"/>
    <w:rsid w:val="00B65F09"/>
    <w:rsid w:val="00B679A5"/>
    <w:rsid w:val="00B70090"/>
    <w:rsid w:val="00B718A2"/>
    <w:rsid w:val="00B71B13"/>
    <w:rsid w:val="00B76F0E"/>
    <w:rsid w:val="00B76F31"/>
    <w:rsid w:val="00B775C4"/>
    <w:rsid w:val="00B821F1"/>
    <w:rsid w:val="00B82658"/>
    <w:rsid w:val="00B82965"/>
    <w:rsid w:val="00B82E30"/>
    <w:rsid w:val="00B845CF"/>
    <w:rsid w:val="00B8531E"/>
    <w:rsid w:val="00B85423"/>
    <w:rsid w:val="00B86D41"/>
    <w:rsid w:val="00B879C9"/>
    <w:rsid w:val="00B92864"/>
    <w:rsid w:val="00B93420"/>
    <w:rsid w:val="00B947F4"/>
    <w:rsid w:val="00B965CF"/>
    <w:rsid w:val="00B969C0"/>
    <w:rsid w:val="00B97CAE"/>
    <w:rsid w:val="00BA03B7"/>
    <w:rsid w:val="00BA0616"/>
    <w:rsid w:val="00BA13EA"/>
    <w:rsid w:val="00BA2B22"/>
    <w:rsid w:val="00BA50FF"/>
    <w:rsid w:val="00BA511F"/>
    <w:rsid w:val="00BA54AD"/>
    <w:rsid w:val="00BA5B69"/>
    <w:rsid w:val="00BA6484"/>
    <w:rsid w:val="00BA7CDA"/>
    <w:rsid w:val="00BB1A44"/>
    <w:rsid w:val="00BB2235"/>
    <w:rsid w:val="00BB3960"/>
    <w:rsid w:val="00BB4C36"/>
    <w:rsid w:val="00BB4D26"/>
    <w:rsid w:val="00BB519C"/>
    <w:rsid w:val="00BB55FD"/>
    <w:rsid w:val="00BB6E66"/>
    <w:rsid w:val="00BC020A"/>
    <w:rsid w:val="00BC0F88"/>
    <w:rsid w:val="00BC2410"/>
    <w:rsid w:val="00BC2E93"/>
    <w:rsid w:val="00BC32DA"/>
    <w:rsid w:val="00BC3596"/>
    <w:rsid w:val="00BC3768"/>
    <w:rsid w:val="00BC6161"/>
    <w:rsid w:val="00BC7544"/>
    <w:rsid w:val="00BD483E"/>
    <w:rsid w:val="00BD6BA6"/>
    <w:rsid w:val="00BD7C58"/>
    <w:rsid w:val="00BE0204"/>
    <w:rsid w:val="00BF2482"/>
    <w:rsid w:val="00BF3383"/>
    <w:rsid w:val="00BF44CC"/>
    <w:rsid w:val="00BF50E7"/>
    <w:rsid w:val="00BF7EC7"/>
    <w:rsid w:val="00C03DB5"/>
    <w:rsid w:val="00C06479"/>
    <w:rsid w:val="00C06C96"/>
    <w:rsid w:val="00C070B7"/>
    <w:rsid w:val="00C07555"/>
    <w:rsid w:val="00C10766"/>
    <w:rsid w:val="00C11777"/>
    <w:rsid w:val="00C11B1C"/>
    <w:rsid w:val="00C12048"/>
    <w:rsid w:val="00C13BF4"/>
    <w:rsid w:val="00C1447C"/>
    <w:rsid w:val="00C146E1"/>
    <w:rsid w:val="00C15062"/>
    <w:rsid w:val="00C1589B"/>
    <w:rsid w:val="00C16B43"/>
    <w:rsid w:val="00C173AA"/>
    <w:rsid w:val="00C201E9"/>
    <w:rsid w:val="00C2084D"/>
    <w:rsid w:val="00C24167"/>
    <w:rsid w:val="00C27B6F"/>
    <w:rsid w:val="00C301BF"/>
    <w:rsid w:val="00C303A3"/>
    <w:rsid w:val="00C3114E"/>
    <w:rsid w:val="00C326EC"/>
    <w:rsid w:val="00C33825"/>
    <w:rsid w:val="00C3689D"/>
    <w:rsid w:val="00C41CF2"/>
    <w:rsid w:val="00C426FF"/>
    <w:rsid w:val="00C46B2E"/>
    <w:rsid w:val="00C47161"/>
    <w:rsid w:val="00C512CA"/>
    <w:rsid w:val="00C51404"/>
    <w:rsid w:val="00C52DE4"/>
    <w:rsid w:val="00C535AB"/>
    <w:rsid w:val="00C53A4D"/>
    <w:rsid w:val="00C53EFE"/>
    <w:rsid w:val="00C549DF"/>
    <w:rsid w:val="00C54E60"/>
    <w:rsid w:val="00C56E31"/>
    <w:rsid w:val="00C578B5"/>
    <w:rsid w:val="00C57A18"/>
    <w:rsid w:val="00C6100B"/>
    <w:rsid w:val="00C6362D"/>
    <w:rsid w:val="00C63E2B"/>
    <w:rsid w:val="00C647AE"/>
    <w:rsid w:val="00C64CC0"/>
    <w:rsid w:val="00C64E58"/>
    <w:rsid w:val="00C673C6"/>
    <w:rsid w:val="00C721A1"/>
    <w:rsid w:val="00C72787"/>
    <w:rsid w:val="00C72D8B"/>
    <w:rsid w:val="00C7391B"/>
    <w:rsid w:val="00C73993"/>
    <w:rsid w:val="00C74210"/>
    <w:rsid w:val="00C7433E"/>
    <w:rsid w:val="00C7447E"/>
    <w:rsid w:val="00C7457B"/>
    <w:rsid w:val="00C77560"/>
    <w:rsid w:val="00C82A1F"/>
    <w:rsid w:val="00C83593"/>
    <w:rsid w:val="00C8469B"/>
    <w:rsid w:val="00C848D5"/>
    <w:rsid w:val="00C85975"/>
    <w:rsid w:val="00C865E5"/>
    <w:rsid w:val="00C86AE1"/>
    <w:rsid w:val="00C913FE"/>
    <w:rsid w:val="00C925CF"/>
    <w:rsid w:val="00C92A95"/>
    <w:rsid w:val="00C9328A"/>
    <w:rsid w:val="00C94183"/>
    <w:rsid w:val="00C9443F"/>
    <w:rsid w:val="00C95281"/>
    <w:rsid w:val="00C95596"/>
    <w:rsid w:val="00C96997"/>
    <w:rsid w:val="00CA13A9"/>
    <w:rsid w:val="00CA2CAF"/>
    <w:rsid w:val="00CA39BD"/>
    <w:rsid w:val="00CA58B4"/>
    <w:rsid w:val="00CA5B23"/>
    <w:rsid w:val="00CA6137"/>
    <w:rsid w:val="00CA6A89"/>
    <w:rsid w:val="00CA6F89"/>
    <w:rsid w:val="00CA755D"/>
    <w:rsid w:val="00CB0596"/>
    <w:rsid w:val="00CB065C"/>
    <w:rsid w:val="00CB3760"/>
    <w:rsid w:val="00CB4482"/>
    <w:rsid w:val="00CB457F"/>
    <w:rsid w:val="00CB4BE0"/>
    <w:rsid w:val="00CB63A1"/>
    <w:rsid w:val="00CB720A"/>
    <w:rsid w:val="00CC165C"/>
    <w:rsid w:val="00CC329A"/>
    <w:rsid w:val="00CC4810"/>
    <w:rsid w:val="00CC64FB"/>
    <w:rsid w:val="00CC7727"/>
    <w:rsid w:val="00CD0146"/>
    <w:rsid w:val="00CD0BD3"/>
    <w:rsid w:val="00CD102D"/>
    <w:rsid w:val="00CD109C"/>
    <w:rsid w:val="00CD1866"/>
    <w:rsid w:val="00CD2C29"/>
    <w:rsid w:val="00CD3678"/>
    <w:rsid w:val="00CD48D8"/>
    <w:rsid w:val="00CD5B93"/>
    <w:rsid w:val="00CE1E7E"/>
    <w:rsid w:val="00CE2C62"/>
    <w:rsid w:val="00CE2E8D"/>
    <w:rsid w:val="00CE3319"/>
    <w:rsid w:val="00CE51CB"/>
    <w:rsid w:val="00CE68A7"/>
    <w:rsid w:val="00CE7A19"/>
    <w:rsid w:val="00CF0C43"/>
    <w:rsid w:val="00CF1E32"/>
    <w:rsid w:val="00CF5E19"/>
    <w:rsid w:val="00CF6D6E"/>
    <w:rsid w:val="00CF71BF"/>
    <w:rsid w:val="00D0125C"/>
    <w:rsid w:val="00D02B16"/>
    <w:rsid w:val="00D031FE"/>
    <w:rsid w:val="00D0415A"/>
    <w:rsid w:val="00D06732"/>
    <w:rsid w:val="00D08380"/>
    <w:rsid w:val="00D1045B"/>
    <w:rsid w:val="00D113E4"/>
    <w:rsid w:val="00D11558"/>
    <w:rsid w:val="00D11815"/>
    <w:rsid w:val="00D134AB"/>
    <w:rsid w:val="00D13BA7"/>
    <w:rsid w:val="00D14537"/>
    <w:rsid w:val="00D14770"/>
    <w:rsid w:val="00D153D3"/>
    <w:rsid w:val="00D15BFB"/>
    <w:rsid w:val="00D166DB"/>
    <w:rsid w:val="00D205A8"/>
    <w:rsid w:val="00D22194"/>
    <w:rsid w:val="00D22CF1"/>
    <w:rsid w:val="00D25CE0"/>
    <w:rsid w:val="00D2605B"/>
    <w:rsid w:val="00D260B0"/>
    <w:rsid w:val="00D266CF"/>
    <w:rsid w:val="00D268EF"/>
    <w:rsid w:val="00D269E6"/>
    <w:rsid w:val="00D27D90"/>
    <w:rsid w:val="00D348ED"/>
    <w:rsid w:val="00D35AF5"/>
    <w:rsid w:val="00D35D8F"/>
    <w:rsid w:val="00D37888"/>
    <w:rsid w:val="00D4081B"/>
    <w:rsid w:val="00D4282E"/>
    <w:rsid w:val="00D428F9"/>
    <w:rsid w:val="00D46000"/>
    <w:rsid w:val="00D46734"/>
    <w:rsid w:val="00D47A94"/>
    <w:rsid w:val="00D50266"/>
    <w:rsid w:val="00D53A0A"/>
    <w:rsid w:val="00D53ACD"/>
    <w:rsid w:val="00D5551B"/>
    <w:rsid w:val="00D55D40"/>
    <w:rsid w:val="00D56585"/>
    <w:rsid w:val="00D600B6"/>
    <w:rsid w:val="00D6249F"/>
    <w:rsid w:val="00D627FB"/>
    <w:rsid w:val="00D62BF6"/>
    <w:rsid w:val="00D6463E"/>
    <w:rsid w:val="00D649DD"/>
    <w:rsid w:val="00D6594B"/>
    <w:rsid w:val="00D65BD7"/>
    <w:rsid w:val="00D72157"/>
    <w:rsid w:val="00D74000"/>
    <w:rsid w:val="00D74ED9"/>
    <w:rsid w:val="00D81FEB"/>
    <w:rsid w:val="00D844FE"/>
    <w:rsid w:val="00D868E9"/>
    <w:rsid w:val="00D925DD"/>
    <w:rsid w:val="00D938C9"/>
    <w:rsid w:val="00D93FEA"/>
    <w:rsid w:val="00D94B33"/>
    <w:rsid w:val="00D96918"/>
    <w:rsid w:val="00D977D8"/>
    <w:rsid w:val="00DA16B7"/>
    <w:rsid w:val="00DA19C1"/>
    <w:rsid w:val="00DA27DF"/>
    <w:rsid w:val="00DA385F"/>
    <w:rsid w:val="00DA466B"/>
    <w:rsid w:val="00DA542F"/>
    <w:rsid w:val="00DA5D4E"/>
    <w:rsid w:val="00DA61E2"/>
    <w:rsid w:val="00DB024E"/>
    <w:rsid w:val="00DB3481"/>
    <w:rsid w:val="00DB496C"/>
    <w:rsid w:val="00DB4A63"/>
    <w:rsid w:val="00DB520F"/>
    <w:rsid w:val="00DB5ABB"/>
    <w:rsid w:val="00DB5EE3"/>
    <w:rsid w:val="00DB6449"/>
    <w:rsid w:val="00DB7749"/>
    <w:rsid w:val="00DB7F61"/>
    <w:rsid w:val="00DC1A38"/>
    <w:rsid w:val="00DC4E66"/>
    <w:rsid w:val="00DC600D"/>
    <w:rsid w:val="00DD2826"/>
    <w:rsid w:val="00DD2A6F"/>
    <w:rsid w:val="00DD4B1D"/>
    <w:rsid w:val="00DD5A72"/>
    <w:rsid w:val="00DD664C"/>
    <w:rsid w:val="00DD728D"/>
    <w:rsid w:val="00DE0CCA"/>
    <w:rsid w:val="00DE1227"/>
    <w:rsid w:val="00DE1897"/>
    <w:rsid w:val="00DE355F"/>
    <w:rsid w:val="00DE399D"/>
    <w:rsid w:val="00DE3C13"/>
    <w:rsid w:val="00DE3DBE"/>
    <w:rsid w:val="00DE412D"/>
    <w:rsid w:val="00DE4B07"/>
    <w:rsid w:val="00DE6115"/>
    <w:rsid w:val="00DF0309"/>
    <w:rsid w:val="00DF45F1"/>
    <w:rsid w:val="00DF4616"/>
    <w:rsid w:val="00DF54E8"/>
    <w:rsid w:val="00DF70EF"/>
    <w:rsid w:val="00DF73C5"/>
    <w:rsid w:val="00E00028"/>
    <w:rsid w:val="00E006ED"/>
    <w:rsid w:val="00E057A5"/>
    <w:rsid w:val="00E0643C"/>
    <w:rsid w:val="00E102E8"/>
    <w:rsid w:val="00E10378"/>
    <w:rsid w:val="00E11FF7"/>
    <w:rsid w:val="00E139E8"/>
    <w:rsid w:val="00E13AA8"/>
    <w:rsid w:val="00E168B8"/>
    <w:rsid w:val="00E17661"/>
    <w:rsid w:val="00E17698"/>
    <w:rsid w:val="00E20380"/>
    <w:rsid w:val="00E20A7D"/>
    <w:rsid w:val="00E21222"/>
    <w:rsid w:val="00E22408"/>
    <w:rsid w:val="00E2250A"/>
    <w:rsid w:val="00E22753"/>
    <w:rsid w:val="00E22C63"/>
    <w:rsid w:val="00E232FC"/>
    <w:rsid w:val="00E24CC6"/>
    <w:rsid w:val="00E25065"/>
    <w:rsid w:val="00E25149"/>
    <w:rsid w:val="00E25478"/>
    <w:rsid w:val="00E26514"/>
    <w:rsid w:val="00E2707D"/>
    <w:rsid w:val="00E2713A"/>
    <w:rsid w:val="00E27B84"/>
    <w:rsid w:val="00E30461"/>
    <w:rsid w:val="00E33DCE"/>
    <w:rsid w:val="00E343BC"/>
    <w:rsid w:val="00E34669"/>
    <w:rsid w:val="00E34852"/>
    <w:rsid w:val="00E353CF"/>
    <w:rsid w:val="00E4341B"/>
    <w:rsid w:val="00E51AFA"/>
    <w:rsid w:val="00E53E1C"/>
    <w:rsid w:val="00E5446F"/>
    <w:rsid w:val="00E5659C"/>
    <w:rsid w:val="00E5676A"/>
    <w:rsid w:val="00E61D04"/>
    <w:rsid w:val="00E61EEE"/>
    <w:rsid w:val="00E651A7"/>
    <w:rsid w:val="00E65D0D"/>
    <w:rsid w:val="00E65D43"/>
    <w:rsid w:val="00E663CF"/>
    <w:rsid w:val="00E6674F"/>
    <w:rsid w:val="00E709CF"/>
    <w:rsid w:val="00E71356"/>
    <w:rsid w:val="00E80B36"/>
    <w:rsid w:val="00E82822"/>
    <w:rsid w:val="00E82F94"/>
    <w:rsid w:val="00E850D2"/>
    <w:rsid w:val="00E8552C"/>
    <w:rsid w:val="00E8567D"/>
    <w:rsid w:val="00E85E26"/>
    <w:rsid w:val="00E87AF4"/>
    <w:rsid w:val="00E913B4"/>
    <w:rsid w:val="00E91A5A"/>
    <w:rsid w:val="00E92F3C"/>
    <w:rsid w:val="00E967AF"/>
    <w:rsid w:val="00EA04DA"/>
    <w:rsid w:val="00EA2746"/>
    <w:rsid w:val="00EA3D57"/>
    <w:rsid w:val="00EA451B"/>
    <w:rsid w:val="00EA576A"/>
    <w:rsid w:val="00EA5BA3"/>
    <w:rsid w:val="00EA6221"/>
    <w:rsid w:val="00EA6872"/>
    <w:rsid w:val="00EB0421"/>
    <w:rsid w:val="00EB0F86"/>
    <w:rsid w:val="00EB256D"/>
    <w:rsid w:val="00EB37A2"/>
    <w:rsid w:val="00EB5C69"/>
    <w:rsid w:val="00EC2EA8"/>
    <w:rsid w:val="00EC3689"/>
    <w:rsid w:val="00EC3EDC"/>
    <w:rsid w:val="00EC4044"/>
    <w:rsid w:val="00EC4059"/>
    <w:rsid w:val="00EC4613"/>
    <w:rsid w:val="00EC5974"/>
    <w:rsid w:val="00EC59C2"/>
    <w:rsid w:val="00ED0624"/>
    <w:rsid w:val="00ED07BC"/>
    <w:rsid w:val="00ED2913"/>
    <w:rsid w:val="00ED3719"/>
    <w:rsid w:val="00ED57D5"/>
    <w:rsid w:val="00ED7742"/>
    <w:rsid w:val="00EE3972"/>
    <w:rsid w:val="00EE3FDC"/>
    <w:rsid w:val="00EE46B3"/>
    <w:rsid w:val="00EE498F"/>
    <w:rsid w:val="00EE715F"/>
    <w:rsid w:val="00EF0E68"/>
    <w:rsid w:val="00EF0F6B"/>
    <w:rsid w:val="00EF393F"/>
    <w:rsid w:val="00EF5A40"/>
    <w:rsid w:val="00EF6275"/>
    <w:rsid w:val="00EF630B"/>
    <w:rsid w:val="00EF64E9"/>
    <w:rsid w:val="00EF7A5A"/>
    <w:rsid w:val="00EF7AF5"/>
    <w:rsid w:val="00F029F2"/>
    <w:rsid w:val="00F03063"/>
    <w:rsid w:val="00F03E9F"/>
    <w:rsid w:val="00F07BA4"/>
    <w:rsid w:val="00F12773"/>
    <w:rsid w:val="00F1337B"/>
    <w:rsid w:val="00F14D21"/>
    <w:rsid w:val="00F16484"/>
    <w:rsid w:val="00F20D7A"/>
    <w:rsid w:val="00F21B95"/>
    <w:rsid w:val="00F220D8"/>
    <w:rsid w:val="00F231DB"/>
    <w:rsid w:val="00F24D12"/>
    <w:rsid w:val="00F25ADE"/>
    <w:rsid w:val="00F269E2"/>
    <w:rsid w:val="00F30150"/>
    <w:rsid w:val="00F312C5"/>
    <w:rsid w:val="00F347B2"/>
    <w:rsid w:val="00F34DD9"/>
    <w:rsid w:val="00F358EA"/>
    <w:rsid w:val="00F365DD"/>
    <w:rsid w:val="00F372F9"/>
    <w:rsid w:val="00F424E8"/>
    <w:rsid w:val="00F46055"/>
    <w:rsid w:val="00F463BA"/>
    <w:rsid w:val="00F4705E"/>
    <w:rsid w:val="00F50251"/>
    <w:rsid w:val="00F51CB7"/>
    <w:rsid w:val="00F52A9E"/>
    <w:rsid w:val="00F538BC"/>
    <w:rsid w:val="00F543A7"/>
    <w:rsid w:val="00F611F4"/>
    <w:rsid w:val="00F61B5A"/>
    <w:rsid w:val="00F66F81"/>
    <w:rsid w:val="00F701F9"/>
    <w:rsid w:val="00F70752"/>
    <w:rsid w:val="00F70BBF"/>
    <w:rsid w:val="00F71BBE"/>
    <w:rsid w:val="00F73989"/>
    <w:rsid w:val="00F7462A"/>
    <w:rsid w:val="00F77E8B"/>
    <w:rsid w:val="00F809F6"/>
    <w:rsid w:val="00F818DC"/>
    <w:rsid w:val="00F82BB6"/>
    <w:rsid w:val="00F83185"/>
    <w:rsid w:val="00F84D2A"/>
    <w:rsid w:val="00F91663"/>
    <w:rsid w:val="00F919D7"/>
    <w:rsid w:val="00F91ADD"/>
    <w:rsid w:val="00F92A0A"/>
    <w:rsid w:val="00F92ECD"/>
    <w:rsid w:val="00F931D9"/>
    <w:rsid w:val="00F9367B"/>
    <w:rsid w:val="00F95C2E"/>
    <w:rsid w:val="00F96F12"/>
    <w:rsid w:val="00F97642"/>
    <w:rsid w:val="00FA3146"/>
    <w:rsid w:val="00FA46D8"/>
    <w:rsid w:val="00FA47EB"/>
    <w:rsid w:val="00FA4BF8"/>
    <w:rsid w:val="00FA63CF"/>
    <w:rsid w:val="00FA7972"/>
    <w:rsid w:val="00FB0F96"/>
    <w:rsid w:val="00FB4A02"/>
    <w:rsid w:val="00FB59F8"/>
    <w:rsid w:val="00FB60C9"/>
    <w:rsid w:val="00FC0B31"/>
    <w:rsid w:val="00FC0CDF"/>
    <w:rsid w:val="00FC28B8"/>
    <w:rsid w:val="00FC2C90"/>
    <w:rsid w:val="00FC3D6D"/>
    <w:rsid w:val="00FC4299"/>
    <w:rsid w:val="00FD0823"/>
    <w:rsid w:val="00FD6216"/>
    <w:rsid w:val="00FD6B14"/>
    <w:rsid w:val="00FE062B"/>
    <w:rsid w:val="00FE262D"/>
    <w:rsid w:val="00FE2706"/>
    <w:rsid w:val="00FE3517"/>
    <w:rsid w:val="00FE4B1C"/>
    <w:rsid w:val="00FE4D81"/>
    <w:rsid w:val="00FE4DAF"/>
    <w:rsid w:val="00FE5BB1"/>
    <w:rsid w:val="00FE69D4"/>
    <w:rsid w:val="00FF0176"/>
    <w:rsid w:val="00FF229B"/>
    <w:rsid w:val="00FF2907"/>
    <w:rsid w:val="00FF2E68"/>
    <w:rsid w:val="00FF5C0F"/>
    <w:rsid w:val="00FF644A"/>
    <w:rsid w:val="01060008"/>
    <w:rsid w:val="011AF82F"/>
    <w:rsid w:val="0131446D"/>
    <w:rsid w:val="01394B71"/>
    <w:rsid w:val="01405FCA"/>
    <w:rsid w:val="0157516E"/>
    <w:rsid w:val="01666776"/>
    <w:rsid w:val="01BE7072"/>
    <w:rsid w:val="01E5F896"/>
    <w:rsid w:val="01E7AE3F"/>
    <w:rsid w:val="01EBEC07"/>
    <w:rsid w:val="01F5E759"/>
    <w:rsid w:val="02163E09"/>
    <w:rsid w:val="0223D298"/>
    <w:rsid w:val="02286216"/>
    <w:rsid w:val="022D1D78"/>
    <w:rsid w:val="02417EDF"/>
    <w:rsid w:val="02532B84"/>
    <w:rsid w:val="025D5BEA"/>
    <w:rsid w:val="026902AE"/>
    <w:rsid w:val="026EA1AA"/>
    <w:rsid w:val="028518FF"/>
    <w:rsid w:val="029805CD"/>
    <w:rsid w:val="029C41A3"/>
    <w:rsid w:val="029E61F1"/>
    <w:rsid w:val="02C7A556"/>
    <w:rsid w:val="02CB4693"/>
    <w:rsid w:val="02CDC83B"/>
    <w:rsid w:val="02D91821"/>
    <w:rsid w:val="03005FC9"/>
    <w:rsid w:val="03056958"/>
    <w:rsid w:val="03094B21"/>
    <w:rsid w:val="030CB601"/>
    <w:rsid w:val="032D494D"/>
    <w:rsid w:val="034F3BCF"/>
    <w:rsid w:val="0356A04F"/>
    <w:rsid w:val="035A40D3"/>
    <w:rsid w:val="035F8934"/>
    <w:rsid w:val="0369F148"/>
    <w:rsid w:val="0374ADE5"/>
    <w:rsid w:val="037514AF"/>
    <w:rsid w:val="037C71C3"/>
    <w:rsid w:val="038AB673"/>
    <w:rsid w:val="039B5EF6"/>
    <w:rsid w:val="03AB04AC"/>
    <w:rsid w:val="03C68133"/>
    <w:rsid w:val="03DDB461"/>
    <w:rsid w:val="03E0E46A"/>
    <w:rsid w:val="03F82D92"/>
    <w:rsid w:val="040620B4"/>
    <w:rsid w:val="040A45EC"/>
    <w:rsid w:val="04212049"/>
    <w:rsid w:val="04299AA2"/>
    <w:rsid w:val="045ADEAD"/>
    <w:rsid w:val="045B8A62"/>
    <w:rsid w:val="045E2337"/>
    <w:rsid w:val="04720690"/>
    <w:rsid w:val="047A2E66"/>
    <w:rsid w:val="048177FD"/>
    <w:rsid w:val="0486A5FE"/>
    <w:rsid w:val="04A95202"/>
    <w:rsid w:val="04C3860B"/>
    <w:rsid w:val="04CE3152"/>
    <w:rsid w:val="04CFBDDC"/>
    <w:rsid w:val="04E7A799"/>
    <w:rsid w:val="05091273"/>
    <w:rsid w:val="0510DA0F"/>
    <w:rsid w:val="051CF6D4"/>
    <w:rsid w:val="05204841"/>
    <w:rsid w:val="054AC3CA"/>
    <w:rsid w:val="054C4518"/>
    <w:rsid w:val="05628C2A"/>
    <w:rsid w:val="05646B7D"/>
    <w:rsid w:val="056D4904"/>
    <w:rsid w:val="059FEFA2"/>
    <w:rsid w:val="05A49FCF"/>
    <w:rsid w:val="05D86EB9"/>
    <w:rsid w:val="05E12A53"/>
    <w:rsid w:val="05F5A024"/>
    <w:rsid w:val="06413A39"/>
    <w:rsid w:val="065ACA1B"/>
    <w:rsid w:val="066FAB59"/>
    <w:rsid w:val="06840BF4"/>
    <w:rsid w:val="06859BED"/>
    <w:rsid w:val="0689F2AC"/>
    <w:rsid w:val="069CF54E"/>
    <w:rsid w:val="06A004EE"/>
    <w:rsid w:val="06A1920A"/>
    <w:rsid w:val="06A35C7B"/>
    <w:rsid w:val="06A4E2D4"/>
    <w:rsid w:val="06A55D45"/>
    <w:rsid w:val="06C4AF5D"/>
    <w:rsid w:val="06D31816"/>
    <w:rsid w:val="0700A63F"/>
    <w:rsid w:val="070DCB21"/>
    <w:rsid w:val="0733F78F"/>
    <w:rsid w:val="073D86A3"/>
    <w:rsid w:val="077F7D6A"/>
    <w:rsid w:val="07BC553D"/>
    <w:rsid w:val="07C0172F"/>
    <w:rsid w:val="07D9FB69"/>
    <w:rsid w:val="07DB0D22"/>
    <w:rsid w:val="07E23D80"/>
    <w:rsid w:val="07E9463C"/>
    <w:rsid w:val="0809201D"/>
    <w:rsid w:val="080F5FD5"/>
    <w:rsid w:val="082996E3"/>
    <w:rsid w:val="082DB1F6"/>
    <w:rsid w:val="082F785E"/>
    <w:rsid w:val="08318469"/>
    <w:rsid w:val="08357429"/>
    <w:rsid w:val="083785AC"/>
    <w:rsid w:val="08440D6A"/>
    <w:rsid w:val="084E44A3"/>
    <w:rsid w:val="0850AE09"/>
    <w:rsid w:val="085664ED"/>
    <w:rsid w:val="085B348C"/>
    <w:rsid w:val="08642502"/>
    <w:rsid w:val="08758A32"/>
    <w:rsid w:val="0881048F"/>
    <w:rsid w:val="08897038"/>
    <w:rsid w:val="088CD92B"/>
    <w:rsid w:val="0893C865"/>
    <w:rsid w:val="08D15B00"/>
    <w:rsid w:val="08F3CB31"/>
    <w:rsid w:val="08FA94AB"/>
    <w:rsid w:val="090A9971"/>
    <w:rsid w:val="093F6785"/>
    <w:rsid w:val="097A584D"/>
    <w:rsid w:val="097AE4FA"/>
    <w:rsid w:val="09AB3036"/>
    <w:rsid w:val="09AC470E"/>
    <w:rsid w:val="09DA1F3B"/>
    <w:rsid w:val="0A034250"/>
    <w:rsid w:val="0A0CE18F"/>
    <w:rsid w:val="0A117F74"/>
    <w:rsid w:val="0A583852"/>
    <w:rsid w:val="0A6EA693"/>
    <w:rsid w:val="0A701AE9"/>
    <w:rsid w:val="0A9FA47B"/>
    <w:rsid w:val="0AC8E75F"/>
    <w:rsid w:val="0AE9127F"/>
    <w:rsid w:val="0B1512E1"/>
    <w:rsid w:val="0B2BBFCF"/>
    <w:rsid w:val="0B3A4DB4"/>
    <w:rsid w:val="0B6DB850"/>
    <w:rsid w:val="0B706671"/>
    <w:rsid w:val="0B896466"/>
    <w:rsid w:val="0B9504C6"/>
    <w:rsid w:val="0B9A75CE"/>
    <w:rsid w:val="0BB2DB7C"/>
    <w:rsid w:val="0BCD138A"/>
    <w:rsid w:val="0BD1C7AF"/>
    <w:rsid w:val="0BE247C3"/>
    <w:rsid w:val="0BE27D02"/>
    <w:rsid w:val="0BFC97E1"/>
    <w:rsid w:val="0C3D5C34"/>
    <w:rsid w:val="0C47B03D"/>
    <w:rsid w:val="0C4BE4D7"/>
    <w:rsid w:val="0C519156"/>
    <w:rsid w:val="0C6406AD"/>
    <w:rsid w:val="0C7BACF3"/>
    <w:rsid w:val="0C84767A"/>
    <w:rsid w:val="0CB0E342"/>
    <w:rsid w:val="0CCACE2F"/>
    <w:rsid w:val="0CECADEE"/>
    <w:rsid w:val="0D1A11DC"/>
    <w:rsid w:val="0D28AB3D"/>
    <w:rsid w:val="0D2CAE38"/>
    <w:rsid w:val="0D2E527D"/>
    <w:rsid w:val="0D36E6DC"/>
    <w:rsid w:val="0D379625"/>
    <w:rsid w:val="0D59463C"/>
    <w:rsid w:val="0D71A4A4"/>
    <w:rsid w:val="0D8DEC88"/>
    <w:rsid w:val="0D95DE2B"/>
    <w:rsid w:val="0D9E43FE"/>
    <w:rsid w:val="0DBB77DB"/>
    <w:rsid w:val="0DD0B8AB"/>
    <w:rsid w:val="0DD59691"/>
    <w:rsid w:val="0E008821"/>
    <w:rsid w:val="0E084E03"/>
    <w:rsid w:val="0E36E128"/>
    <w:rsid w:val="0E51224A"/>
    <w:rsid w:val="0E65DC00"/>
    <w:rsid w:val="0E7EA159"/>
    <w:rsid w:val="0EA3294D"/>
    <w:rsid w:val="0EAFF4B9"/>
    <w:rsid w:val="0ECD691A"/>
    <w:rsid w:val="0EE7582F"/>
    <w:rsid w:val="0EED5832"/>
    <w:rsid w:val="0EF0F3B6"/>
    <w:rsid w:val="0EF1CF12"/>
    <w:rsid w:val="0EFD5064"/>
    <w:rsid w:val="0F0E47F3"/>
    <w:rsid w:val="0F188049"/>
    <w:rsid w:val="0F23AC39"/>
    <w:rsid w:val="0F273CE3"/>
    <w:rsid w:val="0F2B10B3"/>
    <w:rsid w:val="0F3B1AD3"/>
    <w:rsid w:val="0F4C5859"/>
    <w:rsid w:val="0F4D7752"/>
    <w:rsid w:val="0F53B12E"/>
    <w:rsid w:val="0F579874"/>
    <w:rsid w:val="0F6D60E7"/>
    <w:rsid w:val="0F73EF5C"/>
    <w:rsid w:val="0F795466"/>
    <w:rsid w:val="0F7DF3D8"/>
    <w:rsid w:val="0F9BC22E"/>
    <w:rsid w:val="0FA5408B"/>
    <w:rsid w:val="0FA6A3AC"/>
    <w:rsid w:val="0FB4F283"/>
    <w:rsid w:val="0FD18003"/>
    <w:rsid w:val="0FECF2AB"/>
    <w:rsid w:val="100225FA"/>
    <w:rsid w:val="100595DF"/>
    <w:rsid w:val="102DE2F2"/>
    <w:rsid w:val="10549838"/>
    <w:rsid w:val="10776216"/>
    <w:rsid w:val="1090CF2A"/>
    <w:rsid w:val="109F4537"/>
    <w:rsid w:val="10C99CA3"/>
    <w:rsid w:val="10DAAAA0"/>
    <w:rsid w:val="10E1BC20"/>
    <w:rsid w:val="10E6A74A"/>
    <w:rsid w:val="1122D4B2"/>
    <w:rsid w:val="1128D062"/>
    <w:rsid w:val="112BAF8F"/>
    <w:rsid w:val="112FC926"/>
    <w:rsid w:val="114D91A8"/>
    <w:rsid w:val="1150C2E4"/>
    <w:rsid w:val="1158097D"/>
    <w:rsid w:val="115D8591"/>
    <w:rsid w:val="117974E0"/>
    <w:rsid w:val="11A4C292"/>
    <w:rsid w:val="11A879B3"/>
    <w:rsid w:val="11B9545A"/>
    <w:rsid w:val="11BA5A31"/>
    <w:rsid w:val="11C918B2"/>
    <w:rsid w:val="11D750A7"/>
    <w:rsid w:val="11DB8901"/>
    <w:rsid w:val="11E2B795"/>
    <w:rsid w:val="11FA424A"/>
    <w:rsid w:val="12243098"/>
    <w:rsid w:val="1235BBB2"/>
    <w:rsid w:val="123CECC9"/>
    <w:rsid w:val="1277440E"/>
    <w:rsid w:val="12A70DD9"/>
    <w:rsid w:val="12D15EE2"/>
    <w:rsid w:val="12E365BC"/>
    <w:rsid w:val="12E6307D"/>
    <w:rsid w:val="12F4DC1D"/>
    <w:rsid w:val="13152CE7"/>
    <w:rsid w:val="1334A1C2"/>
    <w:rsid w:val="13550DA0"/>
    <w:rsid w:val="13769A70"/>
    <w:rsid w:val="137FFE1B"/>
    <w:rsid w:val="138365DC"/>
    <w:rsid w:val="1386F0BA"/>
    <w:rsid w:val="139D5B95"/>
    <w:rsid w:val="13A8BC33"/>
    <w:rsid w:val="13ABFE68"/>
    <w:rsid w:val="13DAD898"/>
    <w:rsid w:val="13E6498A"/>
    <w:rsid w:val="13EAD87C"/>
    <w:rsid w:val="140268BB"/>
    <w:rsid w:val="1404CEF1"/>
    <w:rsid w:val="14428EB7"/>
    <w:rsid w:val="1459EB0E"/>
    <w:rsid w:val="14859803"/>
    <w:rsid w:val="148863A6"/>
    <w:rsid w:val="14ADE6BD"/>
    <w:rsid w:val="14B84F0A"/>
    <w:rsid w:val="14EB6E5A"/>
    <w:rsid w:val="14FAFA67"/>
    <w:rsid w:val="15091D80"/>
    <w:rsid w:val="1522824B"/>
    <w:rsid w:val="1524BDE8"/>
    <w:rsid w:val="1534E7F5"/>
    <w:rsid w:val="15427DA2"/>
    <w:rsid w:val="1547E839"/>
    <w:rsid w:val="15770573"/>
    <w:rsid w:val="157CB43D"/>
    <w:rsid w:val="158433E7"/>
    <w:rsid w:val="1599E89A"/>
    <w:rsid w:val="15A42477"/>
    <w:rsid w:val="15AA6774"/>
    <w:rsid w:val="15B9EC17"/>
    <w:rsid w:val="15BA9C5B"/>
    <w:rsid w:val="15E0A876"/>
    <w:rsid w:val="15EBCEDA"/>
    <w:rsid w:val="15F18E56"/>
    <w:rsid w:val="15F6D94C"/>
    <w:rsid w:val="15F6E454"/>
    <w:rsid w:val="15FCAEBF"/>
    <w:rsid w:val="1605B28E"/>
    <w:rsid w:val="161711A3"/>
    <w:rsid w:val="1622877B"/>
    <w:rsid w:val="1628452B"/>
    <w:rsid w:val="166FFD8E"/>
    <w:rsid w:val="168CC57D"/>
    <w:rsid w:val="16A4EDE1"/>
    <w:rsid w:val="16C6F12D"/>
    <w:rsid w:val="16C9B5B0"/>
    <w:rsid w:val="16D0B856"/>
    <w:rsid w:val="16DE7DDB"/>
    <w:rsid w:val="16F32043"/>
    <w:rsid w:val="16FF9781"/>
    <w:rsid w:val="17172967"/>
    <w:rsid w:val="1719B078"/>
    <w:rsid w:val="17209469"/>
    <w:rsid w:val="1741767B"/>
    <w:rsid w:val="17518435"/>
    <w:rsid w:val="17572914"/>
    <w:rsid w:val="17749C68"/>
    <w:rsid w:val="17808870"/>
    <w:rsid w:val="1787139E"/>
    <w:rsid w:val="1794605D"/>
    <w:rsid w:val="17A9CEDB"/>
    <w:rsid w:val="17B18B1D"/>
    <w:rsid w:val="17B64976"/>
    <w:rsid w:val="17CC5F22"/>
    <w:rsid w:val="17E249BC"/>
    <w:rsid w:val="17E61B0F"/>
    <w:rsid w:val="17F395E9"/>
    <w:rsid w:val="182A2A6D"/>
    <w:rsid w:val="186050A6"/>
    <w:rsid w:val="1860D8AE"/>
    <w:rsid w:val="1866D1D3"/>
    <w:rsid w:val="1880ADF7"/>
    <w:rsid w:val="18925319"/>
    <w:rsid w:val="18933B39"/>
    <w:rsid w:val="18B52FF1"/>
    <w:rsid w:val="18DB1633"/>
    <w:rsid w:val="18E49841"/>
    <w:rsid w:val="18EBE3C7"/>
    <w:rsid w:val="18ED09F9"/>
    <w:rsid w:val="191551B1"/>
    <w:rsid w:val="192C284A"/>
    <w:rsid w:val="192E20CB"/>
    <w:rsid w:val="192E7A0E"/>
    <w:rsid w:val="19317195"/>
    <w:rsid w:val="19397EE3"/>
    <w:rsid w:val="19449B8B"/>
    <w:rsid w:val="195BA42E"/>
    <w:rsid w:val="196D80FF"/>
    <w:rsid w:val="198486C5"/>
    <w:rsid w:val="1986A8BF"/>
    <w:rsid w:val="1987D3E1"/>
    <w:rsid w:val="19A5DF28"/>
    <w:rsid w:val="19BB2190"/>
    <w:rsid w:val="19BD7228"/>
    <w:rsid w:val="19C65648"/>
    <w:rsid w:val="19CA5037"/>
    <w:rsid w:val="19E6BC68"/>
    <w:rsid w:val="19F9C414"/>
    <w:rsid w:val="1A1B4B9A"/>
    <w:rsid w:val="1A257218"/>
    <w:rsid w:val="1A7B5359"/>
    <w:rsid w:val="1A84F98A"/>
    <w:rsid w:val="1A85FA11"/>
    <w:rsid w:val="1AC20353"/>
    <w:rsid w:val="1ACCC354"/>
    <w:rsid w:val="1B0CEE9F"/>
    <w:rsid w:val="1B27908E"/>
    <w:rsid w:val="1B4EA50D"/>
    <w:rsid w:val="1B662098"/>
    <w:rsid w:val="1B97A291"/>
    <w:rsid w:val="1BA46269"/>
    <w:rsid w:val="1BAAEC2C"/>
    <w:rsid w:val="1BB34CCB"/>
    <w:rsid w:val="1BB57E98"/>
    <w:rsid w:val="1BD20674"/>
    <w:rsid w:val="1BDFF369"/>
    <w:rsid w:val="1BF28140"/>
    <w:rsid w:val="1BF28CD6"/>
    <w:rsid w:val="1BFFD4FA"/>
    <w:rsid w:val="1C05D5D0"/>
    <w:rsid w:val="1C14A43B"/>
    <w:rsid w:val="1C1F1B28"/>
    <w:rsid w:val="1C3E8E2A"/>
    <w:rsid w:val="1C52F99A"/>
    <w:rsid w:val="1C7FC912"/>
    <w:rsid w:val="1C9C448E"/>
    <w:rsid w:val="1CC4FA8E"/>
    <w:rsid w:val="1CCC9B95"/>
    <w:rsid w:val="1D1E5D2A"/>
    <w:rsid w:val="1D2A4822"/>
    <w:rsid w:val="1D4A121C"/>
    <w:rsid w:val="1D58B2E9"/>
    <w:rsid w:val="1D592A71"/>
    <w:rsid w:val="1D5B6E6B"/>
    <w:rsid w:val="1D64A235"/>
    <w:rsid w:val="1D6A997C"/>
    <w:rsid w:val="1D6CD36F"/>
    <w:rsid w:val="1D78F475"/>
    <w:rsid w:val="1D915AB0"/>
    <w:rsid w:val="1D924C40"/>
    <w:rsid w:val="1DA6E0AE"/>
    <w:rsid w:val="1DAFFE31"/>
    <w:rsid w:val="1DC0E30C"/>
    <w:rsid w:val="1DD38F58"/>
    <w:rsid w:val="1DDF2892"/>
    <w:rsid w:val="1DEBBA5B"/>
    <w:rsid w:val="1DEEC9FB"/>
    <w:rsid w:val="1E14DD8C"/>
    <w:rsid w:val="1E1CB76C"/>
    <w:rsid w:val="1E62A91F"/>
    <w:rsid w:val="1E8FFFC6"/>
    <w:rsid w:val="1E94C523"/>
    <w:rsid w:val="1E97BED3"/>
    <w:rsid w:val="1EA1AD28"/>
    <w:rsid w:val="1EB5981C"/>
    <w:rsid w:val="1EC2FC16"/>
    <w:rsid w:val="1ECF6E3B"/>
    <w:rsid w:val="1ED61357"/>
    <w:rsid w:val="1EED0AB1"/>
    <w:rsid w:val="1EF4FAD2"/>
    <w:rsid w:val="1EFD6070"/>
    <w:rsid w:val="1F02001F"/>
    <w:rsid w:val="1F0BDAB6"/>
    <w:rsid w:val="1F484531"/>
    <w:rsid w:val="1F4CE499"/>
    <w:rsid w:val="1F5C569D"/>
    <w:rsid w:val="1F6F5FB9"/>
    <w:rsid w:val="1F8F7842"/>
    <w:rsid w:val="1F975B4C"/>
    <w:rsid w:val="1FCB0B56"/>
    <w:rsid w:val="1FDC2856"/>
    <w:rsid w:val="1FDFDD7B"/>
    <w:rsid w:val="2018AFA5"/>
    <w:rsid w:val="203B9549"/>
    <w:rsid w:val="204D3768"/>
    <w:rsid w:val="20503104"/>
    <w:rsid w:val="2068117E"/>
    <w:rsid w:val="2071985E"/>
    <w:rsid w:val="20870C07"/>
    <w:rsid w:val="20BA1705"/>
    <w:rsid w:val="20BB6AD5"/>
    <w:rsid w:val="20DF7F67"/>
    <w:rsid w:val="20FD050F"/>
    <w:rsid w:val="21004F20"/>
    <w:rsid w:val="21358369"/>
    <w:rsid w:val="21398BF3"/>
    <w:rsid w:val="214E4CAD"/>
    <w:rsid w:val="215462D3"/>
    <w:rsid w:val="21809F0D"/>
    <w:rsid w:val="21916343"/>
    <w:rsid w:val="21978630"/>
    <w:rsid w:val="21A18124"/>
    <w:rsid w:val="21A6E764"/>
    <w:rsid w:val="21C9FC74"/>
    <w:rsid w:val="21DEAA9C"/>
    <w:rsid w:val="2205C693"/>
    <w:rsid w:val="2209D5FA"/>
    <w:rsid w:val="22573B36"/>
    <w:rsid w:val="227F7318"/>
    <w:rsid w:val="228628EF"/>
    <w:rsid w:val="22863909"/>
    <w:rsid w:val="22A75BC6"/>
    <w:rsid w:val="22C5529C"/>
    <w:rsid w:val="22D0115E"/>
    <w:rsid w:val="22E84EAF"/>
    <w:rsid w:val="22EE0593"/>
    <w:rsid w:val="22F98986"/>
    <w:rsid w:val="22FF3643"/>
    <w:rsid w:val="23035984"/>
    <w:rsid w:val="232A6869"/>
    <w:rsid w:val="233DE27C"/>
    <w:rsid w:val="233EC786"/>
    <w:rsid w:val="234F0DE9"/>
    <w:rsid w:val="235DDA8D"/>
    <w:rsid w:val="2373360B"/>
    <w:rsid w:val="23733E68"/>
    <w:rsid w:val="23772845"/>
    <w:rsid w:val="2391169E"/>
    <w:rsid w:val="23BA4368"/>
    <w:rsid w:val="23F1B7C7"/>
    <w:rsid w:val="240E1862"/>
    <w:rsid w:val="243AB343"/>
    <w:rsid w:val="2442D0DC"/>
    <w:rsid w:val="245F885D"/>
    <w:rsid w:val="247C1C5A"/>
    <w:rsid w:val="247CF3B7"/>
    <w:rsid w:val="24B49B71"/>
    <w:rsid w:val="24C35D5A"/>
    <w:rsid w:val="24CB1D21"/>
    <w:rsid w:val="24F7BCAE"/>
    <w:rsid w:val="2514F1DB"/>
    <w:rsid w:val="2521BAD5"/>
    <w:rsid w:val="252F48DB"/>
    <w:rsid w:val="254554DB"/>
    <w:rsid w:val="255E6D26"/>
    <w:rsid w:val="256A57E1"/>
    <w:rsid w:val="257B1125"/>
    <w:rsid w:val="257DD9A1"/>
    <w:rsid w:val="25803D69"/>
    <w:rsid w:val="2581C843"/>
    <w:rsid w:val="258D8828"/>
    <w:rsid w:val="25ABFDA7"/>
    <w:rsid w:val="25B37AFD"/>
    <w:rsid w:val="25B9108F"/>
    <w:rsid w:val="25BC9C3E"/>
    <w:rsid w:val="25CBC9F6"/>
    <w:rsid w:val="25CDD5A8"/>
    <w:rsid w:val="25DEA13D"/>
    <w:rsid w:val="25E8E24C"/>
    <w:rsid w:val="25E98063"/>
    <w:rsid w:val="25EC3D05"/>
    <w:rsid w:val="25F5DBB4"/>
    <w:rsid w:val="260078B8"/>
    <w:rsid w:val="26264C91"/>
    <w:rsid w:val="262D68FE"/>
    <w:rsid w:val="264D7FF2"/>
    <w:rsid w:val="267031D9"/>
    <w:rsid w:val="2680543C"/>
    <w:rsid w:val="268430F5"/>
    <w:rsid w:val="2696C985"/>
    <w:rsid w:val="26A7AA1F"/>
    <w:rsid w:val="26B0C0C5"/>
    <w:rsid w:val="26CC4C82"/>
    <w:rsid w:val="26ECC2AB"/>
    <w:rsid w:val="26FED9AA"/>
    <w:rsid w:val="272263A1"/>
    <w:rsid w:val="273A757E"/>
    <w:rsid w:val="27436439"/>
    <w:rsid w:val="274A6C43"/>
    <w:rsid w:val="275543C1"/>
    <w:rsid w:val="2791AC15"/>
    <w:rsid w:val="27C83969"/>
    <w:rsid w:val="27D9947B"/>
    <w:rsid w:val="27F1C585"/>
    <w:rsid w:val="2802BDE3"/>
    <w:rsid w:val="2814A2C3"/>
    <w:rsid w:val="281EA2B9"/>
    <w:rsid w:val="282B8D0E"/>
    <w:rsid w:val="28347231"/>
    <w:rsid w:val="28588A90"/>
    <w:rsid w:val="285E48E6"/>
    <w:rsid w:val="2886EDF0"/>
    <w:rsid w:val="28886B9F"/>
    <w:rsid w:val="2889F745"/>
    <w:rsid w:val="2896D3A3"/>
    <w:rsid w:val="289A6869"/>
    <w:rsid w:val="289C906A"/>
    <w:rsid w:val="28ADF725"/>
    <w:rsid w:val="28B57A63"/>
    <w:rsid w:val="28BC3002"/>
    <w:rsid w:val="28BC532A"/>
    <w:rsid w:val="28E7AA2B"/>
    <w:rsid w:val="29036AB8"/>
    <w:rsid w:val="290D6787"/>
    <w:rsid w:val="292AD437"/>
    <w:rsid w:val="292D7C76"/>
    <w:rsid w:val="292F6A5C"/>
    <w:rsid w:val="29334232"/>
    <w:rsid w:val="2969A7E2"/>
    <w:rsid w:val="2986FF56"/>
    <w:rsid w:val="2988717F"/>
    <w:rsid w:val="29896FB8"/>
    <w:rsid w:val="298FF20E"/>
    <w:rsid w:val="299E8E44"/>
    <w:rsid w:val="29A0195D"/>
    <w:rsid w:val="29E3B7D5"/>
    <w:rsid w:val="29E991DA"/>
    <w:rsid w:val="2A33F928"/>
    <w:rsid w:val="2A49C6DF"/>
    <w:rsid w:val="2A56A151"/>
    <w:rsid w:val="2A5810AB"/>
    <w:rsid w:val="2A721640"/>
    <w:rsid w:val="2A95811C"/>
    <w:rsid w:val="2A9B709E"/>
    <w:rsid w:val="2A9D2E12"/>
    <w:rsid w:val="2AA455E5"/>
    <w:rsid w:val="2AAE983D"/>
    <w:rsid w:val="2AB09730"/>
    <w:rsid w:val="2AC7C565"/>
    <w:rsid w:val="2AC96127"/>
    <w:rsid w:val="2AF32BA7"/>
    <w:rsid w:val="2B18AE19"/>
    <w:rsid w:val="2B460084"/>
    <w:rsid w:val="2B4F0A82"/>
    <w:rsid w:val="2B7ECBDE"/>
    <w:rsid w:val="2B8431E8"/>
    <w:rsid w:val="2B860E3E"/>
    <w:rsid w:val="2B89D2FC"/>
    <w:rsid w:val="2B8ACD1B"/>
    <w:rsid w:val="2B905843"/>
    <w:rsid w:val="2B9315BD"/>
    <w:rsid w:val="2BA28E9B"/>
    <w:rsid w:val="2BBC388B"/>
    <w:rsid w:val="2BD45FB1"/>
    <w:rsid w:val="2BE155EB"/>
    <w:rsid w:val="2BE8F1E6"/>
    <w:rsid w:val="2C0AA088"/>
    <w:rsid w:val="2C0DE6A1"/>
    <w:rsid w:val="2C2BF614"/>
    <w:rsid w:val="2C2EE876"/>
    <w:rsid w:val="2C5D7F58"/>
    <w:rsid w:val="2C607FA8"/>
    <w:rsid w:val="2C6350A8"/>
    <w:rsid w:val="2C660DC4"/>
    <w:rsid w:val="2C713E05"/>
    <w:rsid w:val="2C87436F"/>
    <w:rsid w:val="2CB9D097"/>
    <w:rsid w:val="2CE035AF"/>
    <w:rsid w:val="2CE10293"/>
    <w:rsid w:val="2CF57027"/>
    <w:rsid w:val="2CFBA67F"/>
    <w:rsid w:val="2D19EBFB"/>
    <w:rsid w:val="2D200249"/>
    <w:rsid w:val="2D2D35AD"/>
    <w:rsid w:val="2D38E31A"/>
    <w:rsid w:val="2D3CA24F"/>
    <w:rsid w:val="2D3EF6F9"/>
    <w:rsid w:val="2D4C0000"/>
    <w:rsid w:val="2DB539C2"/>
    <w:rsid w:val="2DDAF40A"/>
    <w:rsid w:val="2DDBF6A7"/>
    <w:rsid w:val="2DE848EA"/>
    <w:rsid w:val="2DEB3B80"/>
    <w:rsid w:val="2DF1A0A8"/>
    <w:rsid w:val="2DF2AF59"/>
    <w:rsid w:val="2E01DE25"/>
    <w:rsid w:val="2E09B1B0"/>
    <w:rsid w:val="2E1B0682"/>
    <w:rsid w:val="2E25A475"/>
    <w:rsid w:val="2E2848B4"/>
    <w:rsid w:val="2E409316"/>
    <w:rsid w:val="2E4AA1B2"/>
    <w:rsid w:val="2E5970CF"/>
    <w:rsid w:val="2E722F29"/>
    <w:rsid w:val="2E8C62EE"/>
    <w:rsid w:val="2E967B12"/>
    <w:rsid w:val="2E9E9444"/>
    <w:rsid w:val="2EC09ABA"/>
    <w:rsid w:val="2EC13629"/>
    <w:rsid w:val="2EF5A118"/>
    <w:rsid w:val="2EFC0072"/>
    <w:rsid w:val="2F09EB8F"/>
    <w:rsid w:val="2F13B4F5"/>
    <w:rsid w:val="2F1A0B2E"/>
    <w:rsid w:val="2F1EEA23"/>
    <w:rsid w:val="2F216552"/>
    <w:rsid w:val="2F32A3CA"/>
    <w:rsid w:val="2F464006"/>
    <w:rsid w:val="2F4B72C6"/>
    <w:rsid w:val="2F614CA9"/>
    <w:rsid w:val="2F786D35"/>
    <w:rsid w:val="2F83959D"/>
    <w:rsid w:val="2F913286"/>
    <w:rsid w:val="2F9BB31E"/>
    <w:rsid w:val="2F9C7EEF"/>
    <w:rsid w:val="2FB508B0"/>
    <w:rsid w:val="2FB6D6E3"/>
    <w:rsid w:val="2FDCCE31"/>
    <w:rsid w:val="2FDF7085"/>
    <w:rsid w:val="2FE5B932"/>
    <w:rsid w:val="2FF8B13C"/>
    <w:rsid w:val="2FF94CC6"/>
    <w:rsid w:val="3005A961"/>
    <w:rsid w:val="30180EFF"/>
    <w:rsid w:val="301CB91E"/>
    <w:rsid w:val="30425C13"/>
    <w:rsid w:val="304FA4B2"/>
    <w:rsid w:val="30518CBD"/>
    <w:rsid w:val="3066D217"/>
    <w:rsid w:val="308C9393"/>
    <w:rsid w:val="30917179"/>
    <w:rsid w:val="30A2AC50"/>
    <w:rsid w:val="30CD3BB7"/>
    <w:rsid w:val="30D97B36"/>
    <w:rsid w:val="30DAAC78"/>
    <w:rsid w:val="30DBF50D"/>
    <w:rsid w:val="30F44DD2"/>
    <w:rsid w:val="31116C7A"/>
    <w:rsid w:val="311CBDBF"/>
    <w:rsid w:val="3129416A"/>
    <w:rsid w:val="312E5BC9"/>
    <w:rsid w:val="313E74E6"/>
    <w:rsid w:val="31437878"/>
    <w:rsid w:val="315619F3"/>
    <w:rsid w:val="315B4A61"/>
    <w:rsid w:val="315E206A"/>
    <w:rsid w:val="31686136"/>
    <w:rsid w:val="316B8855"/>
    <w:rsid w:val="3170C62B"/>
    <w:rsid w:val="318F0688"/>
    <w:rsid w:val="31EE0D62"/>
    <w:rsid w:val="31FE6686"/>
    <w:rsid w:val="32038E33"/>
    <w:rsid w:val="3224FF5D"/>
    <w:rsid w:val="322B4903"/>
    <w:rsid w:val="322F28B9"/>
    <w:rsid w:val="324747E3"/>
    <w:rsid w:val="324E7785"/>
    <w:rsid w:val="3313D98C"/>
    <w:rsid w:val="333B7E52"/>
    <w:rsid w:val="335FDF36"/>
    <w:rsid w:val="33601B44"/>
    <w:rsid w:val="3370B566"/>
    <w:rsid w:val="3378D40A"/>
    <w:rsid w:val="3382E5E1"/>
    <w:rsid w:val="3396989D"/>
    <w:rsid w:val="33B50102"/>
    <w:rsid w:val="33C92D1E"/>
    <w:rsid w:val="33D5A065"/>
    <w:rsid w:val="33FBC026"/>
    <w:rsid w:val="3428915F"/>
    <w:rsid w:val="342AF79B"/>
    <w:rsid w:val="34340EB0"/>
    <w:rsid w:val="3447F761"/>
    <w:rsid w:val="345200F5"/>
    <w:rsid w:val="346C41C3"/>
    <w:rsid w:val="347E5D0E"/>
    <w:rsid w:val="347EF3E3"/>
    <w:rsid w:val="348DBAB5"/>
    <w:rsid w:val="34A4A09B"/>
    <w:rsid w:val="34C3F077"/>
    <w:rsid w:val="34C7CAEC"/>
    <w:rsid w:val="350D9B6D"/>
    <w:rsid w:val="351E9F98"/>
    <w:rsid w:val="35213073"/>
    <w:rsid w:val="3551BC99"/>
    <w:rsid w:val="3556F8A8"/>
    <w:rsid w:val="3559E2B0"/>
    <w:rsid w:val="35C2D751"/>
    <w:rsid w:val="35C5A370"/>
    <w:rsid w:val="35F96BD5"/>
    <w:rsid w:val="362E25B5"/>
    <w:rsid w:val="3633E5CE"/>
    <w:rsid w:val="3636133B"/>
    <w:rsid w:val="3640A7A8"/>
    <w:rsid w:val="3645B1E4"/>
    <w:rsid w:val="3663E8EF"/>
    <w:rsid w:val="3689C958"/>
    <w:rsid w:val="369AA1F6"/>
    <w:rsid w:val="369C4650"/>
    <w:rsid w:val="36B4A881"/>
    <w:rsid w:val="36D55C2A"/>
    <w:rsid w:val="36DF8D02"/>
    <w:rsid w:val="36E461C3"/>
    <w:rsid w:val="36F18431"/>
    <w:rsid w:val="3702AB4C"/>
    <w:rsid w:val="370A4644"/>
    <w:rsid w:val="370A786F"/>
    <w:rsid w:val="371D8AF5"/>
    <w:rsid w:val="3723D355"/>
    <w:rsid w:val="37256D65"/>
    <w:rsid w:val="372F4D10"/>
    <w:rsid w:val="3738EE3A"/>
    <w:rsid w:val="374769D9"/>
    <w:rsid w:val="3799919F"/>
    <w:rsid w:val="37B2B9FC"/>
    <w:rsid w:val="37BB6045"/>
    <w:rsid w:val="37C534D6"/>
    <w:rsid w:val="37CB93D7"/>
    <w:rsid w:val="37DF085A"/>
    <w:rsid w:val="37E19139"/>
    <w:rsid w:val="37EEBD60"/>
    <w:rsid w:val="37F5A95F"/>
    <w:rsid w:val="37FBB054"/>
    <w:rsid w:val="380B0DC6"/>
    <w:rsid w:val="3836D490"/>
    <w:rsid w:val="3841E034"/>
    <w:rsid w:val="3848A073"/>
    <w:rsid w:val="388A33F3"/>
    <w:rsid w:val="38D01994"/>
    <w:rsid w:val="39073436"/>
    <w:rsid w:val="394D9816"/>
    <w:rsid w:val="39610537"/>
    <w:rsid w:val="39831B10"/>
    <w:rsid w:val="3989E74D"/>
    <w:rsid w:val="399AA0E1"/>
    <w:rsid w:val="39B01645"/>
    <w:rsid w:val="39B441CC"/>
    <w:rsid w:val="39E33531"/>
    <w:rsid w:val="3A135D5C"/>
    <w:rsid w:val="3A18632F"/>
    <w:rsid w:val="3A223B02"/>
    <w:rsid w:val="3A24CF8A"/>
    <w:rsid w:val="3A5142D0"/>
    <w:rsid w:val="3A6526D9"/>
    <w:rsid w:val="3A71BD9C"/>
    <w:rsid w:val="3AABDEFC"/>
    <w:rsid w:val="3ACBBED2"/>
    <w:rsid w:val="3AD3E11B"/>
    <w:rsid w:val="3AE370CD"/>
    <w:rsid w:val="3AE70058"/>
    <w:rsid w:val="3AEC5E4C"/>
    <w:rsid w:val="3AF5BFED"/>
    <w:rsid w:val="3B01463E"/>
    <w:rsid w:val="3B1803C5"/>
    <w:rsid w:val="3B27DEF9"/>
    <w:rsid w:val="3B4762A8"/>
    <w:rsid w:val="3B5D87F2"/>
    <w:rsid w:val="3B62D4A0"/>
    <w:rsid w:val="3B696D63"/>
    <w:rsid w:val="3B97BC15"/>
    <w:rsid w:val="3BBB863E"/>
    <w:rsid w:val="3BF214FF"/>
    <w:rsid w:val="3BF240FB"/>
    <w:rsid w:val="3C0F9EA4"/>
    <w:rsid w:val="3C107F9C"/>
    <w:rsid w:val="3C18A282"/>
    <w:rsid w:val="3C49EF08"/>
    <w:rsid w:val="3C5148D1"/>
    <w:rsid w:val="3C5F7066"/>
    <w:rsid w:val="3C6EFADD"/>
    <w:rsid w:val="3C7753A8"/>
    <w:rsid w:val="3C7AC908"/>
    <w:rsid w:val="3C8418A8"/>
    <w:rsid w:val="3C98A5F9"/>
    <w:rsid w:val="3CB3FDFE"/>
    <w:rsid w:val="3CB6CCFF"/>
    <w:rsid w:val="3CCBF6AC"/>
    <w:rsid w:val="3CDF8892"/>
    <w:rsid w:val="3CEC1B91"/>
    <w:rsid w:val="3D057FD8"/>
    <w:rsid w:val="3D42A197"/>
    <w:rsid w:val="3D4AF827"/>
    <w:rsid w:val="3D550459"/>
    <w:rsid w:val="3D5B45A1"/>
    <w:rsid w:val="3D5C704C"/>
    <w:rsid w:val="3D621499"/>
    <w:rsid w:val="3D77E207"/>
    <w:rsid w:val="3D8C08DE"/>
    <w:rsid w:val="3DAE4B6E"/>
    <w:rsid w:val="3DBFCAFD"/>
    <w:rsid w:val="3DC0B2B3"/>
    <w:rsid w:val="3DD8F214"/>
    <w:rsid w:val="3DDF77C3"/>
    <w:rsid w:val="3E08D323"/>
    <w:rsid w:val="3E0AD6B1"/>
    <w:rsid w:val="3E0BDC88"/>
    <w:rsid w:val="3E0CB4D3"/>
    <w:rsid w:val="3E17ACF8"/>
    <w:rsid w:val="3E20A50C"/>
    <w:rsid w:val="3E2681DC"/>
    <w:rsid w:val="3E2DB23A"/>
    <w:rsid w:val="3E2FFDD3"/>
    <w:rsid w:val="3E4D9EB7"/>
    <w:rsid w:val="3E529D60"/>
    <w:rsid w:val="3E60BFED"/>
    <w:rsid w:val="3E63487F"/>
    <w:rsid w:val="3E696BBC"/>
    <w:rsid w:val="3E6FC439"/>
    <w:rsid w:val="3E76E85A"/>
    <w:rsid w:val="3E78EC39"/>
    <w:rsid w:val="3EA3EE30"/>
    <w:rsid w:val="3EB2C2D3"/>
    <w:rsid w:val="3EB3680D"/>
    <w:rsid w:val="3EB6087C"/>
    <w:rsid w:val="3EBA6CFB"/>
    <w:rsid w:val="3EF0D4BA"/>
    <w:rsid w:val="3EF87CFE"/>
    <w:rsid w:val="3EFA8A0B"/>
    <w:rsid w:val="3F10D09A"/>
    <w:rsid w:val="3F1880C6"/>
    <w:rsid w:val="3F19A44A"/>
    <w:rsid w:val="3F1D8E15"/>
    <w:rsid w:val="3F1E6FA0"/>
    <w:rsid w:val="3F23F88E"/>
    <w:rsid w:val="3F2CFA8D"/>
    <w:rsid w:val="3F480A31"/>
    <w:rsid w:val="3F8A1962"/>
    <w:rsid w:val="3F8DBF2E"/>
    <w:rsid w:val="3FCF2CA1"/>
    <w:rsid w:val="3FD631E7"/>
    <w:rsid w:val="3FDCF581"/>
    <w:rsid w:val="3FEBAF57"/>
    <w:rsid w:val="3FEE8803"/>
    <w:rsid w:val="3FFC1F1D"/>
    <w:rsid w:val="3FFD2954"/>
    <w:rsid w:val="401AD830"/>
    <w:rsid w:val="4066BBAF"/>
    <w:rsid w:val="406A73FE"/>
    <w:rsid w:val="40766214"/>
    <w:rsid w:val="4085492A"/>
    <w:rsid w:val="40A8C6D0"/>
    <w:rsid w:val="40AAA4E3"/>
    <w:rsid w:val="40B1F37B"/>
    <w:rsid w:val="40DE21FA"/>
    <w:rsid w:val="40E95742"/>
    <w:rsid w:val="40EBB1AF"/>
    <w:rsid w:val="40EE2D73"/>
    <w:rsid w:val="40F34AC8"/>
    <w:rsid w:val="40F7A503"/>
    <w:rsid w:val="4109D161"/>
    <w:rsid w:val="410D777E"/>
    <w:rsid w:val="4120EB85"/>
    <w:rsid w:val="4126D1B7"/>
    <w:rsid w:val="4128EA6C"/>
    <w:rsid w:val="413CA00F"/>
    <w:rsid w:val="413FE9F1"/>
    <w:rsid w:val="41995236"/>
    <w:rsid w:val="419B5836"/>
    <w:rsid w:val="41AA9276"/>
    <w:rsid w:val="41B19B32"/>
    <w:rsid w:val="41B36721"/>
    <w:rsid w:val="41B3B7C6"/>
    <w:rsid w:val="41B79A5E"/>
    <w:rsid w:val="41D70F6C"/>
    <w:rsid w:val="41DE350A"/>
    <w:rsid w:val="41E4A894"/>
    <w:rsid w:val="41F27267"/>
    <w:rsid w:val="41F2F655"/>
    <w:rsid w:val="42001D73"/>
    <w:rsid w:val="420218A3"/>
    <w:rsid w:val="420F6FD8"/>
    <w:rsid w:val="42264AA9"/>
    <w:rsid w:val="4239E793"/>
    <w:rsid w:val="4245EC3B"/>
    <w:rsid w:val="42565AB6"/>
    <w:rsid w:val="425D1C5D"/>
    <w:rsid w:val="425E1085"/>
    <w:rsid w:val="428AE50E"/>
    <w:rsid w:val="428B68C0"/>
    <w:rsid w:val="428C5F3B"/>
    <w:rsid w:val="42968486"/>
    <w:rsid w:val="42AA0A6F"/>
    <w:rsid w:val="42D1F5BE"/>
    <w:rsid w:val="42D2B311"/>
    <w:rsid w:val="42D3000F"/>
    <w:rsid w:val="42E15F6C"/>
    <w:rsid w:val="42E6952C"/>
    <w:rsid w:val="42EA680C"/>
    <w:rsid w:val="43029712"/>
    <w:rsid w:val="432242E7"/>
    <w:rsid w:val="4329FD59"/>
    <w:rsid w:val="43352297"/>
    <w:rsid w:val="433FDE07"/>
    <w:rsid w:val="4342D63F"/>
    <w:rsid w:val="4348F1CA"/>
    <w:rsid w:val="434A597D"/>
    <w:rsid w:val="43567F39"/>
    <w:rsid w:val="435CC990"/>
    <w:rsid w:val="43806396"/>
    <w:rsid w:val="438A0FB9"/>
    <w:rsid w:val="438B39D5"/>
    <w:rsid w:val="43B0CCC6"/>
    <w:rsid w:val="43C91D48"/>
    <w:rsid w:val="43D2B5F3"/>
    <w:rsid w:val="43E39EAD"/>
    <w:rsid w:val="43E61D56"/>
    <w:rsid w:val="43FCD543"/>
    <w:rsid w:val="44026F81"/>
    <w:rsid w:val="440CE547"/>
    <w:rsid w:val="440EE046"/>
    <w:rsid w:val="441640AF"/>
    <w:rsid w:val="44180692"/>
    <w:rsid w:val="442CB960"/>
    <w:rsid w:val="4432C45E"/>
    <w:rsid w:val="44422F36"/>
    <w:rsid w:val="44813280"/>
    <w:rsid w:val="44AB1376"/>
    <w:rsid w:val="44D00171"/>
    <w:rsid w:val="44D19508"/>
    <w:rsid w:val="44DB9C15"/>
    <w:rsid w:val="44E77FDD"/>
    <w:rsid w:val="45031148"/>
    <w:rsid w:val="451FCF85"/>
    <w:rsid w:val="453903D6"/>
    <w:rsid w:val="45960185"/>
    <w:rsid w:val="45AA4B31"/>
    <w:rsid w:val="45C62D49"/>
    <w:rsid w:val="45CB1626"/>
    <w:rsid w:val="45DF8D96"/>
    <w:rsid w:val="45EBBE70"/>
    <w:rsid w:val="460CABCF"/>
    <w:rsid w:val="46222A64"/>
    <w:rsid w:val="462DCAD0"/>
    <w:rsid w:val="463AFC2E"/>
    <w:rsid w:val="464775C5"/>
    <w:rsid w:val="466BD1D2"/>
    <w:rsid w:val="466C0057"/>
    <w:rsid w:val="46902CAF"/>
    <w:rsid w:val="4691AD0D"/>
    <w:rsid w:val="4694FC76"/>
    <w:rsid w:val="469E97EE"/>
    <w:rsid w:val="46AC5683"/>
    <w:rsid w:val="46B4DA80"/>
    <w:rsid w:val="46C66778"/>
    <w:rsid w:val="46E39581"/>
    <w:rsid w:val="46EA2A35"/>
    <w:rsid w:val="470935F9"/>
    <w:rsid w:val="472A547E"/>
    <w:rsid w:val="47380C72"/>
    <w:rsid w:val="476D6E37"/>
    <w:rsid w:val="4783257B"/>
    <w:rsid w:val="47A87C30"/>
    <w:rsid w:val="47AA1093"/>
    <w:rsid w:val="47AEA6B8"/>
    <w:rsid w:val="47CB6ADE"/>
    <w:rsid w:val="47CEDF09"/>
    <w:rsid w:val="47D6CC8F"/>
    <w:rsid w:val="47DB58A0"/>
    <w:rsid w:val="47F5D325"/>
    <w:rsid w:val="4800C75E"/>
    <w:rsid w:val="483B48E0"/>
    <w:rsid w:val="48469A48"/>
    <w:rsid w:val="4852BBF4"/>
    <w:rsid w:val="48546202"/>
    <w:rsid w:val="48566E3A"/>
    <w:rsid w:val="48632300"/>
    <w:rsid w:val="48798E3B"/>
    <w:rsid w:val="48990C62"/>
    <w:rsid w:val="48C6F19F"/>
    <w:rsid w:val="48C9FD19"/>
    <w:rsid w:val="48E0566A"/>
    <w:rsid w:val="48E8CDF1"/>
    <w:rsid w:val="48E98E8B"/>
    <w:rsid w:val="48F61A30"/>
    <w:rsid w:val="4910C02F"/>
    <w:rsid w:val="49513132"/>
    <w:rsid w:val="495AC820"/>
    <w:rsid w:val="4989F0F4"/>
    <w:rsid w:val="498D3709"/>
    <w:rsid w:val="4992CC9B"/>
    <w:rsid w:val="499F0AF1"/>
    <w:rsid w:val="49B63F6F"/>
    <w:rsid w:val="49DFB42E"/>
    <w:rsid w:val="49E298B6"/>
    <w:rsid w:val="49EA85AE"/>
    <w:rsid w:val="49FE083A"/>
    <w:rsid w:val="4A200E4A"/>
    <w:rsid w:val="4A301171"/>
    <w:rsid w:val="4A43020C"/>
    <w:rsid w:val="4A4E7789"/>
    <w:rsid w:val="4A53FCFD"/>
    <w:rsid w:val="4A663660"/>
    <w:rsid w:val="4A6E39C3"/>
    <w:rsid w:val="4A865999"/>
    <w:rsid w:val="4A8C4811"/>
    <w:rsid w:val="4AC39FCC"/>
    <w:rsid w:val="4AFE727D"/>
    <w:rsid w:val="4B12F962"/>
    <w:rsid w:val="4B3EC3D7"/>
    <w:rsid w:val="4B992857"/>
    <w:rsid w:val="4BC2F456"/>
    <w:rsid w:val="4BC848C4"/>
    <w:rsid w:val="4BD30930"/>
    <w:rsid w:val="4BD35845"/>
    <w:rsid w:val="4BE56A04"/>
    <w:rsid w:val="4BFE2B6D"/>
    <w:rsid w:val="4C09BACC"/>
    <w:rsid w:val="4C0F1B78"/>
    <w:rsid w:val="4C30524B"/>
    <w:rsid w:val="4C3CEE1B"/>
    <w:rsid w:val="4C6469F8"/>
    <w:rsid w:val="4C78D804"/>
    <w:rsid w:val="4C7C56A0"/>
    <w:rsid w:val="4C7E79B6"/>
    <w:rsid w:val="4C906814"/>
    <w:rsid w:val="4C9639B1"/>
    <w:rsid w:val="4C9EB9BF"/>
    <w:rsid w:val="4C9FCC09"/>
    <w:rsid w:val="4CAEC9C3"/>
    <w:rsid w:val="4CBC5561"/>
    <w:rsid w:val="4CBCA003"/>
    <w:rsid w:val="4CC09CB8"/>
    <w:rsid w:val="4CD58E16"/>
    <w:rsid w:val="4CD6ABB3"/>
    <w:rsid w:val="4D0285D9"/>
    <w:rsid w:val="4D3D341C"/>
    <w:rsid w:val="4D461939"/>
    <w:rsid w:val="4D622D8B"/>
    <w:rsid w:val="4D6ABAD9"/>
    <w:rsid w:val="4D774E26"/>
    <w:rsid w:val="4D7B0492"/>
    <w:rsid w:val="4D8BA176"/>
    <w:rsid w:val="4DBAB17E"/>
    <w:rsid w:val="4DC7F2A4"/>
    <w:rsid w:val="4DEC8460"/>
    <w:rsid w:val="4DF8C299"/>
    <w:rsid w:val="4DFF2A21"/>
    <w:rsid w:val="4E0CD4A3"/>
    <w:rsid w:val="4E132D18"/>
    <w:rsid w:val="4E18D48D"/>
    <w:rsid w:val="4E2E3943"/>
    <w:rsid w:val="4E2F2F64"/>
    <w:rsid w:val="4E3B9C6A"/>
    <w:rsid w:val="4E3F8CE6"/>
    <w:rsid w:val="4E6DC456"/>
    <w:rsid w:val="4E752CAA"/>
    <w:rsid w:val="4E8229AF"/>
    <w:rsid w:val="4EA18171"/>
    <w:rsid w:val="4EA89BFE"/>
    <w:rsid w:val="4EF37F6D"/>
    <w:rsid w:val="4EF9A243"/>
    <w:rsid w:val="4F052784"/>
    <w:rsid w:val="4F20E8CE"/>
    <w:rsid w:val="4F27DBE1"/>
    <w:rsid w:val="4F3B1109"/>
    <w:rsid w:val="4F63B14E"/>
    <w:rsid w:val="4F63C305"/>
    <w:rsid w:val="4F8424CA"/>
    <w:rsid w:val="4F86F5A6"/>
    <w:rsid w:val="4F8BC3B3"/>
    <w:rsid w:val="4F8DD4E7"/>
    <w:rsid w:val="4F90A070"/>
    <w:rsid w:val="4F933F2A"/>
    <w:rsid w:val="4F99FCCD"/>
    <w:rsid w:val="4FA09040"/>
    <w:rsid w:val="4FB82C4C"/>
    <w:rsid w:val="4FE1DE74"/>
    <w:rsid w:val="4FE58E5D"/>
    <w:rsid w:val="4FF3F623"/>
    <w:rsid w:val="50108F14"/>
    <w:rsid w:val="5030C31B"/>
    <w:rsid w:val="5035F8B5"/>
    <w:rsid w:val="50373B64"/>
    <w:rsid w:val="50489AA2"/>
    <w:rsid w:val="50542A53"/>
    <w:rsid w:val="506F1414"/>
    <w:rsid w:val="5074CA75"/>
    <w:rsid w:val="50762771"/>
    <w:rsid w:val="507B8DDA"/>
    <w:rsid w:val="509F52F8"/>
    <w:rsid w:val="50BE5711"/>
    <w:rsid w:val="50C3E1A7"/>
    <w:rsid w:val="50CE97A6"/>
    <w:rsid w:val="50D20384"/>
    <w:rsid w:val="50D6A34A"/>
    <w:rsid w:val="50EF4246"/>
    <w:rsid w:val="511FACE4"/>
    <w:rsid w:val="512E3809"/>
    <w:rsid w:val="5131FF3F"/>
    <w:rsid w:val="51375C91"/>
    <w:rsid w:val="513DE636"/>
    <w:rsid w:val="515ABBDA"/>
    <w:rsid w:val="51708082"/>
    <w:rsid w:val="518365B9"/>
    <w:rsid w:val="51AC6912"/>
    <w:rsid w:val="51BE3F8B"/>
    <w:rsid w:val="51C516FF"/>
    <w:rsid w:val="51CDB016"/>
    <w:rsid w:val="51D49678"/>
    <w:rsid w:val="51DF2204"/>
    <w:rsid w:val="51E86363"/>
    <w:rsid w:val="51FC2236"/>
    <w:rsid w:val="5228360E"/>
    <w:rsid w:val="523B2359"/>
    <w:rsid w:val="52454F39"/>
    <w:rsid w:val="5258496B"/>
    <w:rsid w:val="52594CD8"/>
    <w:rsid w:val="525C990E"/>
    <w:rsid w:val="525E4C14"/>
    <w:rsid w:val="5289FCBD"/>
    <w:rsid w:val="52905943"/>
    <w:rsid w:val="52A3514D"/>
    <w:rsid w:val="52A9992E"/>
    <w:rsid w:val="52B679CA"/>
    <w:rsid w:val="52C09981"/>
    <w:rsid w:val="52D36BA5"/>
    <w:rsid w:val="52D9B697"/>
    <w:rsid w:val="53131E89"/>
    <w:rsid w:val="531F361A"/>
    <w:rsid w:val="531FFC12"/>
    <w:rsid w:val="5331D531"/>
    <w:rsid w:val="5374A98C"/>
    <w:rsid w:val="537A5695"/>
    <w:rsid w:val="53A46692"/>
    <w:rsid w:val="53DCFF76"/>
    <w:rsid w:val="53E1BA9D"/>
    <w:rsid w:val="53ECBE17"/>
    <w:rsid w:val="53F24FE3"/>
    <w:rsid w:val="53F6528E"/>
    <w:rsid w:val="53F9D0B0"/>
    <w:rsid w:val="5409A446"/>
    <w:rsid w:val="54137665"/>
    <w:rsid w:val="5419C3E2"/>
    <w:rsid w:val="54264A7E"/>
    <w:rsid w:val="54651004"/>
    <w:rsid w:val="546EEAB9"/>
    <w:rsid w:val="547131D7"/>
    <w:rsid w:val="54B25A9C"/>
    <w:rsid w:val="54BAB383"/>
    <w:rsid w:val="54C913CC"/>
    <w:rsid w:val="54DA935B"/>
    <w:rsid w:val="54E1BD98"/>
    <w:rsid w:val="54FD82E4"/>
    <w:rsid w:val="550CF7F7"/>
    <w:rsid w:val="5516AB41"/>
    <w:rsid w:val="552CFB13"/>
    <w:rsid w:val="5542E818"/>
    <w:rsid w:val="55436287"/>
    <w:rsid w:val="5543A68F"/>
    <w:rsid w:val="55508C63"/>
    <w:rsid w:val="55522E02"/>
    <w:rsid w:val="55675558"/>
    <w:rsid w:val="557FEF59"/>
    <w:rsid w:val="559439D0"/>
    <w:rsid w:val="55980574"/>
    <w:rsid w:val="55A646C6"/>
    <w:rsid w:val="55BA2DE5"/>
    <w:rsid w:val="55C4E4E4"/>
    <w:rsid w:val="5601A92C"/>
    <w:rsid w:val="56105A41"/>
    <w:rsid w:val="56328ED4"/>
    <w:rsid w:val="5637B97B"/>
    <w:rsid w:val="5650A8FD"/>
    <w:rsid w:val="565C37FD"/>
    <w:rsid w:val="56619B71"/>
    <w:rsid w:val="56857B7F"/>
    <w:rsid w:val="56929957"/>
    <w:rsid w:val="56B05951"/>
    <w:rsid w:val="56C9437E"/>
    <w:rsid w:val="56F50368"/>
    <w:rsid w:val="56F5D83C"/>
    <w:rsid w:val="57445EA9"/>
    <w:rsid w:val="57446A0C"/>
    <w:rsid w:val="576ED4EA"/>
    <w:rsid w:val="57718334"/>
    <w:rsid w:val="578A9057"/>
    <w:rsid w:val="57B01458"/>
    <w:rsid w:val="57C74711"/>
    <w:rsid w:val="57F54271"/>
    <w:rsid w:val="57FA69E9"/>
    <w:rsid w:val="580854D8"/>
    <w:rsid w:val="582B8DF0"/>
    <w:rsid w:val="5834467A"/>
    <w:rsid w:val="583CC96D"/>
    <w:rsid w:val="5840FF04"/>
    <w:rsid w:val="58495726"/>
    <w:rsid w:val="585929B8"/>
    <w:rsid w:val="5868EDAC"/>
    <w:rsid w:val="587C806C"/>
    <w:rsid w:val="5884D299"/>
    <w:rsid w:val="58AF4D9E"/>
    <w:rsid w:val="58B845B2"/>
    <w:rsid w:val="58CD41D3"/>
    <w:rsid w:val="58DAAD00"/>
    <w:rsid w:val="58E6E6D1"/>
    <w:rsid w:val="58F06ADF"/>
    <w:rsid w:val="59090467"/>
    <w:rsid w:val="591F36C3"/>
    <w:rsid w:val="594B3E65"/>
    <w:rsid w:val="594DB783"/>
    <w:rsid w:val="595B0C85"/>
    <w:rsid w:val="59613222"/>
    <w:rsid w:val="59659CC2"/>
    <w:rsid w:val="59736C28"/>
    <w:rsid w:val="59961C20"/>
    <w:rsid w:val="599FCCBD"/>
    <w:rsid w:val="59C68EBA"/>
    <w:rsid w:val="59CE274F"/>
    <w:rsid w:val="59DA4CEB"/>
    <w:rsid w:val="59E0F0D7"/>
    <w:rsid w:val="5A078F7E"/>
    <w:rsid w:val="5A1A63B4"/>
    <w:rsid w:val="5A31E2FA"/>
    <w:rsid w:val="5A38FB7C"/>
    <w:rsid w:val="5A623755"/>
    <w:rsid w:val="5A708D4E"/>
    <w:rsid w:val="5A70D4DD"/>
    <w:rsid w:val="5A72CC82"/>
    <w:rsid w:val="5A881B09"/>
    <w:rsid w:val="5A8D8531"/>
    <w:rsid w:val="5A9A381B"/>
    <w:rsid w:val="5AA3703C"/>
    <w:rsid w:val="5AAA5961"/>
    <w:rsid w:val="5AED9A75"/>
    <w:rsid w:val="5AF652F4"/>
    <w:rsid w:val="5B022CC0"/>
    <w:rsid w:val="5B061CFC"/>
    <w:rsid w:val="5B08AB4F"/>
    <w:rsid w:val="5B0AB51D"/>
    <w:rsid w:val="5B1011D8"/>
    <w:rsid w:val="5B1ACFC4"/>
    <w:rsid w:val="5B1D986F"/>
    <w:rsid w:val="5B217116"/>
    <w:rsid w:val="5B2A49C4"/>
    <w:rsid w:val="5B3C7E55"/>
    <w:rsid w:val="5B3D831D"/>
    <w:rsid w:val="5B424589"/>
    <w:rsid w:val="5B529D6B"/>
    <w:rsid w:val="5B761D4C"/>
    <w:rsid w:val="5B82992D"/>
    <w:rsid w:val="5B93D2E1"/>
    <w:rsid w:val="5BB9CA47"/>
    <w:rsid w:val="5BBA063D"/>
    <w:rsid w:val="5BC42E93"/>
    <w:rsid w:val="5BE60354"/>
    <w:rsid w:val="5BEA52F7"/>
    <w:rsid w:val="5BEA6CFC"/>
    <w:rsid w:val="5BEBE013"/>
    <w:rsid w:val="5BED3575"/>
    <w:rsid w:val="5C0D115E"/>
    <w:rsid w:val="5C20870C"/>
    <w:rsid w:val="5C33EB66"/>
    <w:rsid w:val="5C45497C"/>
    <w:rsid w:val="5C4A3393"/>
    <w:rsid w:val="5C6BE2B6"/>
    <w:rsid w:val="5C722919"/>
    <w:rsid w:val="5C832BFA"/>
    <w:rsid w:val="5CA195A7"/>
    <w:rsid w:val="5CA47BB0"/>
    <w:rsid w:val="5CA9E840"/>
    <w:rsid w:val="5CB90552"/>
    <w:rsid w:val="5CBE0D03"/>
    <w:rsid w:val="5CC0ED61"/>
    <w:rsid w:val="5CC97B9E"/>
    <w:rsid w:val="5CDAA8E7"/>
    <w:rsid w:val="5CE2FD0D"/>
    <w:rsid w:val="5CEF50C1"/>
    <w:rsid w:val="5CF2BD5F"/>
    <w:rsid w:val="5CF61DC6"/>
    <w:rsid w:val="5CFD3432"/>
    <w:rsid w:val="5D2B160A"/>
    <w:rsid w:val="5D32C78D"/>
    <w:rsid w:val="5D79C667"/>
    <w:rsid w:val="5D831783"/>
    <w:rsid w:val="5D889CE3"/>
    <w:rsid w:val="5D975E2F"/>
    <w:rsid w:val="5DA8EB70"/>
    <w:rsid w:val="5DAB0070"/>
    <w:rsid w:val="5DBBC7FE"/>
    <w:rsid w:val="5DCC3C0F"/>
    <w:rsid w:val="5DD7C5F9"/>
    <w:rsid w:val="5DE111B5"/>
    <w:rsid w:val="5DEBB270"/>
    <w:rsid w:val="5E122FFA"/>
    <w:rsid w:val="5E26675C"/>
    <w:rsid w:val="5E272AD0"/>
    <w:rsid w:val="5E2917D5"/>
    <w:rsid w:val="5E342440"/>
    <w:rsid w:val="5E37C6D0"/>
    <w:rsid w:val="5E453F95"/>
    <w:rsid w:val="5E6D5864"/>
    <w:rsid w:val="5E760A10"/>
    <w:rsid w:val="5E8D052A"/>
    <w:rsid w:val="5E9050BF"/>
    <w:rsid w:val="5E980C56"/>
    <w:rsid w:val="5EA57ADE"/>
    <w:rsid w:val="5EA5B8FA"/>
    <w:rsid w:val="5EC45A06"/>
    <w:rsid w:val="5ED2C06F"/>
    <w:rsid w:val="5ED3EEE1"/>
    <w:rsid w:val="5EEAEC5A"/>
    <w:rsid w:val="5F01904E"/>
    <w:rsid w:val="5F25047E"/>
    <w:rsid w:val="5F26D19F"/>
    <w:rsid w:val="5F47DB85"/>
    <w:rsid w:val="5F52BF91"/>
    <w:rsid w:val="5F80B98C"/>
    <w:rsid w:val="5F93AC28"/>
    <w:rsid w:val="5FAC6F89"/>
    <w:rsid w:val="5FAD90C6"/>
    <w:rsid w:val="5FB830C1"/>
    <w:rsid w:val="5FBDC3ED"/>
    <w:rsid w:val="5FEA66C6"/>
    <w:rsid w:val="60120773"/>
    <w:rsid w:val="6026F183"/>
    <w:rsid w:val="6032B718"/>
    <w:rsid w:val="6052FCF3"/>
    <w:rsid w:val="60542143"/>
    <w:rsid w:val="6075822C"/>
    <w:rsid w:val="608CA7CF"/>
    <w:rsid w:val="60AD47F6"/>
    <w:rsid w:val="60AD893C"/>
    <w:rsid w:val="60AD94F9"/>
    <w:rsid w:val="60BF59C2"/>
    <w:rsid w:val="60CB9313"/>
    <w:rsid w:val="60D723B2"/>
    <w:rsid w:val="60DBCA5D"/>
    <w:rsid w:val="60FA7ECF"/>
    <w:rsid w:val="60FF3D1D"/>
    <w:rsid w:val="61851193"/>
    <w:rsid w:val="618723D9"/>
    <w:rsid w:val="61993F16"/>
    <w:rsid w:val="61E52410"/>
    <w:rsid w:val="61E92F91"/>
    <w:rsid w:val="620C399C"/>
    <w:rsid w:val="6237AF98"/>
    <w:rsid w:val="6253870D"/>
    <w:rsid w:val="62686BF2"/>
    <w:rsid w:val="626E6D35"/>
    <w:rsid w:val="6272BCD8"/>
    <w:rsid w:val="62B7A2C5"/>
    <w:rsid w:val="62BA260B"/>
    <w:rsid w:val="62D521A1"/>
    <w:rsid w:val="62F9283B"/>
    <w:rsid w:val="63138D7B"/>
    <w:rsid w:val="6317525A"/>
    <w:rsid w:val="63302D98"/>
    <w:rsid w:val="635E3504"/>
    <w:rsid w:val="63623028"/>
    <w:rsid w:val="6368964F"/>
    <w:rsid w:val="636F1B5C"/>
    <w:rsid w:val="63792A1D"/>
    <w:rsid w:val="6389DF2D"/>
    <w:rsid w:val="638D38FD"/>
    <w:rsid w:val="63A92E39"/>
    <w:rsid w:val="63A9874D"/>
    <w:rsid w:val="63D3EA95"/>
    <w:rsid w:val="63DD819A"/>
    <w:rsid w:val="63E217BF"/>
    <w:rsid w:val="64015115"/>
    <w:rsid w:val="640FF47A"/>
    <w:rsid w:val="6416B72D"/>
    <w:rsid w:val="6425D51D"/>
    <w:rsid w:val="644D364E"/>
    <w:rsid w:val="64546A3E"/>
    <w:rsid w:val="646024FD"/>
    <w:rsid w:val="647047B3"/>
    <w:rsid w:val="64B333DE"/>
    <w:rsid w:val="64D1E5D1"/>
    <w:rsid w:val="64D59067"/>
    <w:rsid w:val="64E6A68B"/>
    <w:rsid w:val="64E927CF"/>
    <w:rsid w:val="64EA8F10"/>
    <w:rsid w:val="64FA6A86"/>
    <w:rsid w:val="650FAB7E"/>
    <w:rsid w:val="650FFCF9"/>
    <w:rsid w:val="65216F60"/>
    <w:rsid w:val="653627EF"/>
    <w:rsid w:val="65386841"/>
    <w:rsid w:val="65387907"/>
    <w:rsid w:val="6554AA80"/>
    <w:rsid w:val="657951FB"/>
    <w:rsid w:val="65844E82"/>
    <w:rsid w:val="6587EC5E"/>
    <w:rsid w:val="6591353D"/>
    <w:rsid w:val="659CAD00"/>
    <w:rsid w:val="65A199E3"/>
    <w:rsid w:val="65A60DF7"/>
    <w:rsid w:val="65AEA4AB"/>
    <w:rsid w:val="65BDC834"/>
    <w:rsid w:val="65D9F308"/>
    <w:rsid w:val="65E26AB0"/>
    <w:rsid w:val="65E36324"/>
    <w:rsid w:val="6609CE19"/>
    <w:rsid w:val="6615E49E"/>
    <w:rsid w:val="661B5A09"/>
    <w:rsid w:val="66296BD5"/>
    <w:rsid w:val="6643A9BC"/>
    <w:rsid w:val="66487036"/>
    <w:rsid w:val="665FBFB8"/>
    <w:rsid w:val="6660ECE8"/>
    <w:rsid w:val="6666D5C8"/>
    <w:rsid w:val="6671E601"/>
    <w:rsid w:val="6673BD59"/>
    <w:rsid w:val="668CCA73"/>
    <w:rsid w:val="66A7DD71"/>
    <w:rsid w:val="66D1F850"/>
    <w:rsid w:val="66D29319"/>
    <w:rsid w:val="66E436C1"/>
    <w:rsid w:val="66E9E7AC"/>
    <w:rsid w:val="66F1CBD4"/>
    <w:rsid w:val="66F4D55C"/>
    <w:rsid w:val="67044A37"/>
    <w:rsid w:val="6711B424"/>
    <w:rsid w:val="67127BD5"/>
    <w:rsid w:val="671D3320"/>
    <w:rsid w:val="67785C59"/>
    <w:rsid w:val="677E9D62"/>
    <w:rsid w:val="67C0739E"/>
    <w:rsid w:val="67C246DF"/>
    <w:rsid w:val="67CFDDDD"/>
    <w:rsid w:val="67DC504E"/>
    <w:rsid w:val="67E9D288"/>
    <w:rsid w:val="67F1E453"/>
    <w:rsid w:val="6807A034"/>
    <w:rsid w:val="68165C95"/>
    <w:rsid w:val="68289AD4"/>
    <w:rsid w:val="6828FA08"/>
    <w:rsid w:val="686496E6"/>
    <w:rsid w:val="687E60DD"/>
    <w:rsid w:val="688C4B42"/>
    <w:rsid w:val="689C4CD4"/>
    <w:rsid w:val="68B0F2BD"/>
    <w:rsid w:val="68C8D5FF"/>
    <w:rsid w:val="68D0FFF3"/>
    <w:rsid w:val="6908F857"/>
    <w:rsid w:val="690F75E4"/>
    <w:rsid w:val="691B94CC"/>
    <w:rsid w:val="6924ACCA"/>
    <w:rsid w:val="693487A7"/>
    <w:rsid w:val="694DF35B"/>
    <w:rsid w:val="695ED2E2"/>
    <w:rsid w:val="69691A03"/>
    <w:rsid w:val="69715115"/>
    <w:rsid w:val="6975F464"/>
    <w:rsid w:val="697A23DF"/>
    <w:rsid w:val="699EE484"/>
    <w:rsid w:val="69C58671"/>
    <w:rsid w:val="6A029D13"/>
    <w:rsid w:val="6A0AEB10"/>
    <w:rsid w:val="6A11DA89"/>
    <w:rsid w:val="6A1B3149"/>
    <w:rsid w:val="6A20A159"/>
    <w:rsid w:val="6A2A746B"/>
    <w:rsid w:val="6A4FE980"/>
    <w:rsid w:val="6A5CDCF6"/>
    <w:rsid w:val="6A62B85D"/>
    <w:rsid w:val="6A6DFB27"/>
    <w:rsid w:val="6A94E399"/>
    <w:rsid w:val="6AAB4645"/>
    <w:rsid w:val="6AC07D2B"/>
    <w:rsid w:val="6AEBF7B9"/>
    <w:rsid w:val="6B11A53E"/>
    <w:rsid w:val="6B173985"/>
    <w:rsid w:val="6B3C41BE"/>
    <w:rsid w:val="6B6F106C"/>
    <w:rsid w:val="6B8805C4"/>
    <w:rsid w:val="6B8A2EBD"/>
    <w:rsid w:val="6B9A5547"/>
    <w:rsid w:val="6B9E6D74"/>
    <w:rsid w:val="6BC4BDF2"/>
    <w:rsid w:val="6BCC3BBA"/>
    <w:rsid w:val="6BEAE4E6"/>
    <w:rsid w:val="6C0F24E2"/>
    <w:rsid w:val="6C199F1E"/>
    <w:rsid w:val="6C30B3FA"/>
    <w:rsid w:val="6C5C4D8C"/>
    <w:rsid w:val="6C5ECE5E"/>
    <w:rsid w:val="6C690598"/>
    <w:rsid w:val="6C6B36E2"/>
    <w:rsid w:val="6C8EFC00"/>
    <w:rsid w:val="6CB96DE0"/>
    <w:rsid w:val="6CBA7324"/>
    <w:rsid w:val="6CE1B108"/>
    <w:rsid w:val="6CE482C4"/>
    <w:rsid w:val="6CE98AD1"/>
    <w:rsid w:val="6CF0FA0D"/>
    <w:rsid w:val="6CF7C3F1"/>
    <w:rsid w:val="6D23D62D"/>
    <w:rsid w:val="6D36E822"/>
    <w:rsid w:val="6D38892D"/>
    <w:rsid w:val="6D3AF1F3"/>
    <w:rsid w:val="6D3D4463"/>
    <w:rsid w:val="6D4F0AA2"/>
    <w:rsid w:val="6DA47116"/>
    <w:rsid w:val="6DA59BE9"/>
    <w:rsid w:val="6DC686EF"/>
    <w:rsid w:val="6DC7A954"/>
    <w:rsid w:val="6DDBBDA3"/>
    <w:rsid w:val="6DF81DED"/>
    <w:rsid w:val="6E01F4B1"/>
    <w:rsid w:val="6E2B217B"/>
    <w:rsid w:val="6E583A1D"/>
    <w:rsid w:val="6E6C223F"/>
    <w:rsid w:val="6E6C90D2"/>
    <w:rsid w:val="6E71483C"/>
    <w:rsid w:val="6E767653"/>
    <w:rsid w:val="6E76C450"/>
    <w:rsid w:val="6E8307BB"/>
    <w:rsid w:val="6E894989"/>
    <w:rsid w:val="6E9FFEB9"/>
    <w:rsid w:val="6EA6B12E"/>
    <w:rsid w:val="6EB29A12"/>
    <w:rsid w:val="6EB361CE"/>
    <w:rsid w:val="6ECC1BDC"/>
    <w:rsid w:val="6ED8BF2E"/>
    <w:rsid w:val="6EDD0A35"/>
    <w:rsid w:val="6EDE01D8"/>
    <w:rsid w:val="6F1B51BD"/>
    <w:rsid w:val="6F29951B"/>
    <w:rsid w:val="6F4D6834"/>
    <w:rsid w:val="6F6DDB43"/>
    <w:rsid w:val="6F86BD48"/>
    <w:rsid w:val="6F97DD19"/>
    <w:rsid w:val="6F98B319"/>
    <w:rsid w:val="6FA0B1D8"/>
    <w:rsid w:val="6FAE52A2"/>
    <w:rsid w:val="6FB0B7F7"/>
    <w:rsid w:val="6FC507E0"/>
    <w:rsid w:val="6FC70C73"/>
    <w:rsid w:val="6FC94083"/>
    <w:rsid w:val="701262D1"/>
    <w:rsid w:val="7014852A"/>
    <w:rsid w:val="70155545"/>
    <w:rsid w:val="7015C834"/>
    <w:rsid w:val="7026A086"/>
    <w:rsid w:val="70393732"/>
    <w:rsid w:val="7039FF21"/>
    <w:rsid w:val="70466A14"/>
    <w:rsid w:val="70566418"/>
    <w:rsid w:val="706FA81A"/>
    <w:rsid w:val="70707BC4"/>
    <w:rsid w:val="70727A5B"/>
    <w:rsid w:val="707E3BB7"/>
    <w:rsid w:val="709991D3"/>
    <w:rsid w:val="70AA9C6F"/>
    <w:rsid w:val="71031075"/>
    <w:rsid w:val="710B52F2"/>
    <w:rsid w:val="711E075A"/>
    <w:rsid w:val="712257DC"/>
    <w:rsid w:val="7127C49C"/>
    <w:rsid w:val="713940AF"/>
    <w:rsid w:val="71955CC3"/>
    <w:rsid w:val="719998ED"/>
    <w:rsid w:val="719B355D"/>
    <w:rsid w:val="719FDC2B"/>
    <w:rsid w:val="71B94354"/>
    <w:rsid w:val="71BE8669"/>
    <w:rsid w:val="71C35B34"/>
    <w:rsid w:val="71D41372"/>
    <w:rsid w:val="71D6E6F5"/>
    <w:rsid w:val="71E42B6B"/>
    <w:rsid w:val="7209D0E2"/>
    <w:rsid w:val="720E6316"/>
    <w:rsid w:val="72159A90"/>
    <w:rsid w:val="7223D17A"/>
    <w:rsid w:val="722F573C"/>
    <w:rsid w:val="724EEDBC"/>
    <w:rsid w:val="7276E59F"/>
    <w:rsid w:val="727AE51C"/>
    <w:rsid w:val="727BDE48"/>
    <w:rsid w:val="7280F58C"/>
    <w:rsid w:val="72902E6E"/>
    <w:rsid w:val="72C26F49"/>
    <w:rsid w:val="72D1EB25"/>
    <w:rsid w:val="72D2E78D"/>
    <w:rsid w:val="72D5FD68"/>
    <w:rsid w:val="73135A93"/>
    <w:rsid w:val="73250560"/>
    <w:rsid w:val="732DE1BF"/>
    <w:rsid w:val="733CD0FA"/>
    <w:rsid w:val="73524061"/>
    <w:rsid w:val="7354A896"/>
    <w:rsid w:val="7355FBC5"/>
    <w:rsid w:val="7368E77A"/>
    <w:rsid w:val="736BFF14"/>
    <w:rsid w:val="737568A7"/>
    <w:rsid w:val="73A20388"/>
    <w:rsid w:val="73A74337"/>
    <w:rsid w:val="73D6AABA"/>
    <w:rsid w:val="73E55829"/>
    <w:rsid w:val="73E77078"/>
    <w:rsid w:val="7412C5E8"/>
    <w:rsid w:val="74214525"/>
    <w:rsid w:val="74410648"/>
    <w:rsid w:val="744E8681"/>
    <w:rsid w:val="7460764C"/>
    <w:rsid w:val="748533AF"/>
    <w:rsid w:val="748ABBE4"/>
    <w:rsid w:val="74A46641"/>
    <w:rsid w:val="74ABC1D8"/>
    <w:rsid w:val="74CB1092"/>
    <w:rsid w:val="74CC234A"/>
    <w:rsid w:val="74CC3788"/>
    <w:rsid w:val="74CC8F7A"/>
    <w:rsid w:val="74D438C7"/>
    <w:rsid w:val="74EBC175"/>
    <w:rsid w:val="7545EB7E"/>
    <w:rsid w:val="7546A74A"/>
    <w:rsid w:val="754A6657"/>
    <w:rsid w:val="755B2264"/>
    <w:rsid w:val="755D7D51"/>
    <w:rsid w:val="75654B8A"/>
    <w:rsid w:val="75761E30"/>
    <w:rsid w:val="758BE924"/>
    <w:rsid w:val="758EAF15"/>
    <w:rsid w:val="75C62A1D"/>
    <w:rsid w:val="75CE0CFF"/>
    <w:rsid w:val="75D97ACA"/>
    <w:rsid w:val="762B9E44"/>
    <w:rsid w:val="762DF0C0"/>
    <w:rsid w:val="762EAA60"/>
    <w:rsid w:val="7635DE46"/>
    <w:rsid w:val="76451E7D"/>
    <w:rsid w:val="76578A3E"/>
    <w:rsid w:val="76617A42"/>
    <w:rsid w:val="7679A645"/>
    <w:rsid w:val="76867C8C"/>
    <w:rsid w:val="7686D183"/>
    <w:rsid w:val="7687CEDD"/>
    <w:rsid w:val="7696CC57"/>
    <w:rsid w:val="76A8044A"/>
    <w:rsid w:val="76A8072E"/>
    <w:rsid w:val="76AACFA0"/>
    <w:rsid w:val="76B95EAB"/>
    <w:rsid w:val="76C03B60"/>
    <w:rsid w:val="76C4CD6E"/>
    <w:rsid w:val="76EE455E"/>
    <w:rsid w:val="77043458"/>
    <w:rsid w:val="771E3276"/>
    <w:rsid w:val="771EA174"/>
    <w:rsid w:val="773C41B2"/>
    <w:rsid w:val="77636C49"/>
    <w:rsid w:val="7778CCAB"/>
    <w:rsid w:val="77BE120F"/>
    <w:rsid w:val="77DA2220"/>
    <w:rsid w:val="77E60213"/>
    <w:rsid w:val="77FA619E"/>
    <w:rsid w:val="781B2DFC"/>
    <w:rsid w:val="782808B8"/>
    <w:rsid w:val="783E565F"/>
    <w:rsid w:val="783F7C91"/>
    <w:rsid w:val="78592D61"/>
    <w:rsid w:val="7872B1A4"/>
    <w:rsid w:val="787E942A"/>
    <w:rsid w:val="78949695"/>
    <w:rsid w:val="7895F71D"/>
    <w:rsid w:val="78AED521"/>
    <w:rsid w:val="78B7CA40"/>
    <w:rsid w:val="78D7ECB7"/>
    <w:rsid w:val="78DAAA26"/>
    <w:rsid w:val="78E85D74"/>
    <w:rsid w:val="78F60EA5"/>
    <w:rsid w:val="791870E2"/>
    <w:rsid w:val="79282E0A"/>
    <w:rsid w:val="79387E47"/>
    <w:rsid w:val="795E8711"/>
    <w:rsid w:val="7981691C"/>
    <w:rsid w:val="79857BE1"/>
    <w:rsid w:val="799CFB02"/>
    <w:rsid w:val="79B01C30"/>
    <w:rsid w:val="79C2664E"/>
    <w:rsid w:val="79CCC42A"/>
    <w:rsid w:val="7A1974FB"/>
    <w:rsid w:val="7A33BC29"/>
    <w:rsid w:val="7A41FC38"/>
    <w:rsid w:val="7A4C866A"/>
    <w:rsid w:val="7A7EF3F2"/>
    <w:rsid w:val="7A8C4DBA"/>
    <w:rsid w:val="7A8E9C56"/>
    <w:rsid w:val="7A961554"/>
    <w:rsid w:val="7A9E9299"/>
    <w:rsid w:val="7AE10F4D"/>
    <w:rsid w:val="7AEA1529"/>
    <w:rsid w:val="7AF1ADBE"/>
    <w:rsid w:val="7B196116"/>
    <w:rsid w:val="7B298B38"/>
    <w:rsid w:val="7B345B28"/>
    <w:rsid w:val="7B3DEA23"/>
    <w:rsid w:val="7B451C43"/>
    <w:rsid w:val="7B4907CF"/>
    <w:rsid w:val="7B4A602E"/>
    <w:rsid w:val="7B56A9DB"/>
    <w:rsid w:val="7B5F38A5"/>
    <w:rsid w:val="7B62302C"/>
    <w:rsid w:val="7B6341D4"/>
    <w:rsid w:val="7B69742C"/>
    <w:rsid w:val="7B8E7DDC"/>
    <w:rsid w:val="7BA24D52"/>
    <w:rsid w:val="7BA264E0"/>
    <w:rsid w:val="7BA87CEA"/>
    <w:rsid w:val="7BB42C51"/>
    <w:rsid w:val="7BC72F24"/>
    <w:rsid w:val="7BCE6DB9"/>
    <w:rsid w:val="7BDBA005"/>
    <w:rsid w:val="7BE44A98"/>
    <w:rsid w:val="7BFD125C"/>
    <w:rsid w:val="7C0E63EC"/>
    <w:rsid w:val="7C1EC47F"/>
    <w:rsid w:val="7C21D0CF"/>
    <w:rsid w:val="7C23A640"/>
    <w:rsid w:val="7C319257"/>
    <w:rsid w:val="7C4927B3"/>
    <w:rsid w:val="7C4B0E12"/>
    <w:rsid w:val="7C4B3C97"/>
    <w:rsid w:val="7C4BA13E"/>
    <w:rsid w:val="7C539A29"/>
    <w:rsid w:val="7C5C3684"/>
    <w:rsid w:val="7C5C74CD"/>
    <w:rsid w:val="7C618831"/>
    <w:rsid w:val="7C63B751"/>
    <w:rsid w:val="7C9627D3"/>
    <w:rsid w:val="7CBA1C87"/>
    <w:rsid w:val="7CBCFA1A"/>
    <w:rsid w:val="7CCD1895"/>
    <w:rsid w:val="7CD922A7"/>
    <w:rsid w:val="7CE1365C"/>
    <w:rsid w:val="7CF3E942"/>
    <w:rsid w:val="7CF44124"/>
    <w:rsid w:val="7D060DDB"/>
    <w:rsid w:val="7D24F556"/>
    <w:rsid w:val="7D2E9BC8"/>
    <w:rsid w:val="7D37D506"/>
    <w:rsid w:val="7D498AAF"/>
    <w:rsid w:val="7D584F25"/>
    <w:rsid w:val="7D84F511"/>
    <w:rsid w:val="7D92357D"/>
    <w:rsid w:val="7D92830F"/>
    <w:rsid w:val="7DA07FD1"/>
    <w:rsid w:val="7DA1B98A"/>
    <w:rsid w:val="7DA4E890"/>
    <w:rsid w:val="7DB079C8"/>
    <w:rsid w:val="7DB37F35"/>
    <w:rsid w:val="7DC3939A"/>
    <w:rsid w:val="7DD45BB5"/>
    <w:rsid w:val="7DE41CF0"/>
    <w:rsid w:val="7E02FE57"/>
    <w:rsid w:val="7E2C157D"/>
    <w:rsid w:val="7E40B884"/>
    <w:rsid w:val="7E5472B7"/>
    <w:rsid w:val="7E77CA7F"/>
    <w:rsid w:val="7E7CA818"/>
    <w:rsid w:val="7E99877D"/>
    <w:rsid w:val="7E9F989D"/>
    <w:rsid w:val="7EAA0BB8"/>
    <w:rsid w:val="7EAA53E9"/>
    <w:rsid w:val="7EB5EDA8"/>
    <w:rsid w:val="7EBACB6A"/>
    <w:rsid w:val="7EBDEE36"/>
    <w:rsid w:val="7EC39C65"/>
    <w:rsid w:val="7EC9B8B3"/>
    <w:rsid w:val="7ED3A567"/>
    <w:rsid w:val="7ED5318B"/>
    <w:rsid w:val="7ED81282"/>
    <w:rsid w:val="7EF53187"/>
    <w:rsid w:val="7EFBB64E"/>
    <w:rsid w:val="7F033A51"/>
    <w:rsid w:val="7F03D819"/>
    <w:rsid w:val="7F0D0664"/>
    <w:rsid w:val="7F0FC269"/>
    <w:rsid w:val="7F1C68FE"/>
    <w:rsid w:val="7F23DB13"/>
    <w:rsid w:val="7F2CD794"/>
    <w:rsid w:val="7F33B350"/>
    <w:rsid w:val="7F49D67A"/>
    <w:rsid w:val="7F6BB437"/>
    <w:rsid w:val="7F976F8E"/>
    <w:rsid w:val="7F9D7B0F"/>
    <w:rsid w:val="7FA2A39C"/>
    <w:rsid w:val="7FB9CB3F"/>
    <w:rsid w:val="7FDC9F40"/>
    <w:rsid w:val="7FE0875B"/>
    <w:rsid w:val="7FEC4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6187E"/>
  <w15:chartTrackingRefBased/>
  <w15:docId w15:val="{BCA9EBB0-1E1D-4888-A68C-4966ACA9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6"/>
      </w:numPr>
      <w:pBdr>
        <w:top w:val="single" w:sz="4" w:space="1" w:color="auto"/>
      </w:pBdr>
      <w:tabs>
        <w:tab w:val="clear" w:pos="1530"/>
        <w:tab w:val="num" w:pos="720"/>
      </w:tabs>
      <w:suppressAutoHyphens/>
      <w:spacing w:before="104" w:after="226"/>
      <w:ind w:left="720"/>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rPr>
  </w:style>
  <w:style w:type="character" w:customStyle="1" w:styleId="CommentTextChar">
    <w:name w:val="Comment Text Char"/>
    <w:link w:val="CommentText"/>
    <w:uiPriority w:val="99"/>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styleId="ListParagraph">
    <w:name w:val="List Paragraph"/>
    <w:aliases w:val="paragraph,Dot pt,F5 List Paragraph,List Paragraph1,No Spacing1,List Paragraph Char Char Char,Indicator Text,Numbered Para 1,Bullet 1,List Paragraph12,Bullet Points,MAIN CONTENT,Lapis Bulleted List,WB Para,列出,Bullet List,FooterText"/>
    <w:basedOn w:val="Normal"/>
    <w:link w:val="ListParagraphChar"/>
    <w:qFormat/>
    <w:rsid w:val="00C9328A"/>
    <w:pPr>
      <w:ind w:left="720"/>
    </w:pPr>
  </w:style>
  <w:style w:type="character" w:customStyle="1" w:styleId="FootnoteTextChar">
    <w:name w:val="Footnote Text Char"/>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rPr>
  </w:style>
  <w:style w:type="character" w:customStyle="1" w:styleId="ListParagraphChar">
    <w:name w:val="List Paragraph Char"/>
    <w:aliases w:val="paragraph Char,Dot pt Char,F5 List Paragraph Char,List Paragraph1 Char,No Spacing1 Char,List Paragraph Char Char Char Char,Indicator Text Char,Numbered Para 1 Char,Bullet 1 Char,List Paragraph12 Char,Bullet Points Char,WB Para Char"/>
    <w:link w:val="ListParagraph"/>
    <w:uiPriority w:val="34"/>
    <w:qFormat/>
    <w:locked/>
    <w:rsid w:val="00C9443F"/>
    <w:rPr>
      <w:rFonts w:ascii="Arial" w:hAnsi="Arial"/>
      <w:sz w:val="22"/>
      <w:szCs w:val="24"/>
      <w:lang w:val="en-GB"/>
    </w:rPr>
  </w:style>
  <w:style w:type="paragraph" w:styleId="Revision">
    <w:name w:val="Revision"/>
    <w:hidden/>
    <w:uiPriority w:val="99"/>
    <w:semiHidden/>
    <w:rsid w:val="006224CC"/>
    <w:rPr>
      <w:rFonts w:ascii="Arial" w:hAnsi="Arial"/>
      <w:sz w:val="22"/>
      <w:szCs w:val="24"/>
      <w:lang w:val="en-GB"/>
    </w:rPr>
  </w:style>
  <w:style w:type="table" w:customStyle="1" w:styleId="TabelacomGrelha1">
    <w:name w:val="Tabela com Grelha1"/>
    <w:basedOn w:val="TableNormal"/>
    <w:next w:val="TableGrid"/>
    <w:uiPriority w:val="39"/>
    <w:rsid w:val="005541E6"/>
    <w:pPr>
      <w:jc w:val="both"/>
    </w:pPr>
    <w:rPr>
      <w:rFonts w:ascii="Calibri" w:hAnsi="Calibri" w:cs="Cordia New"/>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9F6665"/>
    <w:rPr>
      <w:vertAlign w:val="superscript"/>
    </w:rPr>
  </w:style>
  <w:style w:type="character" w:customStyle="1" w:styleId="EndnoteTextChar">
    <w:name w:val="Endnote Text Char"/>
    <w:basedOn w:val="DefaultParagraphFont"/>
    <w:link w:val="EndnoteText"/>
    <w:uiPriority w:val="99"/>
    <w:rsid w:val="009F6665"/>
  </w:style>
  <w:style w:type="paragraph" w:styleId="EndnoteText">
    <w:name w:val="endnote text"/>
    <w:basedOn w:val="Normal"/>
    <w:link w:val="EndnoteTextChar"/>
    <w:uiPriority w:val="99"/>
    <w:unhideWhenUsed/>
    <w:rsid w:val="009F6665"/>
    <w:pPr>
      <w:spacing w:after="0"/>
    </w:pPr>
    <w:rPr>
      <w:rFonts w:ascii="Times New Roman" w:hAnsi="Times New Roman"/>
      <w:sz w:val="20"/>
      <w:szCs w:val="20"/>
      <w:lang w:val="en-US"/>
    </w:rPr>
  </w:style>
  <w:style w:type="character" w:customStyle="1" w:styleId="EndnoteTextChar1">
    <w:name w:val="Endnote Text Char1"/>
    <w:basedOn w:val="DefaultParagraphFont"/>
    <w:rsid w:val="009F6665"/>
    <w:rPr>
      <w:rFonts w:ascii="Arial" w:hAnsi="Arial"/>
      <w:lang w:val="en-GB"/>
    </w:rPr>
  </w:style>
  <w:style w:type="character" w:customStyle="1" w:styleId="normaltextrun">
    <w:name w:val="normaltextrun"/>
    <w:basedOn w:val="DefaultParagraphFont"/>
    <w:rsid w:val="0021109F"/>
  </w:style>
  <w:style w:type="character" w:customStyle="1" w:styleId="eop">
    <w:name w:val="eop"/>
    <w:basedOn w:val="DefaultParagraphFont"/>
    <w:rsid w:val="006C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33027134">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504710289">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56366505">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euc-word-edit.officeapps.live.com/we/wordeditorframe.aspx?ui=en-us&amp;rs=en-us&amp;wopisrc=https%3A%2F%2Fundp.sharepoint.com%2Fsites%2FJSBJapanSupplementaryBudget%2F_vti_bin%2Fwopi.ashx%2Ffiles%2F43eb9f2a693e446ba9757220e01ab752&amp;wdenableroaming=1&amp;mscc=1&amp;hid=-1809&amp;uiembed=1&amp;uih=teams&amp;hhdr=1&amp;dchat=1&amp;sc=%7B%22pmo%22%3A%22https%3A%2F%2Fteams.microsoft.com%22%2C%22pmshare%22%3Atrue%2C%22surl%22%3A%22%22%2C%22curl%22%3A%22%22%2C%22vurl%22%3A%22%22%2C%22eurl%22%3A%22https%3A%2F%2Fteams.microsoft.com%2Ffiles%2Fapps%2Fcom.microsoft.teams.files%2Ffiles%2F3588813838%2Fopen%3Fagent%3Dpostmessage%26objectUrl%3Dhttps%253A%252F%252Fundp.sharepoint.com%252Fsites%252FJSBJapanSupplementaryBudget%252FShared%2520Documents%252FJSB%25202020%252FProject%2520Document%252FRBA%252FGuinea%2520Bissau%252FJSB%25202020%2520ProDoc%25202021_GNB.080121.docx%26fileId%3D43eb9f2a-693e-446b-a975-7220e01ab752%26fileType%3Ddocx%26ctx%3Dfiles%26scenarioId%3D1809%26locale%3Den-us%26theme%3Ddefault%26version%3D20201126015%26setting%3Dring.id%3Ageneral%26setting%3DcreatedTime%3A1610384526699%22%7D&amp;wdorigin=TEAMS-WEB.teams.files&amp;wdhostclicktime=1610384526657&amp;jsapi=1&amp;jsapiver=v1&amp;newsession=1&amp;corrid=ea8a500c-f4bf-426c-8e9d-d2594d16916e&amp;usid=ea8a500c-f4bf-426c-8e9d-d2594d16916e&amp;sftc=1&amp;sams=1&amp;accloop=1&amp;sdr=6&amp;scnd=1&amp;hbcv=1&amp;htv=1&amp;instantedit=1&amp;wopicomplete=1&amp;wdredirectionreason=Unified_SingleFlush&amp;rct=Medium&amp;ctp=LeastProtect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c-word-edit.officeapps.live.com/we/wordeditorframe.aspx?ui=en-us&amp;rs=en-us&amp;wopisrc=https%3A%2F%2Fundp.sharepoint.com%2Fsites%2FJSBJapanSupplementaryBudget%2F_vti_bin%2Fwopi.ashx%2Ffiles%2F43eb9f2a693e446ba9757220e01ab752&amp;wdenableroaming=1&amp;mscc=1&amp;hid=-1809&amp;uiembed=1&amp;uih=teams&amp;hhdr=1&amp;dchat=1&amp;sc=%7B%22pmo%22%3A%22https%3A%2F%2Fteams.microsoft.com%22%2C%22pmshare%22%3Atrue%2C%22surl%22%3A%22%22%2C%22curl%22%3A%22%22%2C%22vurl%22%3A%22%22%2C%22eurl%22%3A%22https%3A%2F%2Fteams.microsoft.com%2Ffiles%2Fapps%2Fcom.microsoft.teams.files%2Ffiles%2F3588813838%2Fopen%3Fagent%3Dpostmessage%26objectUrl%3Dhttps%253A%252F%252Fundp.sharepoint.com%252Fsites%252FJSBJapanSupplementaryBudget%252FShared%2520Documents%252FJSB%25202020%252FProject%2520Document%252FRBA%252FGuinea%2520Bissau%252FJSB%25202020%2520ProDoc%25202021_GNB.080121.docx%26fileId%3D43eb9f2a-693e-446b-a975-7220e01ab752%26fileType%3Ddocx%26ctx%3Dfiles%26scenarioId%3D1809%26locale%3Den-us%26theme%3Ddefault%26version%3D20201126015%26setting%3Dring.id%3Ageneral%26setting%3DcreatedTime%3A1610384526699%22%7D&amp;wdorigin=TEAMS-WEB.teams.files&amp;wdhostclicktime=1610384526657&amp;jsapi=1&amp;jsapiver=v1&amp;newsession=1&amp;corrid=ea8a500c-f4bf-426c-8e9d-d2594d16916e&amp;usid=ea8a500c-f4bf-426c-8e9d-d2594d16916e&amp;sftc=1&amp;sams=1&amp;accloop=1&amp;sdr=6&amp;scnd=1&amp;hbcv=1&amp;htv=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en-us&amp;rs=en-us&amp;wopisrc=https%3A%2F%2Fundp.sharepoint.com%2Fsites%2FJSBJapanSupplementaryBudget%2F_vti_bin%2Fwopi.ashx%2Ffiles%2F43eb9f2a693e446ba9757220e01ab752&amp;wdenableroaming=1&amp;mscc=1&amp;hid=-1809&amp;uiembed=1&amp;uih=teams&amp;hhdr=1&amp;dchat=1&amp;sc=%7B%22pmo%22%3A%22https%3A%2F%2Fteams.microsoft.com%22%2C%22pmshare%22%3Atrue%2C%22surl%22%3A%22%22%2C%22curl%22%3A%22%22%2C%22vurl%22%3A%22%22%2C%22eurl%22%3A%22https%3A%2F%2Fteams.microsoft.com%2Ffiles%2Fapps%2Fcom.microsoft.teams.files%2Ffiles%2F3588813838%2Fopen%3Fagent%3Dpostmessage%26objectUrl%3Dhttps%253A%252F%252Fundp.sharepoint.com%252Fsites%252FJSBJapanSupplementaryBudget%252FShared%2520Documents%252FJSB%25202020%252FProject%2520Document%252FRBA%252FGuinea%2520Bissau%252FJSB%25202020%2520ProDoc%25202021_GNB.080121.docx%26fileId%3D43eb9f2a-693e-446b-a975-7220e01ab752%26fileType%3Ddocx%26ctx%3Dfiles%26scenarioId%3D1809%26locale%3Den-us%26theme%3Ddefault%26version%3D20201126015%26setting%3Dring.id%3Ageneral%26setting%3DcreatedTime%3A1610384526699%22%7D&amp;wdorigin=TEAMS-WEB.teams.files&amp;wdhostclicktime=1610384526657&amp;jsapi=1&amp;jsapiver=v1&amp;newsession=1&amp;corrid=ea8a500c-f4bf-426c-8e9d-d2594d16916e&amp;usid=ea8a500c-f4bf-426c-8e9d-d2594d16916e&amp;sftc=1&amp;sams=1&amp;accloop=1&amp;sdr=6&amp;scnd=1&amp;hbcv=1&amp;htv=1&amp;instantedit=1&amp;wopicomplete=1&amp;wdredirectionreason=Unified_SingleFlush&amp;rct=Medium&amp;ctp=LeastProtec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rgenmagazine.com/credit-access-in-guinea-bissau/" TargetMode="External"/><Relationship Id="rId2" Type="http://schemas.openxmlformats.org/officeDocument/2006/relationships/hyperlink" Target="https://www.afdb.org/fileadmin/uploads/afdb/Documents/Generic-Documents/Guinea-Bissau_-_Country_gender_profile.pdf" TargetMode="External"/><Relationship Id="rId1" Type="http://schemas.openxmlformats.org/officeDocument/2006/relationships/hyperlink" Target="https://www.gw.undp.org/content/guinea_bissau/en/home/news-centre/covid-19-socio-economic-impact-assessment-in-guinea-bissa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aa4742-37f9-44f7-ace9-454d8e2111c4">
      <UserInfo>
        <DisplayName>Ahmed Moustafa</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443D2B97B6C5448BDA6D2C717C2758" ma:contentTypeVersion="6" ma:contentTypeDescription="Create a new document." ma:contentTypeScope="" ma:versionID="7beff263e1f4075ee20356088065b01f">
  <xsd:schema xmlns:xsd="http://www.w3.org/2001/XMLSchema" xmlns:xs="http://www.w3.org/2001/XMLSchema" xmlns:p="http://schemas.microsoft.com/office/2006/metadata/properties" xmlns:ns2="76aa4742-37f9-44f7-ace9-454d8e2111c4" xmlns:ns3="b9e81811-6980-47de-ac26-5a039eae9e43" targetNamespace="http://schemas.microsoft.com/office/2006/metadata/properties" ma:root="true" ma:fieldsID="42692e5fc46c8ef8bf2c64798f0babaa" ns2:_="" ns3:_="">
    <xsd:import namespace="76aa4742-37f9-44f7-ace9-454d8e2111c4"/>
    <xsd:import namespace="b9e81811-6980-47de-ac26-5a039eae9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a4742-37f9-44f7-ace9-454d8e2111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e81811-6980-47de-ac26-5a039eae9e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511A-4B01-4E93-9413-699A892EEFF0}">
  <ds:schemaRefs>
    <ds:schemaRef ds:uri="http://schemas.microsoft.com/office/2006/metadata/properties"/>
    <ds:schemaRef ds:uri="http://schemas.microsoft.com/office/infopath/2007/PartnerControls"/>
    <ds:schemaRef ds:uri="76aa4742-37f9-44f7-ace9-454d8e2111c4"/>
  </ds:schemaRefs>
</ds:datastoreItem>
</file>

<file path=customXml/itemProps2.xml><?xml version="1.0" encoding="utf-8"?>
<ds:datastoreItem xmlns:ds="http://schemas.openxmlformats.org/officeDocument/2006/customXml" ds:itemID="{78F72DD2-7102-4FF0-BCC1-4BA954E5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a4742-37f9-44f7-ace9-454d8e2111c4"/>
    <ds:schemaRef ds:uri="b9e81811-6980-47de-ac26-5a039eae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1D74-C0CF-4B64-9D2D-F41B9003B0A3}">
  <ds:schemaRefs>
    <ds:schemaRef ds:uri="http://schemas.openxmlformats.org/officeDocument/2006/bibliography"/>
  </ds:schemaRefs>
</ds:datastoreItem>
</file>

<file path=customXml/itemProps4.xml><?xml version="1.0" encoding="utf-8"?>
<ds:datastoreItem xmlns:ds="http://schemas.openxmlformats.org/officeDocument/2006/customXml" ds:itemID="{0B56678D-9587-426A-ABC3-1DA23424B463}">
  <ds:schemaRefs>
    <ds:schemaRef ds:uri="http://schemas.microsoft.com/office/2006/metadata/longProperties"/>
  </ds:schemaRefs>
</ds:datastoreItem>
</file>

<file path=customXml/itemProps5.xml><?xml version="1.0" encoding="utf-8"?>
<ds:datastoreItem xmlns:ds="http://schemas.openxmlformats.org/officeDocument/2006/customXml" ds:itemID="{46B1E5ED-4136-4DBB-99DD-3B1EA0BF5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9278</Words>
  <Characters>52888</Characters>
  <Application>Microsoft Office Word</Application>
  <DocSecurity>0</DocSecurity>
  <Lines>440</Lines>
  <Paragraphs>124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Template (2017)</vt:lpstr>
      <vt:lpstr>Project Document Template (2017)</vt:lpstr>
    </vt:vector>
  </TitlesOfParts>
  <Manager>BDP/BOM</Manager>
  <Company>UNDP</Company>
  <LinksUpToDate>false</LinksUpToDate>
  <CharactersWithSpaces>62042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 (2017)</dc:title>
  <dc:subject/>
  <dc:creator>Luana Natali</dc:creator>
  <cp:keywords/>
  <dc:description/>
  <cp:lastModifiedBy>Ahmed Moustafa</cp:lastModifiedBy>
  <cp:revision>101</cp:revision>
  <cp:lastPrinted>2016-12-01T05:16:00Z</cp:lastPrinted>
  <dcterms:created xsi:type="dcterms:W3CDTF">2021-11-14T12:53:00Z</dcterms:created>
  <dcterms:modified xsi:type="dcterms:W3CDTF">2021-11-14T15:18:00Z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POPP-11-2425</vt:lpwstr>
  </property>
  <property fmtid="{D5CDD505-2E9C-101B-9397-08002B2CF9AE}" pid="3" name="_dlc_DocIdItemGuid">
    <vt:lpwstr>8517c751-6f74-433a-9b89-4144f9a1cd7c</vt:lpwstr>
  </property>
  <property fmtid="{D5CDD505-2E9C-101B-9397-08002B2CF9AE}" pid="4" name="_dlc_DocIdUrl">
    <vt:lpwstr>https://intranet.undp.org/global/documents/_layouts/DocIdRedir.aspx?ID=POPP-11-2425, POPP-11-2425</vt:lpwstr>
  </property>
  <property fmtid="{D5CDD505-2E9C-101B-9397-08002B2CF9AE}" pid="5" name="UNDPPOPPFunctionalArea">
    <vt:lpwstr>Programme and Project Management</vt:lpwstr>
  </property>
  <property fmtid="{D5CDD505-2E9C-101B-9397-08002B2CF9AE}" pid="6" name="UNDPPOPPKeywordsTaxHTField0">
    <vt:lpwstr/>
  </property>
  <property fmtid="{D5CDD505-2E9C-101B-9397-08002B2CF9AE}" pid="7" name="UNDPResponsibleUnit">
    <vt:lpwstr/>
  </property>
  <property fmtid="{D5CDD505-2E9C-101B-9397-08002B2CF9AE}" pid="8" name="UNDPSubject">
    <vt:lpwstr/>
  </property>
  <property fmtid="{D5CDD505-2E9C-101B-9397-08002B2CF9AE}" pid="9" name="UNDPApplicability">
    <vt:lpwstr/>
  </property>
  <property fmtid="{D5CDD505-2E9C-101B-9397-08002B2CF9AE}" pid="10" name="UNDPPOPPProcess">
    <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UNDPPOPPSubprocess">
    <vt:lpwstr/>
  </property>
  <property fmtid="{D5CDD505-2E9C-101B-9397-08002B2CF9AE}" pid="15" name="TaxCatchAll">
    <vt:lpwstr>480;#English|7f98b732-4b5b-4b70-ba90-a0eff09b5d2d</vt:lpwstr>
  </property>
  <property fmtid="{D5CDD505-2E9C-101B-9397-08002B2CF9AE}" pid="16" name="ContentTypeId">
    <vt:lpwstr>0x01010005443D2B97B6C5448BDA6D2C717C2758</vt:lpwstr>
  </property>
  <property fmtid="{D5CDD505-2E9C-101B-9397-08002B2CF9AE}" pid="17" name="Focalpoint">
    <vt:lpwstr>309;#UNDPHQ\dien.le</vt:lpwstr>
  </property>
  <property fmtid="{D5CDD505-2E9C-101B-9397-08002B2CF9AE}" pid="18" name="UNDPEffectiveDate">
    <vt:lpwstr>2017-02-09T18:00:00Z</vt:lpwstr>
  </property>
  <property fmtid="{D5CDD505-2E9C-101B-9397-08002B2CF9AE}" pid="19" name="UNDPCreator">
    <vt:lpwstr/>
  </property>
  <property fmtid="{D5CDD505-2E9C-101B-9397-08002B2CF9AE}" pid="20" name="UNDPSummary">
    <vt:lpwstr/>
  </property>
  <property fmtid="{D5CDD505-2E9C-101B-9397-08002B2CF9AE}" pid="21" name="display_urn:schemas-microsoft-com:office:office#UNDPCreator">
    <vt:lpwstr>Judith Puyat-magnaye</vt:lpwstr>
  </property>
  <property fmtid="{D5CDD505-2E9C-101B-9397-08002B2CF9AE}" pid="22" name="display_urn:schemas-microsoft-com:office:office#Focalpoint">
    <vt:lpwstr>Dien Le</vt:lpwstr>
  </property>
  <property fmtid="{D5CDD505-2E9C-101B-9397-08002B2CF9AE}" pid="23" name="Order">
    <vt:lpwstr>6700.00000000000</vt:lpwstr>
  </property>
  <property fmtid="{D5CDD505-2E9C-101B-9397-08002B2CF9AE}" pid="24" name="UNDPPOPPPrescriptiveContentSelection">
    <vt:lpwstr/>
  </property>
  <property fmtid="{D5CDD505-2E9C-101B-9397-08002B2CF9AE}" pid="25" name="UNDPPOPPSubsubsubprocess">
    <vt:lpwstr/>
  </property>
  <property fmtid="{D5CDD505-2E9C-101B-9397-08002B2CF9AE}" pid="26" name="Location">
    <vt:lpwstr>Public</vt:lpwstr>
  </property>
  <property fmtid="{D5CDD505-2E9C-101B-9397-08002B2CF9AE}" pid="27" name="DLCPolicyLabelValue">
    <vt:lpwstr>Effective Date: 10/02/2017                                                Version #: 1</vt:lpwstr>
  </property>
  <property fmtid="{D5CDD505-2E9C-101B-9397-08002B2CF9AE}" pid="28" name="UNDP_POPP_VERSION_COMMENTS">
    <vt:lpwstr>Updated to add standard clauses on fraud and the gender marker</vt:lpwstr>
  </property>
  <property fmtid="{D5CDD505-2E9C-101B-9397-08002B2CF9AE}" pid="29" name="UNDP_POPP_BUSINESSPROCESS_HIDDEN">
    <vt:lpwstr/>
  </property>
  <property fmtid="{D5CDD505-2E9C-101B-9397-08002B2CF9AE}" pid="30" name="display_urn:schemas-microsoft-com:office:office#UNDP_POPP_FOCALPOINT">
    <vt:lpwstr>Jessica Murray</vt:lpwstr>
  </property>
  <property fmtid="{D5CDD505-2E9C-101B-9397-08002B2CF9AE}" pid="31" name="UNDP_POPP_NOTE">
    <vt:lpwstr/>
  </property>
  <property fmtid="{D5CDD505-2E9C-101B-9397-08002B2CF9AE}" pid="32" name="UNDP_POPP_DOCUMENT_LANGUAGE">
    <vt:lpwstr>English</vt:lpwstr>
  </property>
  <property fmtid="{D5CDD505-2E9C-101B-9397-08002B2CF9AE}" pid="33" name="UNDP_POPP_EFFECTIVEDATE">
    <vt:lpwstr>2017-02-10T00:00:00Z</vt:lpwstr>
  </property>
  <property fmtid="{D5CDD505-2E9C-101B-9397-08002B2CF9AE}" pid="34" name="UNDP_POPP_FOCALPOINT">
    <vt:lpwstr>68;#i:0e.t|undpadfs|jessica.murray@undp.org</vt:lpwstr>
  </property>
  <property fmtid="{D5CDD505-2E9C-101B-9397-08002B2CF9AE}" pid="35" name="UNDP_POPP_DOCUMENT_TYPE">
    <vt:lpwstr>Template</vt:lpwstr>
  </property>
  <property fmtid="{D5CDD505-2E9C-101B-9397-08002B2CF9AE}" pid="36" name="UNDP_POPP_DOCUMENT_TEMPLATE">
    <vt:lpwstr/>
  </property>
  <property fmtid="{D5CDD505-2E9C-101B-9397-08002B2CF9AE}" pid="37" name="UNDP_POPP_ISACTIVE">
    <vt:lpwstr>1</vt:lpwstr>
  </property>
  <property fmtid="{D5CDD505-2E9C-101B-9397-08002B2CF9AE}" pid="38" name="UNDP_POPP_TITLE_EN">
    <vt:lpwstr>Project Document Template (2017)</vt:lpwstr>
  </property>
  <property fmtid="{D5CDD505-2E9C-101B-9397-08002B2CF9AE}" pid="39" name="UNDP_POPP_REFITEM_VERSION">
    <vt:lpwstr>1.00000000000000</vt:lpwstr>
  </property>
  <property fmtid="{D5CDD505-2E9C-101B-9397-08002B2CF9AE}" pid="40" name="UNDP_POPP_BUSINESSUNIT">
    <vt:lpwstr/>
  </property>
  <property fmtid="{D5CDD505-2E9C-101B-9397-08002B2CF9AE}" pid="41" name="l0e6ef0c43e74560bd7f3acd1f5e8571">
    <vt:lpwstr/>
  </property>
  <property fmtid="{D5CDD505-2E9C-101B-9397-08002B2CF9AE}" pid="42" name="POPPBusinessProcess">
    <vt:lpwstr/>
  </property>
  <property fmtid="{D5CDD505-2E9C-101B-9397-08002B2CF9AE}" pid="43" name="UN LanguagesTaxHTField0">
    <vt:lpwstr>English|7f98b732-4b5b-4b70-ba90-a0eff09b5d2d</vt:lpwstr>
  </property>
  <property fmtid="{D5CDD505-2E9C-101B-9397-08002B2CF9AE}" pid="44" name="TaxKeywordTaxHTField">
    <vt:lpwstr/>
  </property>
  <property fmtid="{D5CDD505-2E9C-101B-9397-08002B2CF9AE}" pid="45" name="UN Languages">
    <vt:lpwstr>480;#English|7f98b732-4b5b-4b70-ba90-a0eff09b5d2d</vt:lpwstr>
  </property>
  <property fmtid="{D5CDD505-2E9C-101B-9397-08002B2CF9AE}" pid="46" name="TaxKeyword">
    <vt:lpwstr/>
  </property>
  <property fmtid="{D5CDD505-2E9C-101B-9397-08002B2CF9AE}" pid="47" name="MigrationSourceURL">
    <vt:lpwstr/>
  </property>
  <property fmtid="{D5CDD505-2E9C-101B-9397-08002B2CF9AE}" pid="48" name="UNDPCountry">
    <vt:lpwstr/>
  </property>
  <property fmtid="{D5CDD505-2E9C-101B-9397-08002B2CF9AE}" pid="49" name="Pertains to Content Type">
    <vt:lpwstr/>
  </property>
  <property fmtid="{D5CDD505-2E9C-101B-9397-08002B2CF9AE}" pid="50" name="Are Clues Done?">
    <vt:lpwstr/>
  </property>
  <property fmtid="{D5CDD505-2E9C-101B-9397-08002B2CF9AE}" pid="51" name="UNDPFocusAreasTaxHTField0">
    <vt:lpwstr/>
  </property>
  <property fmtid="{D5CDD505-2E9C-101B-9397-08002B2CF9AE}" pid="52" name="UndpOUCode">
    <vt:lpwstr/>
  </property>
  <property fmtid="{D5CDD505-2E9C-101B-9397-08002B2CF9AE}" pid="53" name="UndpDocTypeMM">
    <vt:lpwstr/>
  </property>
  <property fmtid="{D5CDD505-2E9C-101B-9397-08002B2CF9AE}" pid="54" name="b6db62fdefd74bd188b0c1cc54de5bcf">
    <vt:lpwstr/>
  </property>
  <property fmtid="{D5CDD505-2E9C-101B-9397-08002B2CF9AE}" pid="55" name="UndpDocID">
    <vt:lpwstr/>
  </property>
  <property fmtid="{D5CDD505-2E9C-101B-9397-08002B2CF9AE}" pid="56" name="Category">
    <vt:lpwstr/>
  </property>
  <property fmtid="{D5CDD505-2E9C-101B-9397-08002B2CF9AE}" pid="57" name="Description0">
    <vt:lpwstr/>
  </property>
  <property fmtid="{D5CDD505-2E9C-101B-9397-08002B2CF9AE}" pid="58" name="UNDPDocumentCategory">
    <vt:lpwstr/>
  </property>
  <property fmtid="{D5CDD505-2E9C-101B-9397-08002B2CF9AE}" pid="59" name="Doc Type on Staging">
    <vt:lpwstr/>
  </property>
  <property fmtid="{D5CDD505-2E9C-101B-9397-08002B2CF9AE}" pid="60" name="UNDPDocumentCategoryTaxHTField0">
    <vt:lpwstr/>
  </property>
  <property fmtid="{D5CDD505-2E9C-101B-9397-08002B2CF9AE}" pid="61" name="UndpDocFormat">
    <vt:lpwstr/>
  </property>
  <property fmtid="{D5CDD505-2E9C-101B-9397-08002B2CF9AE}" pid="62" name="UNDPCountryTaxHTField0">
    <vt:lpwstr/>
  </property>
  <property fmtid="{D5CDD505-2E9C-101B-9397-08002B2CF9AE}" pid="63" name="UndpUnitMM">
    <vt:lpwstr/>
  </property>
  <property fmtid="{D5CDD505-2E9C-101B-9397-08002B2CF9AE}" pid="64" name="UndpClassificationLevel">
    <vt:lpwstr/>
  </property>
  <property fmtid="{D5CDD505-2E9C-101B-9397-08002B2CF9AE}" pid="65" name="c4e2ab2cc9354bbf9064eeb465a566ea">
    <vt:lpwstr/>
  </property>
  <property fmtid="{D5CDD505-2E9C-101B-9397-08002B2CF9AE}" pid="66" name="UNDPPagePOPPLanguageSelection">
    <vt:lpwstr/>
  </property>
  <property fmtid="{D5CDD505-2E9C-101B-9397-08002B2CF9AE}" pid="67" name="display_urn:schemas-microsoft-com:office:office#Author">
    <vt:lpwstr>Jessica Murray</vt:lpwstr>
  </property>
  <property fmtid="{D5CDD505-2E9C-101B-9397-08002B2CF9AE}" pid="68" name="eRegFilingCodeMM">
    <vt:lpwstr/>
  </property>
  <property fmtid="{D5CDD505-2E9C-101B-9397-08002B2CF9AE}" pid="69" name="UNDPContactFeedback">
    <vt:lpwstr/>
  </property>
  <property fmtid="{D5CDD505-2E9C-101B-9397-08002B2CF9AE}" pid="70" name="UndpIsTemplate">
    <vt:lpwstr/>
  </property>
  <property fmtid="{D5CDD505-2E9C-101B-9397-08002B2CF9AE}" pid="71" name="UNDPFocusAreas">
    <vt:lpwstr/>
  </property>
  <property fmtid="{D5CDD505-2E9C-101B-9397-08002B2CF9AE}" pid="72" name="UndpDocTypeMMTaxHTField0">
    <vt:lpwstr/>
  </property>
  <property fmtid="{D5CDD505-2E9C-101B-9397-08002B2CF9AE}" pid="73" name="UndpProjectNo">
    <vt:lpwstr/>
  </property>
  <property fmtid="{D5CDD505-2E9C-101B-9397-08002B2CF9AE}" pid="74" name="UNDPFocalpoint">
    <vt:lpwstr/>
  </property>
  <property fmtid="{D5CDD505-2E9C-101B-9397-08002B2CF9AE}" pid="75" name="display_urn:schemas-microsoft-com:office:office#Editor">
    <vt:lpwstr>Jessica Murray</vt:lpwstr>
  </property>
  <property fmtid="{D5CDD505-2E9C-101B-9397-08002B2CF9AE}" pid="76" name="_Publisher">
    <vt:lpwstr/>
  </property>
  <property fmtid="{D5CDD505-2E9C-101B-9397-08002B2CF9AE}" pid="77" name="UndpDocStatus">
    <vt:lpwstr/>
  </property>
  <property fmtid="{D5CDD505-2E9C-101B-9397-08002B2CF9AE}" pid="78" name="Language choice field">
    <vt:lpwstr>English</vt:lpwstr>
  </property>
  <property fmtid="{D5CDD505-2E9C-101B-9397-08002B2CF9AE}" pid="79" name="UNDPPublishedDate">
    <vt:lpwstr/>
  </property>
</Properties>
</file>