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C8588" w14:textId="4900E5EC" w:rsidR="00893633" w:rsidRPr="007D26C6" w:rsidRDefault="00D94F2F" w:rsidP="007D26C6">
      <w:pPr>
        <w:jc w:val="center"/>
        <w:rPr>
          <w:b/>
          <w:bCs/>
        </w:rPr>
      </w:pPr>
      <w:r w:rsidRPr="007D26C6">
        <w:rPr>
          <w:b/>
          <w:bCs/>
        </w:rPr>
        <w:t>T</w:t>
      </w:r>
      <w:r>
        <w:rPr>
          <w:b/>
          <w:bCs/>
        </w:rPr>
        <w:t xml:space="preserve">erms </w:t>
      </w:r>
      <w:r w:rsidR="00E923F9" w:rsidRPr="007D26C6">
        <w:rPr>
          <w:b/>
          <w:bCs/>
        </w:rPr>
        <w:t>o</w:t>
      </w:r>
      <w:r>
        <w:rPr>
          <w:b/>
          <w:bCs/>
        </w:rPr>
        <w:t xml:space="preserve">f </w:t>
      </w:r>
      <w:r w:rsidRPr="007D26C6">
        <w:rPr>
          <w:b/>
          <w:bCs/>
        </w:rPr>
        <w:t>R</w:t>
      </w:r>
      <w:r>
        <w:rPr>
          <w:b/>
          <w:bCs/>
        </w:rPr>
        <w:t>eferen</w:t>
      </w:r>
      <w:r w:rsidRPr="007D26C6">
        <w:rPr>
          <w:b/>
          <w:bCs/>
        </w:rPr>
        <w:t>ce</w:t>
      </w:r>
      <w:r w:rsidR="00E923F9" w:rsidRPr="007D26C6">
        <w:rPr>
          <w:b/>
          <w:bCs/>
        </w:rPr>
        <w:t xml:space="preserve">: The cost of not going </w:t>
      </w:r>
      <w:r w:rsidR="00325FDF" w:rsidRPr="007D26C6">
        <w:rPr>
          <w:b/>
          <w:bCs/>
        </w:rPr>
        <w:t>green</w:t>
      </w:r>
    </w:p>
    <w:p w14:paraId="50EFBF5A" w14:textId="563014BF" w:rsidR="007D26C6" w:rsidRPr="003340E2" w:rsidRDefault="007D26C6" w:rsidP="00F3777F">
      <w:pPr>
        <w:pStyle w:val="ListParagraph"/>
        <w:numPr>
          <w:ilvl w:val="0"/>
          <w:numId w:val="3"/>
        </w:numPr>
        <w:jc w:val="both"/>
        <w:rPr>
          <w:b/>
          <w:bCs/>
        </w:rPr>
      </w:pPr>
      <w:r w:rsidRPr="003340E2">
        <w:rPr>
          <w:b/>
          <w:bCs/>
        </w:rPr>
        <w:t>Background</w:t>
      </w:r>
    </w:p>
    <w:p w14:paraId="1363ABD9" w14:textId="573FB0C7" w:rsidR="00D064B5" w:rsidRPr="00D064B5" w:rsidRDefault="00D064B5" w:rsidP="00F3777F">
      <w:pPr>
        <w:jc w:val="both"/>
      </w:pPr>
      <w:r w:rsidRPr="00D064B5">
        <w:t xml:space="preserve">Guinea Bissau </w:t>
      </w:r>
      <w:r w:rsidR="0046253A">
        <w:t xml:space="preserve">(GNB) </w:t>
      </w:r>
      <w:r w:rsidRPr="00D064B5">
        <w:t xml:space="preserve">has a surface of 36,125 km², 28,000 km² on land and 8,120 km² at sea, in addition to 88 islands and islets in the Atlantic (the </w:t>
      </w:r>
      <w:proofErr w:type="spellStart"/>
      <w:r w:rsidRPr="00D064B5">
        <w:t>Bijagós</w:t>
      </w:r>
      <w:proofErr w:type="spellEnd"/>
      <w:r w:rsidRPr="00D064B5">
        <w:t xml:space="preserve"> archipelago) of which only 17 are inhabited</w:t>
      </w:r>
      <w:r w:rsidRPr="00ED4109">
        <w:rPr>
          <w:sz w:val="16"/>
          <w:szCs w:val="16"/>
        </w:rPr>
        <w:footnoteReference w:id="1"/>
      </w:r>
      <w:r w:rsidRPr="00D064B5">
        <w:t xml:space="preserve">. It has an ecologically rich and diverse Exclusive Economic Zone of around 123,725 square kilometers. Around 60% of the population are under 25 years of age. On </w:t>
      </w:r>
      <w:r w:rsidR="00ED4109">
        <w:t>a</w:t>
      </w:r>
      <w:r w:rsidRPr="00D064B5">
        <w:t xml:space="preserve">verage, agriculture, </w:t>
      </w:r>
      <w:proofErr w:type="gramStart"/>
      <w:r w:rsidRPr="00D064B5">
        <w:t>fishery</w:t>
      </w:r>
      <w:proofErr w:type="gramEnd"/>
      <w:r w:rsidRPr="00D064B5">
        <w:t xml:space="preserve"> and forestry contribute up to 47% GDP.  Economic </w:t>
      </w:r>
      <w:r w:rsidR="00ED4109">
        <w:t>g</w:t>
      </w:r>
      <w:r w:rsidRPr="00D064B5">
        <w:t xml:space="preserve">rowth is highly erratic, </w:t>
      </w:r>
      <w:proofErr w:type="gramStart"/>
      <w:r w:rsidRPr="00D064B5">
        <w:t>fragile</w:t>
      </w:r>
      <w:proofErr w:type="gramEnd"/>
      <w:r w:rsidRPr="00D064B5">
        <w:t xml:space="preserve"> and narrow based. In 2019, the Gross Domestic Product (GDP) grew by 5%, mainly driven by private consumption and exports of cashew nuts, which account for more than 90% of exports, around 80% employment (mostly smallholder fa</w:t>
      </w:r>
      <w:r w:rsidR="00ED4109">
        <w:t>r</w:t>
      </w:r>
      <w:r w:rsidRPr="00D064B5">
        <w:t xml:space="preserve">ming and seasonal daily labor) and 13% of government’s revenue. Fish and wood account for 7% </w:t>
      </w:r>
      <w:r w:rsidR="00F3777F">
        <w:t xml:space="preserve">and </w:t>
      </w:r>
      <w:r w:rsidRPr="00D064B5">
        <w:t>3% of exports, respectively.</w:t>
      </w:r>
      <w:r w:rsidR="00C1098B">
        <w:t xml:space="preserve"> </w:t>
      </w:r>
      <w:r w:rsidR="00C1098B" w:rsidRPr="00C1098B">
        <w:t xml:space="preserve">Despite the diverse marine and terrestrial ecosystem, Guinea Bissau has not embarked on a strategic reflection on the </w:t>
      </w:r>
      <w:r w:rsidR="00C1098B">
        <w:t>costs of</w:t>
      </w:r>
      <w:r w:rsidR="00F3777F">
        <w:t>/</w:t>
      </w:r>
      <w:r w:rsidR="00C1098B" w:rsidRPr="00C1098B">
        <w:t xml:space="preserve">opportunities </w:t>
      </w:r>
      <w:r w:rsidR="00C1098B">
        <w:t xml:space="preserve">for </w:t>
      </w:r>
      <w:r w:rsidR="00C1098B" w:rsidRPr="00C1098B">
        <w:t xml:space="preserve">and risks of </w:t>
      </w:r>
      <w:r w:rsidR="00C1098B">
        <w:t xml:space="preserve">pursuing a green path to development and </w:t>
      </w:r>
      <w:r w:rsidR="00C1098B" w:rsidRPr="00C1098B">
        <w:t xml:space="preserve">exploring its SIDS potential.  The lack of vision and political will </w:t>
      </w:r>
      <w:r w:rsidR="00F3777F">
        <w:t>as well as</w:t>
      </w:r>
      <w:r w:rsidR="00C1098B" w:rsidRPr="00C1098B">
        <w:t xml:space="preserve"> weak governance prevented the development of a coherent developmental strategy built on a blue economy driven by green inclusive growth and sustainable development. Recurrent political and institutional crises have hampered a coherent approach to realizing the economic, </w:t>
      </w:r>
      <w:proofErr w:type="gramStart"/>
      <w:r w:rsidR="00C1098B" w:rsidRPr="00C1098B">
        <w:t>social</w:t>
      </w:r>
      <w:proofErr w:type="gramEnd"/>
      <w:r w:rsidR="00C1098B" w:rsidRPr="00C1098B">
        <w:t xml:space="preserve"> and environmental potentials.  </w:t>
      </w:r>
    </w:p>
    <w:p w14:paraId="375D07F4" w14:textId="3A4A0300" w:rsidR="00325FDF" w:rsidRDefault="00C1098B" w:rsidP="00447404">
      <w:pPr>
        <w:jc w:val="both"/>
      </w:pPr>
      <w:r>
        <w:t xml:space="preserve">However, </w:t>
      </w:r>
      <w:r w:rsidR="00325FDF">
        <w:t xml:space="preserve">Guinea Bissau </w:t>
      </w:r>
      <w:r w:rsidR="00EB644F">
        <w:t>has</w:t>
      </w:r>
      <w:r w:rsidR="00325FDF">
        <w:t xml:space="preserve"> </w:t>
      </w:r>
      <w:r w:rsidR="00EB644F">
        <w:t>a</w:t>
      </w:r>
      <w:r w:rsidR="00325FDF">
        <w:t xml:space="preserve"> unique opportunity to build a blue economy utilizing its SIDS characteristics and embark on a sustainable green path for development. Areas for green development may include:</w:t>
      </w:r>
    </w:p>
    <w:p w14:paraId="4DD1ECC9" w14:textId="0C062228" w:rsidR="00325FDF" w:rsidRDefault="00325FDF" w:rsidP="00447404">
      <w:pPr>
        <w:pStyle w:val="ListParagraph"/>
        <w:numPr>
          <w:ilvl w:val="0"/>
          <w:numId w:val="2"/>
        </w:numPr>
        <w:jc w:val="both"/>
      </w:pPr>
      <w:r>
        <w:t>Renewable Energy to meet current and future needs</w:t>
      </w:r>
    </w:p>
    <w:p w14:paraId="62590BB5" w14:textId="257BB0FB" w:rsidR="00325FDF" w:rsidRDefault="00325FDF" w:rsidP="00447404">
      <w:pPr>
        <w:pStyle w:val="ListParagraph"/>
        <w:numPr>
          <w:ilvl w:val="0"/>
          <w:numId w:val="2"/>
        </w:numPr>
        <w:jc w:val="both"/>
      </w:pPr>
      <w:r>
        <w:t xml:space="preserve">Green and environment-friendly manufacturing built around the country’s agricultural and marine resources that maximize domestic value-added, generate </w:t>
      </w:r>
      <w:proofErr w:type="gramStart"/>
      <w:r>
        <w:t>employment</w:t>
      </w:r>
      <w:proofErr w:type="gramEnd"/>
      <w:r>
        <w:t xml:space="preserve"> and drive a more diversified economic growth </w:t>
      </w:r>
    </w:p>
    <w:p w14:paraId="15160524" w14:textId="43C19C1C" w:rsidR="00325FDF" w:rsidRDefault="00325FDF" w:rsidP="00447404">
      <w:pPr>
        <w:pStyle w:val="ListParagraph"/>
        <w:numPr>
          <w:ilvl w:val="0"/>
          <w:numId w:val="2"/>
        </w:numPr>
        <w:jc w:val="both"/>
      </w:pPr>
      <w:r>
        <w:t xml:space="preserve">Sustainable utilization of marine </w:t>
      </w:r>
      <w:r w:rsidR="00D064B5">
        <w:t>and</w:t>
      </w:r>
      <w:r>
        <w:t xml:space="preserve"> other natural resources </w:t>
      </w:r>
      <w:r w:rsidR="00D064B5">
        <w:t>(</w:t>
      </w:r>
      <w:proofErr w:type="gramStart"/>
      <w:r w:rsidR="00D064B5">
        <w:t>e.g.</w:t>
      </w:r>
      <w:proofErr w:type="gramEnd"/>
      <w:r w:rsidR="00D064B5">
        <w:t xml:space="preserve"> fishery</w:t>
      </w:r>
      <w:r w:rsidR="00661693">
        <w:t xml:space="preserve">, </w:t>
      </w:r>
      <w:r w:rsidR="00CB5856">
        <w:t>aquaculture</w:t>
      </w:r>
      <w:r w:rsidR="00661693">
        <w:t>, agriculture, forestry, logging,</w:t>
      </w:r>
      <w:r w:rsidR="00661693" w:rsidRPr="00661693">
        <w:t xml:space="preserve"> </w:t>
      </w:r>
      <w:r w:rsidR="00661693">
        <w:t>and mining</w:t>
      </w:r>
      <w:r w:rsidR="00D064B5">
        <w:t>)</w:t>
      </w:r>
    </w:p>
    <w:p w14:paraId="3DD7A424" w14:textId="7359285E" w:rsidR="00325FDF" w:rsidRDefault="00325FDF" w:rsidP="00447404">
      <w:pPr>
        <w:pStyle w:val="ListParagraph"/>
        <w:numPr>
          <w:ilvl w:val="0"/>
          <w:numId w:val="2"/>
        </w:numPr>
        <w:jc w:val="both"/>
      </w:pPr>
      <w:r>
        <w:t>Sustainable agricultural development</w:t>
      </w:r>
    </w:p>
    <w:p w14:paraId="4C062A31" w14:textId="06D352A6" w:rsidR="008D382F" w:rsidRDefault="00661693" w:rsidP="008D382F">
      <w:pPr>
        <w:pStyle w:val="ListParagraph"/>
        <w:numPr>
          <w:ilvl w:val="0"/>
          <w:numId w:val="2"/>
        </w:numPr>
        <w:jc w:val="both"/>
      </w:pPr>
      <w:r>
        <w:t xml:space="preserve">Sustainable and inclusive </w:t>
      </w:r>
      <w:r w:rsidR="00325FDF">
        <w:t>Eco-tourism</w:t>
      </w:r>
      <w:r w:rsidR="006E397C">
        <w:t xml:space="preserve"> and recreation</w:t>
      </w:r>
      <w:r w:rsidR="008D382F" w:rsidRPr="008D382F">
        <w:t xml:space="preserve"> </w:t>
      </w:r>
      <w:r w:rsidR="008D382F">
        <w:t xml:space="preserve">and resilient livelihood transition </w:t>
      </w:r>
    </w:p>
    <w:p w14:paraId="12C9B9EB" w14:textId="52A993B3" w:rsidR="007D26C6" w:rsidRDefault="00B507C0">
      <w:pPr>
        <w:pStyle w:val="ListParagraph"/>
        <w:numPr>
          <w:ilvl w:val="0"/>
          <w:numId w:val="2"/>
        </w:numPr>
        <w:jc w:val="both"/>
      </w:pPr>
      <w:r>
        <w:t xml:space="preserve"> </w:t>
      </w:r>
      <w:r w:rsidR="00325FDF">
        <w:t xml:space="preserve">Governments in developing countries are often </w:t>
      </w:r>
      <w:r w:rsidR="009F4B78">
        <w:t xml:space="preserve">over-estimate the costs </w:t>
      </w:r>
      <w:r w:rsidR="009F4B78">
        <w:t>and the initial investments required for going green</w:t>
      </w:r>
      <w:r w:rsidR="00D83F9F">
        <w:t xml:space="preserve">. </w:t>
      </w:r>
      <w:r w:rsidR="00D064B5">
        <w:t>Medium- and long-term</w:t>
      </w:r>
      <w:r w:rsidR="00D83F9F">
        <w:t xml:space="preserve"> benefits of going green as well as the negative externalities and </w:t>
      </w:r>
      <w:r w:rsidR="00D064B5">
        <w:t xml:space="preserve">opportunity </w:t>
      </w:r>
      <w:r w:rsidR="00D83F9F">
        <w:t xml:space="preserve">costs associated with </w:t>
      </w:r>
      <w:r w:rsidR="007700ED">
        <w:t>‘</w:t>
      </w:r>
      <w:r w:rsidR="00D83F9F">
        <w:t>not going green</w:t>
      </w:r>
      <w:r w:rsidR="007700ED">
        <w:t>’</w:t>
      </w:r>
      <w:r w:rsidR="00D83F9F">
        <w:t xml:space="preserve"> are often ignored.</w:t>
      </w:r>
      <w:r w:rsidR="00D064B5">
        <w:t xml:space="preserve"> </w:t>
      </w:r>
      <w:r w:rsidR="008F2977">
        <w:t xml:space="preserve">Additionally, the returns </w:t>
      </w:r>
      <w:r w:rsidR="00661693">
        <w:t xml:space="preserve">on </w:t>
      </w:r>
      <w:r w:rsidR="008F2977">
        <w:t>investing in green solutions are also underestimated</w:t>
      </w:r>
      <w:r w:rsidR="009F4B78">
        <w:t xml:space="preserve">. </w:t>
      </w:r>
      <w:r w:rsidR="002F4EE3">
        <w:t xml:space="preserve">Estimating such costs </w:t>
      </w:r>
      <w:r w:rsidR="008F2977">
        <w:t xml:space="preserve">and returns on investment </w:t>
      </w:r>
      <w:r w:rsidR="002F4EE3">
        <w:t xml:space="preserve">and taking them into account should </w:t>
      </w:r>
      <w:r w:rsidR="00C1098B">
        <w:t xml:space="preserve">be </w:t>
      </w:r>
      <w:r w:rsidR="002F4EE3">
        <w:t xml:space="preserve">an integral component of the </w:t>
      </w:r>
      <w:r w:rsidR="008D382F">
        <w:t xml:space="preserve">strategic policy and fiscal </w:t>
      </w:r>
      <w:r w:rsidR="002F4EE3">
        <w:t>planning process</w:t>
      </w:r>
      <w:r w:rsidR="008D382F" w:rsidRPr="008D382F">
        <w:t xml:space="preserve"> </w:t>
      </w:r>
      <w:r w:rsidR="008D382F">
        <w:t>towards an inclusive, green recovery</w:t>
      </w:r>
      <w:r w:rsidR="002F4EE3">
        <w:t xml:space="preserve">. </w:t>
      </w:r>
    </w:p>
    <w:p w14:paraId="51106102" w14:textId="77777777" w:rsidR="009F4B78" w:rsidRDefault="009F4B78" w:rsidP="00204437">
      <w:pPr>
        <w:pStyle w:val="ListParagraph"/>
        <w:jc w:val="both"/>
      </w:pPr>
    </w:p>
    <w:p w14:paraId="54DBB298" w14:textId="2B5AC7CF" w:rsidR="00325FDF" w:rsidRPr="003340E2" w:rsidRDefault="007D26C6" w:rsidP="00447404">
      <w:pPr>
        <w:pStyle w:val="ListParagraph"/>
        <w:numPr>
          <w:ilvl w:val="0"/>
          <w:numId w:val="3"/>
        </w:numPr>
        <w:jc w:val="both"/>
        <w:rPr>
          <w:b/>
          <w:bCs/>
        </w:rPr>
      </w:pPr>
      <w:r w:rsidRPr="003340E2">
        <w:rPr>
          <w:b/>
          <w:bCs/>
        </w:rPr>
        <w:t>Purpose and objectives</w:t>
      </w:r>
    </w:p>
    <w:p w14:paraId="54B0247E" w14:textId="77777777" w:rsidR="007D26C6" w:rsidRDefault="007D26C6" w:rsidP="00447404">
      <w:pPr>
        <w:pStyle w:val="ListParagraph"/>
        <w:jc w:val="both"/>
      </w:pPr>
    </w:p>
    <w:p w14:paraId="7E4093C0" w14:textId="2035098E" w:rsidR="007D26C6" w:rsidRDefault="007D26C6" w:rsidP="00447404">
      <w:pPr>
        <w:pStyle w:val="ListParagraph"/>
        <w:numPr>
          <w:ilvl w:val="1"/>
          <w:numId w:val="3"/>
        </w:numPr>
        <w:jc w:val="both"/>
      </w:pPr>
      <w:r>
        <w:t>Purpose</w:t>
      </w:r>
    </w:p>
    <w:p w14:paraId="2DBC4A7A" w14:textId="45505AA0" w:rsidR="002F4EE3" w:rsidRDefault="002F4EE3" w:rsidP="00447404">
      <w:pPr>
        <w:jc w:val="both"/>
      </w:pPr>
      <w:r>
        <w:t xml:space="preserve">The main purpose of this study is to </w:t>
      </w:r>
      <w:r w:rsidR="0046253A">
        <w:t>develop a methodology</w:t>
      </w:r>
      <w:r w:rsidR="00C1098B">
        <w:t>/toolkit</w:t>
      </w:r>
      <w:r w:rsidR="0046253A">
        <w:t xml:space="preserve"> and </w:t>
      </w:r>
      <w:r>
        <w:t xml:space="preserve">build a user-friendly dynamic </w:t>
      </w:r>
      <w:r w:rsidR="0046253A">
        <w:t xml:space="preserve">working </w:t>
      </w:r>
      <w:r>
        <w:t xml:space="preserve">model to project all direct and indirect </w:t>
      </w:r>
      <w:r w:rsidR="00C1098B">
        <w:t xml:space="preserve">economic, </w:t>
      </w:r>
      <w:proofErr w:type="gramStart"/>
      <w:r w:rsidR="00C1098B">
        <w:t>social</w:t>
      </w:r>
      <w:proofErr w:type="gramEnd"/>
      <w:r w:rsidR="00C1098B">
        <w:t xml:space="preserve"> and environmental </w:t>
      </w:r>
      <w:r>
        <w:t>costs of foregoing a green path to development in Guinea Bissau in the short-, medium</w:t>
      </w:r>
      <w:r w:rsidR="00C27475">
        <w:t>-</w:t>
      </w:r>
      <w:r>
        <w:t xml:space="preserve"> and long-term</w:t>
      </w:r>
      <w:r w:rsidR="00C26937">
        <w:t xml:space="preserve"> in close collaboration </w:t>
      </w:r>
      <w:r w:rsidR="00C26937">
        <w:lastRenderedPageBreak/>
        <w:t>with a local partner</w:t>
      </w:r>
      <w:r>
        <w:t xml:space="preserve">. </w:t>
      </w:r>
      <w:r w:rsidR="009F4B78">
        <w:t>The toolkit and the model should take advantage of UNDP data platform</w:t>
      </w:r>
      <w:r w:rsidR="001C2FAF">
        <w:rPr>
          <w:rStyle w:val="FootnoteReference"/>
        </w:rPr>
        <w:footnoteReference w:id="2"/>
      </w:r>
      <w:r w:rsidR="009F4B78">
        <w:t xml:space="preserve">. </w:t>
      </w:r>
      <w:proofErr w:type="gramStart"/>
      <w:r>
        <w:t>Additionally</w:t>
      </w:r>
      <w:proofErr w:type="gramEnd"/>
      <w:r>
        <w:t xml:space="preserve">, the </w:t>
      </w:r>
      <w:r w:rsidR="00EB644F">
        <w:t xml:space="preserve">methodology/toolkit and </w:t>
      </w:r>
      <w:r>
        <w:t>model should be flexible and allow for projection updates</w:t>
      </w:r>
      <w:r w:rsidR="00EB644F">
        <w:t xml:space="preserve"> as well as comparative analysis of alternative solutions</w:t>
      </w:r>
      <w:r w:rsidR="00D7134A">
        <w:t xml:space="preserve"> and</w:t>
      </w:r>
      <w:r w:rsidR="00CD1382">
        <w:t>, thus, can be used as a planning tool.</w:t>
      </w:r>
      <w:r>
        <w:t xml:space="preserve"> </w:t>
      </w:r>
    </w:p>
    <w:p w14:paraId="223D2EB1" w14:textId="78CF42CC" w:rsidR="002F4EE3" w:rsidRDefault="00CD1382" w:rsidP="00447404">
      <w:pPr>
        <w:pStyle w:val="ListParagraph"/>
        <w:numPr>
          <w:ilvl w:val="1"/>
          <w:numId w:val="3"/>
        </w:numPr>
        <w:jc w:val="both"/>
      </w:pPr>
      <w:r>
        <w:t>Objectives</w:t>
      </w:r>
    </w:p>
    <w:p w14:paraId="42428318" w14:textId="77777777" w:rsidR="00AF171D" w:rsidRDefault="00AF171D" w:rsidP="00447404">
      <w:pPr>
        <w:pStyle w:val="ListParagraph"/>
        <w:ind w:left="1100"/>
        <w:jc w:val="both"/>
      </w:pPr>
    </w:p>
    <w:p w14:paraId="4382C2F3" w14:textId="63B19EB1" w:rsidR="0046253A" w:rsidRDefault="0046253A" w:rsidP="00447404">
      <w:pPr>
        <w:pStyle w:val="ListParagraph"/>
        <w:numPr>
          <w:ilvl w:val="0"/>
          <w:numId w:val="6"/>
        </w:numPr>
        <w:spacing w:before="240"/>
        <w:jc w:val="both"/>
      </w:pPr>
      <w:r>
        <w:t xml:space="preserve">Develop </w:t>
      </w:r>
      <w:r w:rsidR="0095414E">
        <w:t>a</w:t>
      </w:r>
      <w:r>
        <w:t xml:space="preserve"> methodology</w:t>
      </w:r>
      <w:r w:rsidR="00C1098B">
        <w:t>/toolkit</w:t>
      </w:r>
      <w:r>
        <w:t xml:space="preserve"> for estimating and projecting the</w:t>
      </w:r>
      <w:r w:rsidR="008D382F" w:rsidRPr="008D382F">
        <w:t xml:space="preserve"> </w:t>
      </w:r>
      <w:r w:rsidR="008D382F">
        <w:t>opportunity</w:t>
      </w:r>
      <w:r>
        <w:t xml:space="preserve"> costs</w:t>
      </w:r>
      <w:r w:rsidR="004518CE">
        <w:t xml:space="preserve"> </w:t>
      </w:r>
      <w:r w:rsidR="008D382F">
        <w:t xml:space="preserve">and benefits of a green transition </w:t>
      </w:r>
      <w:r>
        <w:t>in Guinea Bissau</w:t>
      </w:r>
    </w:p>
    <w:p w14:paraId="39BE8956" w14:textId="1D6A25D8" w:rsidR="00CD1382" w:rsidRDefault="00CD1382" w:rsidP="00447404">
      <w:pPr>
        <w:pStyle w:val="ListParagraph"/>
        <w:numPr>
          <w:ilvl w:val="0"/>
          <w:numId w:val="6"/>
        </w:numPr>
        <w:spacing w:before="240"/>
        <w:jc w:val="both"/>
      </w:pPr>
      <w:r>
        <w:t xml:space="preserve">Build a user-friendly dynamic </w:t>
      </w:r>
      <w:r w:rsidR="0046253A">
        <w:t xml:space="preserve">working </w:t>
      </w:r>
      <w:r>
        <w:t>model that will utilize available data and resources</w:t>
      </w:r>
      <w:r w:rsidR="008D382F">
        <w:t xml:space="preserve"> in</w:t>
      </w:r>
      <w:r w:rsidR="004518CE">
        <w:t xml:space="preserve"> </w:t>
      </w:r>
      <w:r w:rsidR="008D382F">
        <w:t>collaboration with UNDP’s data analytics team</w:t>
      </w:r>
      <w:r w:rsidR="008D382F" w:rsidDel="008D382F">
        <w:t xml:space="preserve"> </w:t>
      </w:r>
    </w:p>
    <w:p w14:paraId="757E7457" w14:textId="0C3A8F03" w:rsidR="008D382F" w:rsidRDefault="00AF171D" w:rsidP="00447404">
      <w:pPr>
        <w:pStyle w:val="ListParagraph"/>
        <w:numPr>
          <w:ilvl w:val="0"/>
          <w:numId w:val="6"/>
        </w:numPr>
        <w:jc w:val="both"/>
      </w:pPr>
      <w:r>
        <w:t>Calibrate the model and d</w:t>
      </w:r>
      <w:r w:rsidR="00CD1382">
        <w:t xml:space="preserve">emonstrate </w:t>
      </w:r>
      <w:r>
        <w:t>its</w:t>
      </w:r>
      <w:r w:rsidR="00CD1382">
        <w:t xml:space="preserve"> flexibility, </w:t>
      </w:r>
      <w:r>
        <w:t>updates,</w:t>
      </w:r>
      <w:r w:rsidR="00CD1382">
        <w:t xml:space="preserve"> and dynamic features</w:t>
      </w:r>
    </w:p>
    <w:p w14:paraId="38D000DE" w14:textId="01CCACDB" w:rsidR="00CD1382" w:rsidRDefault="00CD1382" w:rsidP="008D382F">
      <w:pPr>
        <w:pStyle w:val="ListParagraph"/>
        <w:numPr>
          <w:ilvl w:val="0"/>
          <w:numId w:val="6"/>
        </w:numPr>
        <w:jc w:val="both"/>
      </w:pPr>
      <w:r>
        <w:t>Using the</w:t>
      </w:r>
      <w:r w:rsidR="00C1098B">
        <w:t xml:space="preserve"> methodology/toolkit and the </w:t>
      </w:r>
      <w:r>
        <w:t>model, produce short</w:t>
      </w:r>
      <w:r w:rsidR="00C27475">
        <w:t>-</w:t>
      </w:r>
      <w:r>
        <w:t>, medium</w:t>
      </w:r>
      <w:r w:rsidR="00C27475">
        <w:t>-</w:t>
      </w:r>
      <w:r>
        <w:t xml:space="preserve">, and long-term projections of all current direct and indirect </w:t>
      </w:r>
      <w:r w:rsidR="00C1098B">
        <w:t xml:space="preserve">economic, </w:t>
      </w:r>
      <w:proofErr w:type="gramStart"/>
      <w:r w:rsidR="00C1098B">
        <w:t>social</w:t>
      </w:r>
      <w:proofErr w:type="gramEnd"/>
      <w:r w:rsidR="00C1098B">
        <w:t xml:space="preserve"> and environmental </w:t>
      </w:r>
      <w:r>
        <w:t>costs of not going green in monetary terms</w:t>
      </w:r>
      <w:r w:rsidR="00AF171D">
        <w:t xml:space="preserve">. </w:t>
      </w:r>
    </w:p>
    <w:p w14:paraId="219F1BA0" w14:textId="77777777" w:rsidR="001C2FAF" w:rsidRDefault="008D382F" w:rsidP="001C2FAF">
      <w:pPr>
        <w:pStyle w:val="ListParagraph"/>
        <w:numPr>
          <w:ilvl w:val="0"/>
          <w:numId w:val="6"/>
        </w:numPr>
        <w:spacing w:before="240"/>
        <w:jc w:val="both"/>
      </w:pPr>
      <w:r>
        <w:t>Identify the chief barriers to a green transition, including policy analysis and governance challenges, as well as associated social protection measures.</w:t>
      </w:r>
      <w:r w:rsidR="001C2FAF" w:rsidRPr="001C2FAF">
        <w:t xml:space="preserve"> </w:t>
      </w:r>
    </w:p>
    <w:p w14:paraId="15522474" w14:textId="1D05A865" w:rsidR="008D382F" w:rsidRDefault="001C2FAF" w:rsidP="00204437">
      <w:pPr>
        <w:pStyle w:val="ListParagraph"/>
        <w:numPr>
          <w:ilvl w:val="0"/>
          <w:numId w:val="6"/>
        </w:numPr>
        <w:spacing w:before="240"/>
        <w:jc w:val="both"/>
      </w:pPr>
      <w:r>
        <w:t>Select a local partner to be the custodian of the model and toolkit</w:t>
      </w:r>
      <w:r w:rsidR="00154310">
        <w:t xml:space="preserve">. </w:t>
      </w:r>
    </w:p>
    <w:p w14:paraId="480068FA" w14:textId="4A5A4C9A" w:rsidR="00C26937" w:rsidRDefault="001C2FAF" w:rsidP="008D382F">
      <w:pPr>
        <w:pStyle w:val="ListParagraph"/>
        <w:numPr>
          <w:ilvl w:val="0"/>
          <w:numId w:val="6"/>
        </w:numPr>
        <w:jc w:val="both"/>
      </w:pPr>
      <w:r>
        <w:t xml:space="preserve">Build local </w:t>
      </w:r>
      <w:r w:rsidR="00C26937">
        <w:t xml:space="preserve">capacity </w:t>
      </w:r>
      <w:r>
        <w:t>for future</w:t>
      </w:r>
      <w:r w:rsidR="00C26937">
        <w:t xml:space="preserve"> u</w:t>
      </w:r>
      <w:r>
        <w:t>tilization of</w:t>
      </w:r>
      <w:r w:rsidR="00C26937">
        <w:t xml:space="preserve"> </w:t>
      </w:r>
      <w:r>
        <w:t>the toolkit</w:t>
      </w:r>
      <w:r>
        <w:t xml:space="preserve"> </w:t>
      </w:r>
      <w:r w:rsidR="00C26937">
        <w:t xml:space="preserve">and updating </w:t>
      </w:r>
      <w:r>
        <w:t xml:space="preserve">of </w:t>
      </w:r>
      <w:r w:rsidR="00C26937">
        <w:t>the model</w:t>
      </w:r>
    </w:p>
    <w:p w14:paraId="2410030F" w14:textId="77777777" w:rsidR="008D382F" w:rsidRDefault="008D382F" w:rsidP="00204437">
      <w:pPr>
        <w:pStyle w:val="ListParagraph"/>
        <w:jc w:val="both"/>
      </w:pPr>
    </w:p>
    <w:p w14:paraId="17D89C89" w14:textId="77777777" w:rsidR="00AF171D" w:rsidRDefault="00AF171D" w:rsidP="00447404">
      <w:pPr>
        <w:pStyle w:val="ListParagraph"/>
        <w:jc w:val="both"/>
      </w:pPr>
    </w:p>
    <w:p w14:paraId="7CB244D6" w14:textId="3EFEF3BC" w:rsidR="00AF171D" w:rsidRPr="003340E2" w:rsidRDefault="00AF171D" w:rsidP="00447404">
      <w:pPr>
        <w:pStyle w:val="ListParagraph"/>
        <w:numPr>
          <w:ilvl w:val="0"/>
          <w:numId w:val="3"/>
        </w:numPr>
        <w:jc w:val="both"/>
        <w:rPr>
          <w:b/>
          <w:bCs/>
        </w:rPr>
      </w:pPr>
      <w:r w:rsidRPr="003340E2">
        <w:rPr>
          <w:b/>
          <w:bCs/>
        </w:rPr>
        <w:t>Scope of work</w:t>
      </w:r>
    </w:p>
    <w:p w14:paraId="55D95693" w14:textId="77777777" w:rsidR="004A0C92" w:rsidRDefault="004A0C92" w:rsidP="00447404">
      <w:pPr>
        <w:pStyle w:val="ListParagraph"/>
        <w:jc w:val="both"/>
      </w:pPr>
    </w:p>
    <w:p w14:paraId="1F524515" w14:textId="4C016E27" w:rsidR="0046253A" w:rsidRDefault="009F4B78" w:rsidP="00447404">
      <w:pPr>
        <w:pStyle w:val="ListParagraph"/>
        <w:numPr>
          <w:ilvl w:val="0"/>
          <w:numId w:val="10"/>
        </w:numPr>
        <w:jc w:val="both"/>
      </w:pPr>
      <w:r>
        <w:t xml:space="preserve">Building on UNDP’s </w:t>
      </w:r>
      <w:proofErr w:type="spellStart"/>
      <w:r>
        <w:t>disck</w:t>
      </w:r>
      <w:proofErr w:type="spellEnd"/>
      <w:r>
        <w:t xml:space="preserve"> review, r</w:t>
      </w:r>
      <w:r w:rsidR="0046253A">
        <w:t>eview existing similar models</w:t>
      </w:r>
      <w:r w:rsidR="00894C3B">
        <w:t xml:space="preserve">, </w:t>
      </w:r>
      <w:proofErr w:type="gramStart"/>
      <w:r w:rsidR="00894C3B">
        <w:t>toolkits</w:t>
      </w:r>
      <w:proofErr w:type="gramEnd"/>
      <w:r w:rsidR="0046253A">
        <w:t xml:space="preserve"> and methodologies, including impact assessments and costing models and methodologies in developing countries </w:t>
      </w:r>
    </w:p>
    <w:p w14:paraId="707087CB" w14:textId="2099B4E1" w:rsidR="00AF171D" w:rsidRDefault="00AF171D" w:rsidP="00447404">
      <w:pPr>
        <w:pStyle w:val="ListParagraph"/>
        <w:numPr>
          <w:ilvl w:val="0"/>
          <w:numId w:val="10"/>
        </w:numPr>
        <w:jc w:val="both"/>
      </w:pPr>
      <w:r>
        <w:t>Prepare a situation analysis of the current stage of development in Guinea Bissau</w:t>
      </w:r>
      <w:r w:rsidR="001C2FAF">
        <w:t>, in close collaboration with the local partner</w:t>
      </w:r>
    </w:p>
    <w:p w14:paraId="28C3D89D" w14:textId="0587FAE9" w:rsidR="001C789B" w:rsidRDefault="001C789B" w:rsidP="00447404">
      <w:pPr>
        <w:pStyle w:val="ListParagraph"/>
        <w:numPr>
          <w:ilvl w:val="0"/>
          <w:numId w:val="10"/>
        </w:numPr>
        <w:jc w:val="both"/>
      </w:pPr>
      <w:r>
        <w:t xml:space="preserve">Prepare a short comparative analysis </w:t>
      </w:r>
      <w:r w:rsidR="00894C3B">
        <w:t>of other relevant developing countries (particularly SIDs) and elaborating lessons learnt</w:t>
      </w:r>
    </w:p>
    <w:p w14:paraId="4CB172AB" w14:textId="11AA0123" w:rsidR="00894C3B" w:rsidRDefault="00C26937" w:rsidP="00154310">
      <w:pPr>
        <w:pStyle w:val="ListParagraph"/>
        <w:numPr>
          <w:ilvl w:val="0"/>
          <w:numId w:val="10"/>
        </w:numPr>
        <w:jc w:val="both"/>
      </w:pPr>
      <w:r>
        <w:t>Utilize UNDP’s data platform to d</w:t>
      </w:r>
      <w:r w:rsidR="00894C3B">
        <w:t>evelop a methodology/toolkit and dynamic working model of estimating/projecting the</w:t>
      </w:r>
      <w:r w:rsidR="008D382F" w:rsidRPr="008D382F">
        <w:t xml:space="preserve"> </w:t>
      </w:r>
      <w:r w:rsidR="008D382F">
        <w:t>opportunity</w:t>
      </w:r>
      <w:r w:rsidR="00894C3B">
        <w:t xml:space="preserve"> costs of not going green</w:t>
      </w:r>
      <w:r w:rsidR="001C2FAF">
        <w:t xml:space="preserve">, </w:t>
      </w:r>
      <w:r w:rsidR="001C2FAF">
        <w:t>in close collaboration with the local partner</w:t>
      </w:r>
    </w:p>
    <w:p w14:paraId="66B4CD63" w14:textId="3F141DB7" w:rsidR="00AF171D" w:rsidRDefault="00AF171D" w:rsidP="00447404">
      <w:pPr>
        <w:pStyle w:val="ListParagraph"/>
        <w:numPr>
          <w:ilvl w:val="0"/>
          <w:numId w:val="10"/>
        </w:numPr>
        <w:jc w:val="both"/>
      </w:pPr>
      <w:r>
        <w:t xml:space="preserve">Prepare a study elaborating </w:t>
      </w:r>
      <w:r w:rsidR="00C27475">
        <w:t xml:space="preserve">on </w:t>
      </w:r>
      <w:r>
        <w:t>the</w:t>
      </w:r>
      <w:r w:rsidR="0046253A">
        <w:t xml:space="preserve"> methodology</w:t>
      </w:r>
      <w:r w:rsidR="00894C3B">
        <w:t>/toolkit</w:t>
      </w:r>
      <w:r w:rsidR="0046253A">
        <w:t xml:space="preserve"> and the </w:t>
      </w:r>
      <w:r>
        <w:t>dynamic model</w:t>
      </w:r>
      <w:r w:rsidR="004A0C92">
        <w:t xml:space="preserve"> and </w:t>
      </w:r>
      <w:r>
        <w:t xml:space="preserve">its </w:t>
      </w:r>
      <w:r w:rsidR="004A0C92">
        <w:t xml:space="preserve">calibration  </w:t>
      </w:r>
    </w:p>
    <w:p w14:paraId="453AB05D" w14:textId="4725DD55" w:rsidR="004A0C92" w:rsidRDefault="00894C3B" w:rsidP="00447404">
      <w:pPr>
        <w:pStyle w:val="ListParagraph"/>
        <w:numPr>
          <w:ilvl w:val="0"/>
          <w:numId w:val="10"/>
        </w:numPr>
        <w:jc w:val="both"/>
      </w:pPr>
      <w:r>
        <w:t xml:space="preserve">Prepare a comprehensive </w:t>
      </w:r>
      <w:r w:rsidR="004A0C92">
        <w:t>user manual for future update</w:t>
      </w:r>
    </w:p>
    <w:p w14:paraId="00822B36" w14:textId="398BE5A9" w:rsidR="0010016E" w:rsidRDefault="00894C3B" w:rsidP="00204437">
      <w:pPr>
        <w:pStyle w:val="ListParagraph"/>
        <w:numPr>
          <w:ilvl w:val="0"/>
          <w:numId w:val="10"/>
        </w:numPr>
        <w:spacing w:before="240"/>
        <w:jc w:val="both"/>
      </w:pPr>
      <w:r>
        <w:t>Prepare guidelines for data collection and updates to ensure the future applicability of the model</w:t>
      </w:r>
      <w:r w:rsidR="00C1098B">
        <w:t xml:space="preserve"> and</w:t>
      </w:r>
      <w:r>
        <w:t xml:space="preserve"> </w:t>
      </w:r>
      <w:r w:rsidR="00C1098B">
        <w:t>methodology/</w:t>
      </w:r>
      <w:r>
        <w:t>toolkit</w:t>
      </w:r>
    </w:p>
    <w:p w14:paraId="52F5665B" w14:textId="3ED40916" w:rsidR="00C26937" w:rsidRDefault="004A0C92" w:rsidP="00204437">
      <w:pPr>
        <w:pStyle w:val="ListParagraph"/>
        <w:numPr>
          <w:ilvl w:val="0"/>
          <w:numId w:val="10"/>
        </w:numPr>
        <w:jc w:val="both"/>
      </w:pPr>
      <w:r>
        <w:t xml:space="preserve">Prepare a study estimating short-, medium-, and long-term projections of all economic, </w:t>
      </w:r>
      <w:proofErr w:type="gramStart"/>
      <w:r>
        <w:t>social</w:t>
      </w:r>
      <w:proofErr w:type="gramEnd"/>
      <w:r>
        <w:t xml:space="preserve"> and environmental direct and indirect costs of not going green in monetary terms</w:t>
      </w:r>
      <w:r w:rsidR="00C26937">
        <w:t xml:space="preserve">. </w:t>
      </w:r>
      <w:proofErr w:type="gramStart"/>
      <w:r w:rsidR="00C26937">
        <w:t>The</w:t>
      </w:r>
      <w:proofErr w:type="gramEnd"/>
      <w:r w:rsidR="00C26937">
        <w:t xml:space="preserve"> study should identify </w:t>
      </w:r>
      <w:r w:rsidR="00C26937">
        <w:t>chief barriers to a green transition, including policy analysis and governance challenges</w:t>
      </w:r>
      <w:r w:rsidR="00C26937">
        <w:t xml:space="preserve"> and provide policy recommendations.</w:t>
      </w:r>
    </w:p>
    <w:p w14:paraId="5F30D72B" w14:textId="126783BD" w:rsidR="004A0C92" w:rsidRDefault="004A0C92" w:rsidP="00447404">
      <w:pPr>
        <w:pStyle w:val="ListParagraph"/>
        <w:numPr>
          <w:ilvl w:val="0"/>
          <w:numId w:val="10"/>
        </w:numPr>
        <w:jc w:val="both"/>
      </w:pPr>
      <w:r>
        <w:t>Prepare an executive summary summarizing the key features of the model and the findings</w:t>
      </w:r>
    </w:p>
    <w:p w14:paraId="46B3312D" w14:textId="54127FF7" w:rsidR="001C2FAF" w:rsidRDefault="001C2FAF" w:rsidP="001C2FAF">
      <w:pPr>
        <w:pStyle w:val="ListParagraph"/>
        <w:numPr>
          <w:ilvl w:val="0"/>
          <w:numId w:val="10"/>
        </w:numPr>
        <w:spacing w:before="240"/>
        <w:jc w:val="both"/>
      </w:pPr>
      <w:r>
        <w:t>Assess the</w:t>
      </w:r>
      <w:r>
        <w:t xml:space="preserve"> capacity </w:t>
      </w:r>
      <w:r>
        <w:t>of the</w:t>
      </w:r>
      <w:r>
        <w:t xml:space="preserve"> local partner</w:t>
      </w:r>
    </w:p>
    <w:p w14:paraId="28359472" w14:textId="0BC647BC" w:rsidR="004A0C92" w:rsidRDefault="004A0C92" w:rsidP="00447404">
      <w:pPr>
        <w:pStyle w:val="ListParagraph"/>
        <w:numPr>
          <w:ilvl w:val="0"/>
          <w:numId w:val="10"/>
        </w:numPr>
        <w:spacing w:before="240"/>
        <w:jc w:val="both"/>
      </w:pPr>
      <w:r>
        <w:lastRenderedPageBreak/>
        <w:t xml:space="preserve">Prepare a training manual and deliver a short capacity development module to train </w:t>
      </w:r>
      <w:r w:rsidR="001C2FAF">
        <w:t xml:space="preserve">local partner and </w:t>
      </w:r>
      <w:r>
        <w:t>planners on updating</w:t>
      </w:r>
      <w:r w:rsidR="006F3139">
        <w:t xml:space="preserve">, </w:t>
      </w:r>
      <w:proofErr w:type="gramStart"/>
      <w:r>
        <w:t>calibrating</w:t>
      </w:r>
      <w:proofErr w:type="gramEnd"/>
      <w:r>
        <w:t xml:space="preserve"> </w:t>
      </w:r>
      <w:r w:rsidR="006F3139">
        <w:t xml:space="preserve">and using </w:t>
      </w:r>
      <w:r>
        <w:t>the model</w:t>
      </w:r>
      <w:r w:rsidR="001C2FAF">
        <w:t xml:space="preserve"> and the toolkit</w:t>
      </w:r>
    </w:p>
    <w:p w14:paraId="7CCFFA30" w14:textId="77777777" w:rsidR="00265686" w:rsidRDefault="00265686" w:rsidP="00447404">
      <w:pPr>
        <w:pStyle w:val="ListParagraph"/>
        <w:spacing w:before="240"/>
        <w:jc w:val="both"/>
      </w:pPr>
    </w:p>
    <w:p w14:paraId="08AB8751" w14:textId="2B20504B" w:rsidR="001C789B" w:rsidRPr="003340E2" w:rsidRDefault="001C789B" w:rsidP="00447404">
      <w:pPr>
        <w:pStyle w:val="ListParagraph"/>
        <w:numPr>
          <w:ilvl w:val="0"/>
          <w:numId w:val="3"/>
        </w:numPr>
        <w:spacing w:before="240"/>
        <w:jc w:val="both"/>
        <w:rPr>
          <w:b/>
          <w:bCs/>
        </w:rPr>
      </w:pPr>
      <w:r w:rsidRPr="003340E2">
        <w:rPr>
          <w:b/>
          <w:bCs/>
        </w:rPr>
        <w:t>Deliverables</w:t>
      </w:r>
    </w:p>
    <w:p w14:paraId="11B504B2" w14:textId="77777777" w:rsidR="00894C3B" w:rsidRDefault="00894C3B" w:rsidP="00447404">
      <w:pPr>
        <w:pStyle w:val="ListParagraph"/>
        <w:spacing w:before="240"/>
        <w:jc w:val="both"/>
      </w:pPr>
    </w:p>
    <w:p w14:paraId="339EE603" w14:textId="407D6D81" w:rsidR="001C789B" w:rsidRDefault="001C789B" w:rsidP="00447404">
      <w:pPr>
        <w:pStyle w:val="ListParagraph"/>
        <w:numPr>
          <w:ilvl w:val="0"/>
          <w:numId w:val="9"/>
        </w:numPr>
        <w:jc w:val="both"/>
      </w:pPr>
      <w:r>
        <w:t xml:space="preserve">Literature review of relevant models and </w:t>
      </w:r>
      <w:r w:rsidR="00894C3B">
        <w:t>methodologies</w:t>
      </w:r>
    </w:p>
    <w:p w14:paraId="59D71234" w14:textId="50BAB530" w:rsidR="001C789B" w:rsidRDefault="001C789B" w:rsidP="00447404">
      <w:pPr>
        <w:pStyle w:val="ListParagraph"/>
        <w:numPr>
          <w:ilvl w:val="0"/>
          <w:numId w:val="9"/>
        </w:numPr>
        <w:jc w:val="both"/>
      </w:pPr>
      <w:r>
        <w:t>Situation analyses of current developmental affairs in G</w:t>
      </w:r>
      <w:r w:rsidR="006B107C">
        <w:t xml:space="preserve">uinea </w:t>
      </w:r>
      <w:r>
        <w:t>B</w:t>
      </w:r>
      <w:r w:rsidR="006B107C">
        <w:t>issau</w:t>
      </w:r>
      <w:r w:rsidR="00894C3B">
        <w:t xml:space="preserve"> </w:t>
      </w:r>
    </w:p>
    <w:p w14:paraId="48D45644" w14:textId="7C277643" w:rsidR="00894C3B" w:rsidRDefault="00894C3B" w:rsidP="00447404">
      <w:pPr>
        <w:pStyle w:val="ListParagraph"/>
        <w:numPr>
          <w:ilvl w:val="0"/>
          <w:numId w:val="9"/>
        </w:numPr>
        <w:jc w:val="both"/>
      </w:pPr>
      <w:r>
        <w:t>Comparative analysis outlining experiences and lessons learnt from other SIDS and/or developing countries</w:t>
      </w:r>
    </w:p>
    <w:p w14:paraId="7C8AAED5" w14:textId="453B0B84" w:rsidR="001C789B" w:rsidRDefault="001C789B" w:rsidP="00447404">
      <w:pPr>
        <w:pStyle w:val="ListParagraph"/>
        <w:numPr>
          <w:ilvl w:val="0"/>
          <w:numId w:val="9"/>
        </w:numPr>
        <w:jc w:val="both"/>
      </w:pPr>
      <w:r>
        <w:t>The methodology/tools and the model (including all relevant documentations) to estimate the costs of not going green</w:t>
      </w:r>
    </w:p>
    <w:p w14:paraId="01435782" w14:textId="0DF0EB0E" w:rsidR="001C789B" w:rsidRDefault="001C789B" w:rsidP="00447404">
      <w:pPr>
        <w:pStyle w:val="ListParagraph"/>
        <w:numPr>
          <w:ilvl w:val="0"/>
          <w:numId w:val="9"/>
        </w:numPr>
        <w:jc w:val="both"/>
      </w:pPr>
      <w:r>
        <w:t xml:space="preserve">short-, medium-, and long-term projections of all economic, </w:t>
      </w:r>
      <w:proofErr w:type="gramStart"/>
      <w:r>
        <w:t>social</w:t>
      </w:r>
      <w:proofErr w:type="gramEnd"/>
      <w:r>
        <w:t xml:space="preserve"> and environmental direct and indirect </w:t>
      </w:r>
      <w:r w:rsidR="008D382F">
        <w:t xml:space="preserve">opportunity </w:t>
      </w:r>
      <w:r>
        <w:t>costs of</w:t>
      </w:r>
      <w:r w:rsidR="00A64DA9">
        <w:t xml:space="preserve"> </w:t>
      </w:r>
      <w:r w:rsidR="008D382F">
        <w:t xml:space="preserve">a </w:t>
      </w:r>
      <w:r>
        <w:t xml:space="preserve">green </w:t>
      </w:r>
      <w:r w:rsidR="008D382F">
        <w:t xml:space="preserve">transition </w:t>
      </w:r>
      <w:r>
        <w:t>in monetary terms</w:t>
      </w:r>
      <w:r w:rsidR="008D382F">
        <w:t>, as well as development impacts (health, jobs, disaster and climate losses to business, GDP, etc.).</w:t>
      </w:r>
    </w:p>
    <w:p w14:paraId="3ABA2A5A" w14:textId="5FE2E748" w:rsidR="00154310" w:rsidRDefault="00154310" w:rsidP="00154310">
      <w:pPr>
        <w:pStyle w:val="ListParagraph"/>
        <w:numPr>
          <w:ilvl w:val="0"/>
          <w:numId w:val="9"/>
        </w:numPr>
        <w:jc w:val="both"/>
      </w:pPr>
      <w:r>
        <w:t>Short capacity development module</w:t>
      </w:r>
    </w:p>
    <w:p w14:paraId="33E9CD30" w14:textId="5A3735EE" w:rsidR="006F3139" w:rsidRDefault="00154310" w:rsidP="00154310">
      <w:pPr>
        <w:pStyle w:val="ListParagraph"/>
        <w:numPr>
          <w:ilvl w:val="0"/>
          <w:numId w:val="9"/>
        </w:numPr>
      </w:pPr>
      <w:r>
        <w:t>Selected</w:t>
      </w:r>
      <w:r w:rsidR="006F3139" w:rsidRPr="006F3139">
        <w:t xml:space="preserve"> national partners are trained and can use the </w:t>
      </w:r>
      <w:r>
        <w:t xml:space="preserve">toolkit and the </w:t>
      </w:r>
      <w:r w:rsidR="006F3139" w:rsidRPr="006F3139">
        <w:t xml:space="preserve">model </w:t>
      </w:r>
      <w:r>
        <w:t>to</w:t>
      </w:r>
      <w:r w:rsidR="006F3139" w:rsidRPr="006F3139">
        <w:t xml:space="preserve"> estimat</w:t>
      </w:r>
      <w:r>
        <w:t>e</w:t>
      </w:r>
      <w:r w:rsidR="006F3139" w:rsidRPr="006F3139">
        <w:t>/project the costs of not going green</w:t>
      </w:r>
    </w:p>
    <w:p w14:paraId="7796E432" w14:textId="01DA88C3" w:rsidR="001C789B" w:rsidRDefault="001C789B" w:rsidP="00447404">
      <w:pPr>
        <w:pStyle w:val="ListParagraph"/>
        <w:numPr>
          <w:ilvl w:val="0"/>
          <w:numId w:val="9"/>
        </w:numPr>
        <w:jc w:val="both"/>
      </w:pPr>
      <w:r>
        <w:t>Training manual</w:t>
      </w:r>
    </w:p>
    <w:p w14:paraId="0CF93D1B" w14:textId="77777777" w:rsidR="00154310" w:rsidRDefault="00154310" w:rsidP="00154310">
      <w:pPr>
        <w:pStyle w:val="ListParagraph"/>
        <w:numPr>
          <w:ilvl w:val="0"/>
          <w:numId w:val="9"/>
        </w:numPr>
        <w:jc w:val="both"/>
      </w:pPr>
      <w:r>
        <w:t xml:space="preserve">Executive summary </w:t>
      </w:r>
    </w:p>
    <w:p w14:paraId="7FAE76B1" w14:textId="5B387A67" w:rsidR="00894C3B" w:rsidRDefault="00894C3B" w:rsidP="00447404">
      <w:pPr>
        <w:pStyle w:val="ListParagraph"/>
        <w:numPr>
          <w:ilvl w:val="0"/>
          <w:numId w:val="9"/>
        </w:numPr>
        <w:jc w:val="both"/>
      </w:pPr>
      <w:r>
        <w:t>Guidelines for data collection and updates</w:t>
      </w:r>
    </w:p>
    <w:p w14:paraId="0AA85A28" w14:textId="77777777" w:rsidR="001C789B" w:rsidRDefault="001C789B" w:rsidP="00447404">
      <w:pPr>
        <w:pStyle w:val="ListParagraph"/>
        <w:spacing w:before="240"/>
        <w:jc w:val="both"/>
      </w:pPr>
    </w:p>
    <w:p w14:paraId="2BB2E928" w14:textId="63F47BC5" w:rsidR="00D94F2F" w:rsidRPr="003340E2" w:rsidRDefault="00265686" w:rsidP="00447404">
      <w:pPr>
        <w:pStyle w:val="ListParagraph"/>
        <w:numPr>
          <w:ilvl w:val="0"/>
          <w:numId w:val="3"/>
        </w:numPr>
        <w:spacing w:before="240"/>
        <w:jc w:val="both"/>
        <w:rPr>
          <w:b/>
          <w:bCs/>
        </w:rPr>
      </w:pPr>
      <w:r w:rsidRPr="003340E2">
        <w:rPr>
          <w:b/>
          <w:bCs/>
        </w:rPr>
        <w:t>Methodology</w:t>
      </w:r>
    </w:p>
    <w:p w14:paraId="22273E63" w14:textId="6E762DF5" w:rsidR="0005626E" w:rsidRDefault="0005626E" w:rsidP="00447404">
      <w:pPr>
        <w:jc w:val="both"/>
      </w:pPr>
      <w:r>
        <w:t xml:space="preserve">The methodology of this study will be a desk review, modeling exercise and policy discussions with government officials, UNDP and other UN and partner agencies and key stakeholders. This TOR remains flexible to </w:t>
      </w:r>
      <w:r w:rsidR="00C67144">
        <w:t xml:space="preserve">a </w:t>
      </w:r>
      <w:r>
        <w:t>team/contractor/firm</w:t>
      </w:r>
      <w:r w:rsidR="00C67144">
        <w:t xml:space="preserve"> (consultants)</w:t>
      </w:r>
      <w:r>
        <w:t xml:space="preserve"> to propose an appropriate methodology under the circumstances of its purpose, </w:t>
      </w:r>
      <w:r w:rsidR="00C1098B">
        <w:t>objectives,</w:t>
      </w:r>
      <w:r>
        <w:t xml:space="preserve"> and deliverables. With this consideration, the TOR proposes forming </w:t>
      </w:r>
      <w:r w:rsidR="00AF0548">
        <w:t xml:space="preserve">a </w:t>
      </w:r>
      <w:r>
        <w:t xml:space="preserve">Technical Working Group (TWG). The technical working group will comprise of UNDP-GNB senior economist and cluster heads in addition to technical members representing UNDP RBA, GNB ministry of planning and other relevant ministries, World </w:t>
      </w:r>
      <w:proofErr w:type="gramStart"/>
      <w:r>
        <w:t>Bank</w:t>
      </w:r>
      <w:proofErr w:type="gramEnd"/>
      <w:r>
        <w:t xml:space="preserve"> and key development partners. </w:t>
      </w:r>
      <w:r w:rsidR="00AF0548">
        <w:t xml:space="preserve">The </w:t>
      </w:r>
      <w:r>
        <w:t xml:space="preserve">TWG will guide the work of the </w:t>
      </w:r>
      <w:r w:rsidR="00353F1F">
        <w:t>consultants</w:t>
      </w:r>
      <w:r w:rsidRPr="00894C3B">
        <w:t xml:space="preserve"> </w:t>
      </w:r>
      <w:r>
        <w:t xml:space="preserve">conducting the study, approve </w:t>
      </w:r>
      <w:r w:rsidR="00430EA0">
        <w:t xml:space="preserve">its </w:t>
      </w:r>
      <w:r>
        <w:t xml:space="preserve">proposed methodology, provide quality assurance, ensure timely delivery and review </w:t>
      </w:r>
      <w:r w:rsidR="00430EA0">
        <w:t xml:space="preserve">of </w:t>
      </w:r>
      <w:r>
        <w:t>deliverables.</w:t>
      </w:r>
      <w:r w:rsidR="006F3139" w:rsidRPr="006F3139">
        <w:t xml:space="preserve"> UNDP will prepare </w:t>
      </w:r>
      <w:r w:rsidR="006F3139">
        <w:t xml:space="preserve">a list of </w:t>
      </w:r>
      <w:r w:rsidR="006F3139" w:rsidRPr="006F3139">
        <w:t>detailed tasks for the consultants, to be attached to these TORs.</w:t>
      </w:r>
    </w:p>
    <w:p w14:paraId="798736EC" w14:textId="5DF60373" w:rsidR="00D94F2F" w:rsidRPr="003340E2" w:rsidRDefault="00EC6976" w:rsidP="00447404">
      <w:pPr>
        <w:pStyle w:val="ListParagraph"/>
        <w:numPr>
          <w:ilvl w:val="0"/>
          <w:numId w:val="3"/>
        </w:numPr>
        <w:spacing w:before="240"/>
        <w:jc w:val="both"/>
        <w:rPr>
          <w:b/>
          <w:bCs/>
        </w:rPr>
      </w:pPr>
      <w:r w:rsidRPr="003340E2">
        <w:rPr>
          <w:b/>
          <w:bCs/>
        </w:rPr>
        <w:t>Timeframe</w:t>
      </w:r>
    </w:p>
    <w:p w14:paraId="049BC390" w14:textId="4B4CF73E" w:rsidR="0005626E" w:rsidRDefault="0005626E" w:rsidP="00447404">
      <w:pPr>
        <w:jc w:val="both"/>
      </w:pPr>
      <w:r>
        <w:t xml:space="preserve">The study is estimated to take </w:t>
      </w:r>
      <w:r w:rsidR="003340E2">
        <w:t>6</w:t>
      </w:r>
      <w:r>
        <w:t xml:space="preserve"> </w:t>
      </w:r>
      <w:r w:rsidR="00D94F2F">
        <w:t>months</w:t>
      </w:r>
      <w:r>
        <w:t xml:space="preserve"> to complete from the date of singing contracts. The procurement process will take additional </w:t>
      </w:r>
      <w:r w:rsidR="003340E2">
        <w:t>2</w:t>
      </w:r>
      <w:r>
        <w:t xml:space="preserve"> month</w:t>
      </w:r>
      <w:r w:rsidR="00C27475">
        <w:t>s</w:t>
      </w:r>
      <w:r>
        <w:t xml:space="preserve"> to complete.</w:t>
      </w:r>
      <w:r w:rsidR="00D94F2F">
        <w:t xml:space="preserve"> The estimated required working days are </w:t>
      </w:r>
      <w:r w:rsidR="003340E2">
        <w:t>90</w:t>
      </w:r>
      <w:r w:rsidR="00D94F2F">
        <w:t xml:space="preserve"> working days</w:t>
      </w:r>
      <w:r w:rsidR="003340E2">
        <w:t>.</w:t>
      </w:r>
    </w:p>
    <w:p w14:paraId="304A86F0" w14:textId="1CF3D787" w:rsidR="00D94F2F" w:rsidRPr="003340E2" w:rsidRDefault="00EC6976" w:rsidP="00447404">
      <w:pPr>
        <w:pStyle w:val="ListParagraph"/>
        <w:numPr>
          <w:ilvl w:val="0"/>
          <w:numId w:val="3"/>
        </w:numPr>
        <w:spacing w:before="240"/>
        <w:jc w:val="both"/>
        <w:rPr>
          <w:b/>
          <w:bCs/>
        </w:rPr>
      </w:pPr>
      <w:r w:rsidRPr="003340E2">
        <w:rPr>
          <w:b/>
          <w:bCs/>
        </w:rPr>
        <w:t>Coordination</w:t>
      </w:r>
    </w:p>
    <w:p w14:paraId="36330E95" w14:textId="62B5D518" w:rsidR="00D94F2F" w:rsidRDefault="0005626E" w:rsidP="00447404">
      <w:pPr>
        <w:jc w:val="both"/>
      </w:pPr>
      <w:r>
        <w:t>The consultants will work closely with a focal point/coordinator designated by UNDP-GBN under the supervision and guidance of the TWG</w:t>
      </w:r>
      <w:r w:rsidR="00C27475">
        <w:t>.</w:t>
      </w:r>
    </w:p>
    <w:p w14:paraId="2221B9A9" w14:textId="58EE981B" w:rsidR="00D94F2F" w:rsidRPr="003340E2" w:rsidRDefault="00EC6976" w:rsidP="00447404">
      <w:pPr>
        <w:pStyle w:val="ListParagraph"/>
        <w:numPr>
          <w:ilvl w:val="0"/>
          <w:numId w:val="3"/>
        </w:numPr>
        <w:spacing w:before="240"/>
        <w:jc w:val="both"/>
        <w:rPr>
          <w:b/>
          <w:bCs/>
        </w:rPr>
      </w:pPr>
      <w:r w:rsidRPr="003340E2">
        <w:rPr>
          <w:b/>
          <w:bCs/>
        </w:rPr>
        <w:t>Reporting requirements</w:t>
      </w:r>
    </w:p>
    <w:p w14:paraId="61BA0B43" w14:textId="61C45BA4" w:rsidR="00D94F2F" w:rsidRDefault="0005626E" w:rsidP="00447404">
      <w:pPr>
        <w:jc w:val="both"/>
      </w:pPr>
      <w:r>
        <w:lastRenderedPageBreak/>
        <w:t xml:space="preserve">The </w:t>
      </w:r>
      <w:r w:rsidR="00BC2B40">
        <w:t xml:space="preserve">consultants </w:t>
      </w:r>
      <w:r>
        <w:t>conducting the study will report to UNDP-GBN RR/DRR</w:t>
      </w:r>
      <w:r w:rsidR="006F3139">
        <w:t>.P</w:t>
      </w:r>
      <w:r>
        <w:t xml:space="preserve"> and the TWG. The </w:t>
      </w:r>
      <w:r w:rsidR="00E74218">
        <w:t xml:space="preserve">consultants </w:t>
      </w:r>
      <w:r>
        <w:t>will prepare a workplan with clear milestones</w:t>
      </w:r>
      <w:r w:rsidR="001C75E2">
        <w:t xml:space="preserve"> and </w:t>
      </w:r>
      <w:r>
        <w:t>will present periodic progress reports/presentations on milestones and deliverables to the TWG.</w:t>
      </w:r>
    </w:p>
    <w:p w14:paraId="579DF86A" w14:textId="2BE813DF" w:rsidR="00D94F2F" w:rsidRPr="003340E2" w:rsidRDefault="00EC6976" w:rsidP="00447404">
      <w:pPr>
        <w:pStyle w:val="ListParagraph"/>
        <w:numPr>
          <w:ilvl w:val="0"/>
          <w:numId w:val="3"/>
        </w:numPr>
        <w:spacing w:before="240"/>
        <w:jc w:val="both"/>
        <w:rPr>
          <w:b/>
          <w:bCs/>
        </w:rPr>
      </w:pPr>
      <w:r w:rsidRPr="003340E2">
        <w:rPr>
          <w:b/>
          <w:bCs/>
        </w:rPr>
        <w:t>Logistic and technical support</w:t>
      </w:r>
    </w:p>
    <w:p w14:paraId="26C97B35" w14:textId="6B125B82" w:rsidR="00D94F2F" w:rsidRDefault="0005626E" w:rsidP="00447404">
      <w:pPr>
        <w:jc w:val="both"/>
      </w:pPr>
      <w:r>
        <w:t xml:space="preserve">UNDP-GBN </w:t>
      </w:r>
      <w:r w:rsidR="00D94F2F">
        <w:t xml:space="preserve">focal point/coordinator </w:t>
      </w:r>
      <w:r>
        <w:t xml:space="preserve">will </w:t>
      </w:r>
      <w:r w:rsidR="00D94F2F">
        <w:t>be responsible for providing coordination and logistics support. The TWG will be responsible for providing technical support and guidance.</w:t>
      </w:r>
    </w:p>
    <w:p w14:paraId="2B78642C" w14:textId="10110BB2" w:rsidR="00D94F2F" w:rsidRPr="003340E2" w:rsidRDefault="0005626E" w:rsidP="00447404">
      <w:pPr>
        <w:pStyle w:val="ListParagraph"/>
        <w:numPr>
          <w:ilvl w:val="0"/>
          <w:numId w:val="3"/>
        </w:numPr>
        <w:spacing w:before="240"/>
        <w:jc w:val="both"/>
        <w:rPr>
          <w:b/>
          <w:bCs/>
        </w:rPr>
      </w:pPr>
      <w:r w:rsidRPr="003340E2">
        <w:rPr>
          <w:b/>
          <w:bCs/>
        </w:rPr>
        <w:t>Estimated Budge</w:t>
      </w:r>
      <w:r w:rsidR="00D94F2F" w:rsidRPr="003340E2">
        <w:rPr>
          <w:b/>
          <w:bCs/>
        </w:rPr>
        <w:t>t</w:t>
      </w:r>
    </w:p>
    <w:p w14:paraId="55FCD399" w14:textId="24E5C85C" w:rsidR="00D94F2F" w:rsidRDefault="00D94F2F" w:rsidP="00447404">
      <w:pPr>
        <w:jc w:val="both"/>
      </w:pPr>
      <w:r>
        <w:t>The estimated budget for this exercise is $1</w:t>
      </w:r>
      <w:r w:rsidR="003340E2">
        <w:t>7</w:t>
      </w:r>
      <w:r>
        <w:t>0,000.00 USD</w:t>
      </w:r>
    </w:p>
    <w:p w14:paraId="71BF13F2" w14:textId="1E59D200" w:rsidR="00D94F2F" w:rsidRPr="003340E2" w:rsidRDefault="00D94F2F" w:rsidP="00447404">
      <w:pPr>
        <w:pStyle w:val="ListParagraph"/>
        <w:numPr>
          <w:ilvl w:val="0"/>
          <w:numId w:val="3"/>
        </w:numPr>
        <w:spacing w:before="240"/>
        <w:jc w:val="both"/>
        <w:rPr>
          <w:b/>
          <w:bCs/>
        </w:rPr>
      </w:pPr>
      <w:r w:rsidRPr="003340E2">
        <w:rPr>
          <w:b/>
          <w:bCs/>
        </w:rPr>
        <w:t>Human resources</w:t>
      </w:r>
    </w:p>
    <w:p w14:paraId="1ECE5729" w14:textId="42876514" w:rsidR="003340E2" w:rsidRDefault="00D94F2F" w:rsidP="00447404">
      <w:pPr>
        <w:jc w:val="both"/>
      </w:pPr>
      <w:r>
        <w:t>A team of consultants that consists of a team leader, analyst/</w:t>
      </w:r>
      <w:r w:rsidR="00D7134A">
        <w:t>econometrician</w:t>
      </w:r>
      <w:r>
        <w:t xml:space="preserve"> and modelling expert will be recruited. </w:t>
      </w:r>
      <w:r w:rsidR="006F3139" w:rsidRPr="006F3139">
        <w:t>Preferably, the consultants should belong to a consulting firm / bureau of study.</w:t>
      </w:r>
    </w:p>
    <w:p w14:paraId="311A9D51" w14:textId="6B04A4EA" w:rsidR="003340E2" w:rsidRPr="003340E2" w:rsidRDefault="0005626E" w:rsidP="00447404">
      <w:pPr>
        <w:pStyle w:val="ListParagraph"/>
        <w:numPr>
          <w:ilvl w:val="0"/>
          <w:numId w:val="3"/>
        </w:numPr>
        <w:spacing w:before="240"/>
        <w:jc w:val="both"/>
        <w:rPr>
          <w:b/>
          <w:bCs/>
        </w:rPr>
      </w:pPr>
      <w:r w:rsidRPr="003340E2">
        <w:rPr>
          <w:b/>
          <w:bCs/>
        </w:rPr>
        <w:t>Workplan</w:t>
      </w:r>
    </w:p>
    <w:p w14:paraId="7D25CBCA" w14:textId="44FC8ED9" w:rsidR="003340E2" w:rsidRDefault="00D94F2F" w:rsidP="00447404">
      <w:pPr>
        <w:jc w:val="both"/>
      </w:pPr>
      <w:r>
        <w:t xml:space="preserve">The </w:t>
      </w:r>
      <w:r w:rsidR="007638A2">
        <w:t xml:space="preserve">consultants </w:t>
      </w:r>
      <w:r>
        <w:t>will submit a workplan with clear milestones and deadlines for deliverables after two weeks from the signing the contract</w:t>
      </w:r>
    </w:p>
    <w:p w14:paraId="33BDD384" w14:textId="2E07FB72" w:rsidR="0005626E" w:rsidRPr="003340E2" w:rsidRDefault="0005626E" w:rsidP="00447404">
      <w:pPr>
        <w:pStyle w:val="ListParagraph"/>
        <w:numPr>
          <w:ilvl w:val="0"/>
          <w:numId w:val="3"/>
        </w:numPr>
        <w:spacing w:before="240"/>
        <w:jc w:val="both"/>
        <w:rPr>
          <w:b/>
          <w:bCs/>
        </w:rPr>
      </w:pPr>
      <w:r w:rsidRPr="003340E2">
        <w:rPr>
          <w:b/>
          <w:bCs/>
        </w:rPr>
        <w:t>Submission of proposals</w:t>
      </w:r>
    </w:p>
    <w:p w14:paraId="371E2B59" w14:textId="5E47932A" w:rsidR="003340E2" w:rsidRDefault="00D94F2F" w:rsidP="00447404">
      <w:pPr>
        <w:jc w:val="both"/>
      </w:pPr>
      <w:r>
        <w:t xml:space="preserve">Consultants must submit </w:t>
      </w:r>
      <w:r w:rsidR="003340E2">
        <w:t>updated CV</w:t>
      </w:r>
      <w:r w:rsidR="00C27475">
        <w:t>s</w:t>
      </w:r>
      <w:r w:rsidR="003340E2">
        <w:t>, technical</w:t>
      </w:r>
      <w:r>
        <w:t xml:space="preserve"> and financial proposals </w:t>
      </w:r>
      <w:r w:rsidR="003340E2">
        <w:t xml:space="preserve">by the </w:t>
      </w:r>
      <w:r w:rsidR="00C1098B">
        <w:t>advertised</w:t>
      </w:r>
      <w:r w:rsidR="003340E2">
        <w:t xml:space="preserve"> deadline in accordance with UNDP procurement guidelines </w:t>
      </w:r>
      <w:r>
        <w:t>to be considered for this assignment. The proposal must include a tentative workplan covering all deliverables in the T</w:t>
      </w:r>
      <w:r w:rsidR="00C27475">
        <w:t>O</w:t>
      </w:r>
      <w:r>
        <w:t>Rs</w:t>
      </w:r>
      <w:r w:rsidR="003340E2">
        <w:t>.</w:t>
      </w:r>
    </w:p>
    <w:p w14:paraId="69995132" w14:textId="7DEE85BD" w:rsidR="003340E2" w:rsidRPr="003340E2" w:rsidRDefault="0005626E" w:rsidP="00447404">
      <w:pPr>
        <w:pStyle w:val="ListParagraph"/>
        <w:numPr>
          <w:ilvl w:val="0"/>
          <w:numId w:val="3"/>
        </w:numPr>
        <w:spacing w:before="240"/>
        <w:jc w:val="both"/>
        <w:rPr>
          <w:b/>
          <w:bCs/>
        </w:rPr>
      </w:pPr>
      <w:r w:rsidRPr="003340E2">
        <w:rPr>
          <w:b/>
          <w:bCs/>
        </w:rPr>
        <w:t>Evaluation criteria</w:t>
      </w:r>
    </w:p>
    <w:p w14:paraId="04A7EFBF" w14:textId="7AE5A891" w:rsidR="003340E2" w:rsidRDefault="003340E2" w:rsidP="00447404">
      <w:pPr>
        <w:jc w:val="both"/>
      </w:pPr>
      <w:r>
        <w:t>The evaluation criteria will follow UNDP procurement guidelines in evaluating the technical and financial proposal</w:t>
      </w:r>
      <w:r w:rsidR="00C27475">
        <w:t>s</w:t>
      </w:r>
      <w:r>
        <w:t xml:space="preserve"> as well as the credentials of applicants.</w:t>
      </w:r>
    </w:p>
    <w:p w14:paraId="058B5050" w14:textId="77777777" w:rsidR="00894C3B" w:rsidRDefault="00894C3B" w:rsidP="00447404">
      <w:pPr>
        <w:jc w:val="both"/>
      </w:pPr>
    </w:p>
    <w:sectPr w:rsidR="00894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67A9" w14:textId="77777777" w:rsidR="009246A1" w:rsidRDefault="009246A1" w:rsidP="00D064B5">
      <w:pPr>
        <w:spacing w:after="0" w:line="240" w:lineRule="auto"/>
      </w:pPr>
      <w:r>
        <w:separator/>
      </w:r>
    </w:p>
  </w:endnote>
  <w:endnote w:type="continuationSeparator" w:id="0">
    <w:p w14:paraId="7C1B4387" w14:textId="77777777" w:rsidR="009246A1" w:rsidRDefault="009246A1" w:rsidP="00D0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6803" w14:textId="77777777" w:rsidR="009246A1" w:rsidRDefault="009246A1" w:rsidP="00D064B5">
      <w:pPr>
        <w:spacing w:after="0" w:line="240" w:lineRule="auto"/>
      </w:pPr>
      <w:r>
        <w:separator/>
      </w:r>
    </w:p>
  </w:footnote>
  <w:footnote w:type="continuationSeparator" w:id="0">
    <w:p w14:paraId="79B6725D" w14:textId="77777777" w:rsidR="009246A1" w:rsidRDefault="009246A1" w:rsidP="00D064B5">
      <w:pPr>
        <w:spacing w:after="0" w:line="240" w:lineRule="auto"/>
      </w:pPr>
      <w:r>
        <w:continuationSeparator/>
      </w:r>
    </w:p>
  </w:footnote>
  <w:footnote w:id="1">
    <w:p w14:paraId="17EB3A1E" w14:textId="77777777" w:rsidR="00D064B5" w:rsidRPr="009E5D90" w:rsidRDefault="00D064B5" w:rsidP="00D064B5">
      <w:pPr>
        <w:pStyle w:val="FootnoteText"/>
      </w:pPr>
      <w:r>
        <w:rPr>
          <w:rStyle w:val="FootnoteReference"/>
        </w:rPr>
        <w:footnoteRef/>
      </w:r>
      <w:r w:rsidRPr="009E5D90">
        <w:t xml:space="preserve"> World Bank 2018, website </w:t>
      </w:r>
      <w:hyperlink r:id="rId1" w:history="1">
        <w:r w:rsidRPr="009E5D90">
          <w:rPr>
            <w:rStyle w:val="Hyperlink"/>
          </w:rPr>
          <w:t>https://www.worldbank.org/en/country/guineabissau/overview</w:t>
        </w:r>
      </w:hyperlink>
      <w:r w:rsidRPr="009E5D90">
        <w:t xml:space="preserve"> </w:t>
      </w:r>
    </w:p>
  </w:footnote>
  <w:footnote w:id="2">
    <w:p w14:paraId="36B17B40" w14:textId="62B0C095" w:rsidR="001C2FAF" w:rsidRDefault="001C2FAF">
      <w:pPr>
        <w:pStyle w:val="FootnoteText"/>
      </w:pPr>
      <w:r>
        <w:rPr>
          <w:rStyle w:val="FootnoteReference"/>
        </w:rPr>
        <w:footnoteRef/>
      </w:r>
      <w:r>
        <w:t xml:space="preserve"> </w:t>
      </w:r>
      <w:r w:rsidRPr="001C2FAF">
        <w:t>https://sdgintegration.undp.org/accelerating-development-progressduring-covid-19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246"/>
    <w:multiLevelType w:val="hybridMultilevel"/>
    <w:tmpl w:val="B6C05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75093F"/>
    <w:multiLevelType w:val="hybridMultilevel"/>
    <w:tmpl w:val="952092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3A25"/>
    <w:multiLevelType w:val="multilevel"/>
    <w:tmpl w:val="8EB8AA80"/>
    <w:lvl w:ilvl="0">
      <w:start w:val="1"/>
      <w:numFmt w:val="decimal"/>
      <w:lvlText w:val="%1."/>
      <w:lvlJc w:val="left"/>
      <w:pPr>
        <w:ind w:left="720" w:hanging="360"/>
      </w:pPr>
      <w:rPr>
        <w:rFonts w:hint="default"/>
        <w:b/>
        <w:bCs/>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EE67B04"/>
    <w:multiLevelType w:val="hybridMultilevel"/>
    <w:tmpl w:val="482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C6BA8"/>
    <w:multiLevelType w:val="hybridMultilevel"/>
    <w:tmpl w:val="952092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75EB7"/>
    <w:multiLevelType w:val="hybridMultilevel"/>
    <w:tmpl w:val="C282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0376F"/>
    <w:multiLevelType w:val="hybridMultilevel"/>
    <w:tmpl w:val="952092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80C1A"/>
    <w:multiLevelType w:val="hybridMultilevel"/>
    <w:tmpl w:val="0862F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D2B57"/>
    <w:multiLevelType w:val="hybridMultilevel"/>
    <w:tmpl w:val="EDAEAE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0A790A"/>
    <w:multiLevelType w:val="hybridMultilevel"/>
    <w:tmpl w:val="8D463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7"/>
  </w:num>
  <w:num w:numId="6">
    <w:abstractNumId w:val="4"/>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jcztjQ0NLKwtDBV0lEKTi0uzszPAykwrAUALleyLiwAAAA="/>
  </w:docVars>
  <w:rsids>
    <w:rsidRoot w:val="00E923F9"/>
    <w:rsid w:val="00031EA9"/>
    <w:rsid w:val="00047CF8"/>
    <w:rsid w:val="0005626E"/>
    <w:rsid w:val="000D487E"/>
    <w:rsid w:val="000F7BE2"/>
    <w:rsid w:val="0010016E"/>
    <w:rsid w:val="00136F1F"/>
    <w:rsid w:val="00145A14"/>
    <w:rsid w:val="00154310"/>
    <w:rsid w:val="001B3C3E"/>
    <w:rsid w:val="001C2FAF"/>
    <w:rsid w:val="001C75E2"/>
    <w:rsid w:val="001C789B"/>
    <w:rsid w:val="00204437"/>
    <w:rsid w:val="00220814"/>
    <w:rsid w:val="00265686"/>
    <w:rsid w:val="002C3C29"/>
    <w:rsid w:val="002D71C5"/>
    <w:rsid w:val="002F4EE3"/>
    <w:rsid w:val="00325FDF"/>
    <w:rsid w:val="003340E2"/>
    <w:rsid w:val="0035103F"/>
    <w:rsid w:val="00353F1F"/>
    <w:rsid w:val="003C3115"/>
    <w:rsid w:val="003F7723"/>
    <w:rsid w:val="00410811"/>
    <w:rsid w:val="00430EA0"/>
    <w:rsid w:val="00441958"/>
    <w:rsid w:val="00447404"/>
    <w:rsid w:val="004518CE"/>
    <w:rsid w:val="0045455E"/>
    <w:rsid w:val="00461EEB"/>
    <w:rsid w:val="0046253A"/>
    <w:rsid w:val="004A0C92"/>
    <w:rsid w:val="004B68EE"/>
    <w:rsid w:val="00656F48"/>
    <w:rsid w:val="00661693"/>
    <w:rsid w:val="006B107C"/>
    <w:rsid w:val="006E397C"/>
    <w:rsid w:val="006F3139"/>
    <w:rsid w:val="00731F46"/>
    <w:rsid w:val="007638A2"/>
    <w:rsid w:val="007700ED"/>
    <w:rsid w:val="007D26C6"/>
    <w:rsid w:val="0080528D"/>
    <w:rsid w:val="00893633"/>
    <w:rsid w:val="00894C3B"/>
    <w:rsid w:val="008B6166"/>
    <w:rsid w:val="008D382F"/>
    <w:rsid w:val="008D4A2A"/>
    <w:rsid w:val="008F2977"/>
    <w:rsid w:val="009246A1"/>
    <w:rsid w:val="0095414E"/>
    <w:rsid w:val="009D118E"/>
    <w:rsid w:val="009F4B78"/>
    <w:rsid w:val="00A64DA9"/>
    <w:rsid w:val="00A82A1D"/>
    <w:rsid w:val="00A86E37"/>
    <w:rsid w:val="00AE5D38"/>
    <w:rsid w:val="00AF0548"/>
    <w:rsid w:val="00AF171D"/>
    <w:rsid w:val="00AF5791"/>
    <w:rsid w:val="00B507C0"/>
    <w:rsid w:val="00BC2B40"/>
    <w:rsid w:val="00BE69D1"/>
    <w:rsid w:val="00C1098B"/>
    <w:rsid w:val="00C26937"/>
    <w:rsid w:val="00C27475"/>
    <w:rsid w:val="00C414FD"/>
    <w:rsid w:val="00C67144"/>
    <w:rsid w:val="00CB5856"/>
    <w:rsid w:val="00CD1382"/>
    <w:rsid w:val="00D064B5"/>
    <w:rsid w:val="00D7134A"/>
    <w:rsid w:val="00D83F9F"/>
    <w:rsid w:val="00D94F2F"/>
    <w:rsid w:val="00E74218"/>
    <w:rsid w:val="00E923F9"/>
    <w:rsid w:val="00EB644F"/>
    <w:rsid w:val="00EC6976"/>
    <w:rsid w:val="00ED4109"/>
    <w:rsid w:val="00F16FEE"/>
    <w:rsid w:val="00F30818"/>
    <w:rsid w:val="00F37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0D28"/>
  <w15:chartTrackingRefBased/>
  <w15:docId w15:val="{80E46D40-2E8B-49B9-B113-DFAC0D69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DF"/>
    <w:pPr>
      <w:ind w:left="720"/>
      <w:contextualSpacing/>
    </w:pPr>
  </w:style>
  <w:style w:type="paragraph" w:styleId="BalloonText">
    <w:name w:val="Balloon Text"/>
    <w:basedOn w:val="Normal"/>
    <w:link w:val="BalloonTextChar"/>
    <w:uiPriority w:val="99"/>
    <w:semiHidden/>
    <w:unhideWhenUsed/>
    <w:rsid w:val="00D06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B5"/>
    <w:rPr>
      <w:rFonts w:ascii="Segoe UI" w:hAnsi="Segoe UI" w:cs="Segoe UI"/>
      <w:sz w:val="18"/>
      <w:szCs w:val="18"/>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
    <w:basedOn w:val="Normal"/>
    <w:link w:val="FootnoteTextChar"/>
    <w:uiPriority w:val="99"/>
    <w:unhideWhenUsed/>
    <w:qFormat/>
    <w:rsid w:val="00D064B5"/>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D064B5"/>
    <w:rPr>
      <w:sz w:val="20"/>
      <w:szCs w:val="20"/>
    </w:rPr>
  </w:style>
  <w:style w:type="character" w:styleId="FootnoteReference">
    <w:name w:val="footnote reference"/>
    <w:basedOn w:val="DefaultParagraphFont"/>
    <w:uiPriority w:val="99"/>
    <w:unhideWhenUsed/>
    <w:rsid w:val="00D064B5"/>
    <w:rPr>
      <w:vertAlign w:val="superscript"/>
    </w:rPr>
  </w:style>
  <w:style w:type="character" w:styleId="CommentReference">
    <w:name w:val="annotation reference"/>
    <w:basedOn w:val="DefaultParagraphFont"/>
    <w:uiPriority w:val="99"/>
    <w:semiHidden/>
    <w:unhideWhenUsed/>
    <w:rsid w:val="00D064B5"/>
    <w:rPr>
      <w:sz w:val="16"/>
      <w:szCs w:val="16"/>
    </w:rPr>
  </w:style>
  <w:style w:type="paragraph" w:styleId="CommentText">
    <w:name w:val="annotation text"/>
    <w:basedOn w:val="Normal"/>
    <w:link w:val="CommentTextChar"/>
    <w:uiPriority w:val="99"/>
    <w:unhideWhenUsed/>
    <w:rsid w:val="00D064B5"/>
    <w:pPr>
      <w:spacing w:line="240" w:lineRule="auto"/>
    </w:pPr>
    <w:rPr>
      <w:sz w:val="20"/>
      <w:szCs w:val="20"/>
    </w:rPr>
  </w:style>
  <w:style w:type="character" w:customStyle="1" w:styleId="CommentTextChar">
    <w:name w:val="Comment Text Char"/>
    <w:basedOn w:val="DefaultParagraphFont"/>
    <w:link w:val="CommentText"/>
    <w:uiPriority w:val="99"/>
    <w:rsid w:val="00D064B5"/>
    <w:rPr>
      <w:sz w:val="20"/>
      <w:szCs w:val="20"/>
    </w:rPr>
  </w:style>
  <w:style w:type="character" w:styleId="Hyperlink">
    <w:name w:val="Hyperlink"/>
    <w:basedOn w:val="DefaultParagraphFont"/>
    <w:uiPriority w:val="99"/>
    <w:unhideWhenUsed/>
    <w:rsid w:val="00D064B5"/>
    <w:rPr>
      <w:color w:val="0000FF"/>
      <w:u w:val="single"/>
    </w:rPr>
  </w:style>
  <w:style w:type="character" w:styleId="FollowedHyperlink">
    <w:name w:val="FollowedHyperlink"/>
    <w:basedOn w:val="DefaultParagraphFont"/>
    <w:uiPriority w:val="99"/>
    <w:semiHidden/>
    <w:unhideWhenUsed/>
    <w:rsid w:val="008F297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F1F"/>
    <w:rPr>
      <w:b/>
      <w:bCs/>
    </w:rPr>
  </w:style>
  <w:style w:type="character" w:customStyle="1" w:styleId="CommentSubjectChar">
    <w:name w:val="Comment Subject Char"/>
    <w:basedOn w:val="CommentTextChar"/>
    <w:link w:val="CommentSubject"/>
    <w:uiPriority w:val="99"/>
    <w:semiHidden/>
    <w:rsid w:val="00136F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46423">
      <w:bodyDiv w:val="1"/>
      <w:marLeft w:val="0"/>
      <w:marRight w:val="0"/>
      <w:marTop w:val="0"/>
      <w:marBottom w:val="0"/>
      <w:divBdr>
        <w:top w:val="none" w:sz="0" w:space="0" w:color="auto"/>
        <w:left w:val="none" w:sz="0" w:space="0" w:color="auto"/>
        <w:bottom w:val="none" w:sz="0" w:space="0" w:color="auto"/>
        <w:right w:val="none" w:sz="0" w:space="0" w:color="auto"/>
      </w:divBdr>
    </w:div>
    <w:div w:id="8177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country/guineabissau/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295046D0E5443A5B2495D56970E2C" ma:contentTypeVersion="13" ma:contentTypeDescription="Create a new document." ma:contentTypeScope="" ma:versionID="7c01d1db5a0092547b36e68d9fd010ba">
  <xsd:schema xmlns:xsd="http://www.w3.org/2001/XMLSchema" xmlns:xs="http://www.w3.org/2001/XMLSchema" xmlns:p="http://schemas.microsoft.com/office/2006/metadata/properties" xmlns:ns3="ae492d28-c0a3-4078-8d4a-b511df80edfa" xmlns:ns4="f7711113-547d-49fe-b7cc-f3b1886ef48e" targetNamespace="http://schemas.microsoft.com/office/2006/metadata/properties" ma:root="true" ma:fieldsID="e02b59f5bc562869ef5ab01929bea670" ns3:_="" ns4:_="">
    <xsd:import namespace="ae492d28-c0a3-4078-8d4a-b511df80edfa"/>
    <xsd:import namespace="f7711113-547d-49fe-b7cc-f3b1886ef4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92d28-c0a3-4078-8d4a-b511df80e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11113-547d-49fe-b7cc-f3b1886ef4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3712-34FE-4C7C-930A-314B5CCEE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F3CDA-F81D-461D-ABFA-0202F7C4D49F}">
  <ds:schemaRefs>
    <ds:schemaRef ds:uri="http://schemas.microsoft.com/sharepoint/v3/contenttype/forms"/>
  </ds:schemaRefs>
</ds:datastoreItem>
</file>

<file path=customXml/itemProps3.xml><?xml version="1.0" encoding="utf-8"?>
<ds:datastoreItem xmlns:ds="http://schemas.openxmlformats.org/officeDocument/2006/customXml" ds:itemID="{9596911A-98FF-47A7-A50A-889A60F8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92d28-c0a3-4078-8d4a-b511df80edfa"/>
    <ds:schemaRef ds:uri="f7711113-547d-49fe-b7cc-f3b1886e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757ED-E032-46C9-96B9-B61A880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Moustafa</dc:creator>
  <cp:keywords/>
  <dc:description/>
  <cp:lastModifiedBy>Ahmed Moustafa</cp:lastModifiedBy>
  <cp:revision>5</cp:revision>
  <dcterms:created xsi:type="dcterms:W3CDTF">2020-12-09T14:42:00Z</dcterms:created>
  <dcterms:modified xsi:type="dcterms:W3CDTF">2020-12-09T15:05:00Z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0x010100D2F295046D0E5443A5B2495D56970E2C</vt:lpwstr>
  </property>
</Properties>
</file>