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sz w:val="24"/>
          <w:szCs w:val="24"/>
        </w:rPr>
      </w:pPr>
      <w:bookmarkStart w:id="0" w:name="_GoBack"/>
      <w:bookmarkEnd w:id="0"/>
      <w:r w:rsidRPr="00CA196C">
        <w:rPr>
          <w:rFonts w:ascii="Bookman Old Style" w:hAnsi="Bookman Old Style" w:cs="Times New Roman"/>
          <w:b/>
          <w:sz w:val="24"/>
          <w:szCs w:val="24"/>
        </w:rPr>
        <w:t>République du Burundi</w:t>
      </w:r>
    </w:p>
    <w:p w:rsidR="00DE3A23"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rPr>
          <w:rFonts w:ascii="Bookman Old Style" w:hAnsi="Bookman Old Style" w:cs="Times New Roman"/>
          <w:b/>
          <w:sz w:val="24"/>
          <w:szCs w:val="24"/>
        </w:rPr>
      </w:pPr>
      <w:r w:rsidRPr="00CA196C">
        <w:rPr>
          <w:rFonts w:ascii="Bookman Old Style" w:hAnsi="Bookman Old Style" w:cs="Times New Roman"/>
          <w:noProof/>
          <w:sz w:val="24"/>
          <w:szCs w:val="24"/>
          <w:lang w:eastAsia="fr-FR"/>
        </w:rPr>
        <w:drawing>
          <wp:inline distT="0" distB="0" distL="0" distR="0">
            <wp:extent cx="1619250" cy="1066800"/>
            <wp:effectExtent l="0" t="0" r="0" b="0"/>
            <wp:docPr id="1" name="Image 3" descr="C:\Users\aillmer\Documents\BCO key documents\Logos\Burundi flag.gif"/>
            <wp:cNvGraphicFramePr/>
            <a:graphic xmlns:a="http://schemas.openxmlformats.org/drawingml/2006/main">
              <a:graphicData uri="http://schemas.openxmlformats.org/drawingml/2006/picture">
                <pic:pic xmlns:pic="http://schemas.openxmlformats.org/drawingml/2006/picture">
                  <pic:nvPicPr>
                    <pic:cNvPr id="9" name="Picture 6" descr="C:\Users\aillmer\Documents\BCO key documents\Logos\Burundi flag.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1770" cy="1068461"/>
                    </a:xfrm>
                    <a:prstGeom prst="rect">
                      <a:avLst/>
                    </a:prstGeom>
                    <a:noFill/>
                    <a:ln>
                      <a:noFill/>
                    </a:ln>
                    <a:extLst/>
                  </pic:spPr>
                </pic:pic>
              </a:graphicData>
            </a:graphic>
          </wp:inline>
        </w:drawing>
      </w:r>
      <w:r w:rsidRPr="00CA196C">
        <w:rPr>
          <w:rFonts w:ascii="Bookman Old Style" w:hAnsi="Bookman Old Style" w:cs="Times New Roman"/>
          <w:b/>
          <w:sz w:val="24"/>
          <w:szCs w:val="24"/>
        </w:rPr>
        <w:t xml:space="preserve">                                                            </w:t>
      </w:r>
      <w:r w:rsidR="001775A7" w:rsidRPr="00CA196C">
        <w:rPr>
          <w:rFonts w:ascii="Bookman Old Style" w:hAnsi="Bookman Old Style" w:cs="Times New Roman"/>
          <w:noProof/>
          <w:sz w:val="24"/>
          <w:szCs w:val="24"/>
          <w:lang w:eastAsia="fr-FR"/>
        </w:rPr>
        <w:drawing>
          <wp:inline distT="0" distB="0" distL="0" distR="0">
            <wp:extent cx="1285336" cy="1066444"/>
            <wp:effectExtent l="0" t="0" r="0" b="635"/>
            <wp:docPr id="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1294370" cy="1073939"/>
                    </a:xfrm>
                    <a:prstGeom prst="rect">
                      <a:avLst/>
                    </a:prstGeom>
                    <a:noFill/>
                  </pic:spPr>
                </pic:pic>
              </a:graphicData>
            </a:graphic>
          </wp:inline>
        </w:drawing>
      </w:r>
      <w:r w:rsidRPr="00CA196C">
        <w:rPr>
          <w:rFonts w:ascii="Bookman Old Style" w:hAnsi="Bookman Old Style" w:cs="Times New Roman"/>
          <w:b/>
          <w:sz w:val="24"/>
          <w:szCs w:val="24"/>
        </w:rPr>
        <w:t xml:space="preserve">                      </w:t>
      </w:r>
    </w:p>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sz w:val="24"/>
          <w:szCs w:val="24"/>
        </w:rPr>
      </w:pPr>
    </w:p>
    <w:p w:rsidR="00DE3A23"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sz w:val="24"/>
          <w:szCs w:val="24"/>
        </w:rPr>
      </w:pPr>
      <w:r w:rsidRPr="00CA196C">
        <w:rPr>
          <w:rFonts w:ascii="Bookman Old Style" w:hAnsi="Bookman Old Style" w:cs="Times New Roman"/>
          <w:b/>
          <w:sz w:val="24"/>
          <w:szCs w:val="24"/>
        </w:rPr>
        <w:t xml:space="preserve">   </w:t>
      </w:r>
      <w:r w:rsidR="00DE3A23" w:rsidRPr="00CA196C">
        <w:rPr>
          <w:rFonts w:ascii="Bookman Old Style" w:hAnsi="Bookman Old Style" w:cs="Times New Roman"/>
          <w:b/>
          <w:i/>
          <w:sz w:val="24"/>
          <w:szCs w:val="24"/>
        </w:rPr>
        <w:t>PLAN NATIONAL DE DEVELOPPEMENT DU BURUNDI</w:t>
      </w:r>
    </w:p>
    <w:p w:rsidR="00CF6F1D" w:rsidRPr="00CA196C" w:rsidRDefault="00CF6F1D" w:rsidP="00F92029">
      <w:pPr>
        <w:pBdr>
          <w:top w:val="triple" w:sz="4" w:space="6" w:color="auto"/>
          <w:left w:val="triple" w:sz="4" w:space="4" w:color="auto"/>
          <w:bottom w:val="triple" w:sz="4" w:space="0" w:color="auto"/>
          <w:right w:val="triple" w:sz="4" w:space="4" w:color="auto"/>
        </w:pBdr>
        <w:spacing w:before="160" w:after="120" w:line="240" w:lineRule="auto"/>
        <w:rPr>
          <w:rFonts w:ascii="Bookman Old Style" w:hAnsi="Bookman Old Style" w:cs="Times New Roman"/>
          <w:b/>
          <w:i/>
          <w:sz w:val="24"/>
          <w:szCs w:val="24"/>
        </w:rPr>
      </w:pPr>
      <w:r w:rsidRPr="00CA196C">
        <w:rPr>
          <w:rFonts w:ascii="Bookman Old Style" w:hAnsi="Bookman Old Style" w:cs="Times New Roman"/>
          <w:b/>
          <w:i/>
          <w:sz w:val="24"/>
          <w:szCs w:val="24"/>
        </w:rPr>
        <w:t xml:space="preserve">                                                    </w:t>
      </w:r>
      <w:r w:rsidR="00DE3A23" w:rsidRPr="00CA196C">
        <w:rPr>
          <w:rFonts w:ascii="Bookman Old Style" w:hAnsi="Bookman Old Style" w:cs="Times New Roman"/>
          <w:b/>
          <w:i/>
          <w:sz w:val="24"/>
          <w:szCs w:val="24"/>
        </w:rPr>
        <w:t>PND BURUNDI 2018-2027</w:t>
      </w: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rPr>
          <w:rFonts w:ascii="Bookman Old Style" w:hAnsi="Bookman Old Style" w:cs="Times New Roman"/>
          <w:b/>
          <w:i/>
          <w:sz w:val="24"/>
          <w:szCs w:val="24"/>
        </w:rPr>
      </w:pP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i/>
          <w:sz w:val="24"/>
          <w:szCs w:val="24"/>
        </w:rPr>
      </w:pPr>
      <w:r w:rsidRPr="00CA196C">
        <w:rPr>
          <w:rFonts w:ascii="Bookman Old Style" w:hAnsi="Bookman Old Style" w:cs="Times New Roman"/>
          <w:b/>
          <w:i/>
          <w:noProof/>
          <w:sz w:val="24"/>
          <w:szCs w:val="24"/>
          <w:lang w:eastAsia="fr-FR"/>
        </w:rPr>
        <w:drawing>
          <wp:inline distT="0" distB="0" distL="0" distR="0">
            <wp:extent cx="5959365" cy="2459421"/>
            <wp:effectExtent l="57150" t="19050" r="80010" b="36195"/>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i/>
          <w:sz w:val="24"/>
          <w:szCs w:val="24"/>
        </w:rPr>
      </w:pPr>
    </w:p>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center"/>
        <w:rPr>
          <w:rFonts w:ascii="Bookman Old Style" w:hAnsi="Bookman Old Style" w:cs="Times New Roman"/>
          <w:b/>
          <w:sz w:val="24"/>
          <w:szCs w:val="24"/>
        </w:rPr>
      </w:pPr>
    </w:p>
    <w:p w:rsidR="00DE3A23" w:rsidRPr="00CA196C" w:rsidRDefault="00DE3A23" w:rsidP="00F92029">
      <w:pPr>
        <w:pBdr>
          <w:top w:val="triple" w:sz="4" w:space="6" w:color="auto"/>
          <w:left w:val="triple" w:sz="4" w:space="4" w:color="auto"/>
          <w:bottom w:val="triple" w:sz="4" w:space="0" w:color="auto"/>
          <w:right w:val="triple" w:sz="4" w:space="4" w:color="auto"/>
        </w:pBdr>
        <w:spacing w:before="160" w:after="120" w:line="240" w:lineRule="auto"/>
        <w:jc w:val="both"/>
        <w:rPr>
          <w:rFonts w:ascii="Bookman Old Style" w:hAnsi="Bookman Old Style" w:cs="Times New Roman"/>
          <w:b/>
          <w:sz w:val="24"/>
          <w:szCs w:val="24"/>
        </w:rPr>
      </w:pP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both"/>
        <w:rPr>
          <w:rFonts w:ascii="Bookman Old Style" w:hAnsi="Bookman Old Style" w:cs="Times New Roman"/>
          <w:b/>
          <w:sz w:val="24"/>
          <w:szCs w:val="24"/>
        </w:rPr>
      </w:pP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both"/>
        <w:rPr>
          <w:rFonts w:ascii="Bookman Old Style" w:hAnsi="Bookman Old Style" w:cs="Times New Roman"/>
          <w:b/>
          <w:sz w:val="24"/>
          <w:szCs w:val="24"/>
        </w:rPr>
      </w:pPr>
    </w:p>
    <w:p w:rsidR="002A0678" w:rsidRPr="00CA196C" w:rsidRDefault="002A0678" w:rsidP="00F92029">
      <w:pPr>
        <w:pBdr>
          <w:top w:val="triple" w:sz="4" w:space="6" w:color="auto"/>
          <w:left w:val="triple" w:sz="4" w:space="4" w:color="auto"/>
          <w:bottom w:val="triple" w:sz="4" w:space="0" w:color="auto"/>
          <w:right w:val="triple" w:sz="4" w:space="4" w:color="auto"/>
        </w:pBdr>
        <w:spacing w:before="160" w:after="120" w:line="240" w:lineRule="auto"/>
        <w:jc w:val="both"/>
        <w:rPr>
          <w:rFonts w:ascii="Bookman Old Style" w:hAnsi="Bookman Old Style" w:cs="Times New Roman"/>
          <w:b/>
          <w:sz w:val="24"/>
          <w:szCs w:val="24"/>
        </w:rPr>
      </w:pPr>
    </w:p>
    <w:p w:rsidR="00DE3A23" w:rsidRPr="00CA196C" w:rsidRDefault="004322A9" w:rsidP="002A0678">
      <w:pPr>
        <w:pBdr>
          <w:top w:val="triple" w:sz="4" w:space="6" w:color="auto"/>
          <w:left w:val="triple" w:sz="4" w:space="4" w:color="auto"/>
          <w:bottom w:val="triple" w:sz="4" w:space="4" w:color="auto"/>
          <w:right w:val="triple" w:sz="4" w:space="4" w:color="auto"/>
        </w:pBdr>
        <w:spacing w:before="160" w:after="120" w:line="240" w:lineRule="auto"/>
        <w:jc w:val="center"/>
        <w:rPr>
          <w:rFonts w:ascii="Bookman Old Style" w:hAnsi="Bookman Old Style" w:cs="Times New Roman"/>
          <w:b/>
          <w:sz w:val="24"/>
          <w:szCs w:val="24"/>
        </w:rPr>
      </w:pPr>
      <w:r>
        <w:rPr>
          <w:rFonts w:ascii="Bookman Old Style" w:hAnsi="Bookman Old Style" w:cs="Times New Roman"/>
          <w:b/>
          <w:sz w:val="24"/>
          <w:szCs w:val="24"/>
        </w:rPr>
        <w:t>Avril</w:t>
      </w:r>
      <w:r w:rsidR="00DE3A23" w:rsidRPr="00CA196C">
        <w:rPr>
          <w:rFonts w:ascii="Bookman Old Style" w:hAnsi="Bookman Old Style" w:cs="Times New Roman"/>
          <w:b/>
          <w:sz w:val="24"/>
          <w:szCs w:val="24"/>
        </w:rPr>
        <w:t xml:space="preserve"> 201</w:t>
      </w:r>
      <w:r w:rsidR="005858D7" w:rsidRPr="00CA196C">
        <w:rPr>
          <w:rFonts w:ascii="Bookman Old Style" w:hAnsi="Bookman Old Style" w:cs="Times New Roman"/>
          <w:b/>
          <w:sz w:val="24"/>
          <w:szCs w:val="24"/>
        </w:rPr>
        <w:t>8</w:t>
      </w:r>
    </w:p>
    <w:p w:rsidR="00DE3A23" w:rsidRPr="00CA196C" w:rsidRDefault="00DE3A23" w:rsidP="00E92676">
      <w:pPr>
        <w:spacing w:before="160" w:after="120" w:line="240" w:lineRule="auto"/>
        <w:jc w:val="both"/>
        <w:rPr>
          <w:rFonts w:ascii="Bookman Old Style" w:hAnsi="Bookman Old Style" w:cs="Times New Roman"/>
          <w:b/>
          <w:bCs/>
          <w:sz w:val="24"/>
          <w:szCs w:val="24"/>
        </w:rPr>
        <w:sectPr w:rsidR="00DE3A23" w:rsidRPr="00CA196C" w:rsidSect="00DE3A23">
          <w:headerReference w:type="default" r:id="rId15"/>
          <w:footerReference w:type="default" r:id="rId16"/>
          <w:footerReference w:type="first" r:id="rId17"/>
          <w:pgSz w:w="11906" w:h="16838"/>
          <w:pgMar w:top="1418" w:right="1134" w:bottom="1418" w:left="1134" w:header="709" w:footer="709" w:gutter="0"/>
          <w:pgNumType w:fmt="lowerRoman" w:start="1"/>
          <w:cols w:space="708"/>
          <w:titlePg/>
          <w:docGrid w:linePitch="360"/>
        </w:sectPr>
      </w:pPr>
    </w:p>
    <w:p w:rsidR="00D55429" w:rsidRPr="00CA196C" w:rsidRDefault="00DE3A23" w:rsidP="005D43FC">
      <w:pPr>
        <w:pStyle w:val="Titre1"/>
      </w:pPr>
      <w:bookmarkStart w:id="1" w:name="_Toc500667050"/>
      <w:bookmarkStart w:id="2" w:name="_Toc511081517"/>
      <w:r w:rsidRPr="00CA196C">
        <w:lastRenderedPageBreak/>
        <w:t>PREFACE</w:t>
      </w:r>
      <w:bookmarkEnd w:id="1"/>
      <w:bookmarkEnd w:id="2"/>
      <w:r w:rsidRPr="00CA196C">
        <w:t xml:space="preserve"> </w:t>
      </w:r>
    </w:p>
    <w:p w:rsidR="000A17D2" w:rsidRPr="000A17D2"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 xml:space="preserve">Dans le monde complexe du développement durable, chaque Etat-Nation fait face, de manière permanente,  à l’enjeu de cerner les priorités de son peuple et de définir souverainement la trajectoire de sa croissance dans le but de réconcilier, au mieux, amélioration de la productivité agricole, modernisation des infrastructures de base, création d’emplois pour la jeunesse et préservation des écosystèmes. Dans le point de mire de cet enjeu, le Burundi a besoin d’entreprendre de vastes chantiers devant aboutir aux changements d’approches et de pratiques fondées sur la transformation mentale et structurelle des acteurs de notre économie circulaire en pleine mutation. </w:t>
      </w:r>
    </w:p>
    <w:p w:rsidR="000A17D2" w:rsidRPr="000A17D2"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 xml:space="preserve">Nous lançons le Plan National de Développement pour la période 2018-2027 (PND Burundi 2018-2027) au moment où le Burundi connaît des avancées dans les domaines politique, économique et social. En effet, l’avènement et le renforcement de la démocratie ont permis la réinstauration du climat de confiance et la culture du patriotisme au sein de la population. De commun accord avec le peuple burundais, le Gouvernement vient de se doter de ce nouvel instrument de planification stratégique pour conduire le Burundi vers l’émergence à l’horizon 2027. </w:t>
      </w:r>
    </w:p>
    <w:p w:rsidR="000A17D2" w:rsidRPr="000A17D2"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 xml:space="preserve">L’objectif à long terme de ce Plan vise à rétablir les équilibres structurels de l’économie burundaise à travers: (i) le renforcement de l’autosuffisance alimentaire et la diversification des exportations à travers la promotion des entreprises agro-industrielles, commerciales et extractives; (ii) le développement du secteur de l’énergie et du secteur de l’artisanat, (iii) la construction et l’entretien des infrastructures d’appui à la croissance ; (iv) l’amélioration de l’accès aux services sociaux de base notamment l’éducation, la santé et la protection sociale, (v) la poursuite des programmes de protection de l’environnement et de l’aménagement du territoire ; (vi) l’amélioration de la gouvernance financière et la décentralisation (vii) le développement du partenariat régional et international.  </w:t>
      </w:r>
    </w:p>
    <w:p w:rsidR="000A17D2" w:rsidRPr="000A17D2"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Bien que le Burundi ait connu des réalisations appréciables en termes d’investissements financiers, beaucoup d’actions restent à entreprendre particulièrement pour le développement du monde rural. Pour ce faire, au cours de la mise en œuvre du PND Burundi 2018-2027, le monde rural constituera le focus de nos actions sur les dix prochaines années avec plus de 60% des ressources programmées. De ce fait, l’homme dans sa dignité, devra rester au centre du développement en tant qu’acteur et bénéficiaire.</w:t>
      </w:r>
    </w:p>
    <w:p w:rsidR="000A17D2" w:rsidRPr="000A17D2" w:rsidRDefault="000A17D2" w:rsidP="000A17D2">
      <w:pPr>
        <w:spacing w:after="120" w:line="240" w:lineRule="auto"/>
        <w:jc w:val="both"/>
        <w:rPr>
          <w:rFonts w:ascii="Bookman Old Style" w:eastAsia="Times New Roman" w:hAnsi="Bookman Old Style" w:cs="Times New Roman"/>
        </w:rPr>
      </w:pPr>
      <w:r w:rsidRPr="000A17D2">
        <w:rPr>
          <w:rFonts w:ascii="Bookman Old Style" w:eastAsia="Times New Roman" w:hAnsi="Bookman Old Style" w:cs="Times New Roman"/>
        </w:rPr>
        <w:t xml:space="preserve"> Nous en appelons donc, à toute la population, à s’approprier de ce PND Burundi 2018-2027 et à se mobiliser comme un seul homme, pour faire preuve une fois de plus, de sa force de travail afin de parvenir à son bien-être économique et social tant souhaité. Nous en appelons aussi, à nos partenaires au développement, à accroître leur assistance dans le respect des principes démocratiques et de souveraineté du peuple Burundais. Nous restons convaincus qu’en conjuguant les efforts des uns et des autres, nous saurons réaliser nos ambitions décennales véhiculées dans ce présent instrument d’orientation stratégique. </w:t>
      </w:r>
    </w:p>
    <w:p w:rsidR="000A17D2" w:rsidRPr="000A17D2" w:rsidRDefault="000A17D2" w:rsidP="000A17D2">
      <w:pPr>
        <w:spacing w:after="120" w:line="240" w:lineRule="auto"/>
        <w:jc w:val="both"/>
        <w:rPr>
          <w:rFonts w:ascii="Bookman Old Style" w:eastAsia="Times New Roman" w:hAnsi="Bookman Old Style" w:cs="Times New Roman"/>
        </w:rPr>
      </w:pPr>
    </w:p>
    <w:p w:rsidR="000A17D2" w:rsidRPr="000A17D2" w:rsidRDefault="000A17D2" w:rsidP="000A17D2">
      <w:pPr>
        <w:spacing w:after="120" w:line="240" w:lineRule="auto"/>
        <w:jc w:val="both"/>
        <w:rPr>
          <w:rFonts w:ascii="Bookman Old Style" w:eastAsia="Times New Roman" w:hAnsi="Bookman Old Style" w:cs="Times New Roman"/>
        </w:rPr>
      </w:pPr>
    </w:p>
    <w:p w:rsidR="000A17D2" w:rsidRPr="000A17D2" w:rsidRDefault="000A17D2" w:rsidP="000A17D2">
      <w:pPr>
        <w:spacing w:after="0" w:line="240" w:lineRule="auto"/>
        <w:jc w:val="both"/>
        <w:rPr>
          <w:rFonts w:ascii="Bookman Old Style" w:eastAsia="Times New Roman" w:hAnsi="Bookman Old Style" w:cs="Times New Roman"/>
          <w:sz w:val="24"/>
          <w:szCs w:val="24"/>
        </w:rPr>
      </w:pPr>
      <w:r w:rsidRPr="000A17D2">
        <w:rPr>
          <w:rFonts w:ascii="Bookman Old Style" w:eastAsia="Times New Roman" w:hAnsi="Bookman Old Style" w:cs="Times New Roman"/>
          <w:sz w:val="24"/>
          <w:szCs w:val="24"/>
        </w:rPr>
        <w:t>LE PRESIDENT DE LA REPUBLIQUE</w:t>
      </w:r>
    </w:p>
    <w:p w:rsidR="000A17D2" w:rsidRPr="000A17D2" w:rsidRDefault="000A17D2" w:rsidP="000A17D2">
      <w:pPr>
        <w:spacing w:after="0" w:line="240" w:lineRule="auto"/>
        <w:jc w:val="both"/>
        <w:rPr>
          <w:rFonts w:ascii="Bookman Old Style" w:eastAsia="Times New Roman" w:hAnsi="Bookman Old Style" w:cs="Times New Roman"/>
          <w:sz w:val="24"/>
          <w:szCs w:val="24"/>
        </w:rPr>
      </w:pPr>
    </w:p>
    <w:p w:rsidR="000A17D2" w:rsidRPr="000A17D2" w:rsidRDefault="000A17D2" w:rsidP="000A17D2">
      <w:pPr>
        <w:spacing w:after="0" w:line="240" w:lineRule="auto"/>
        <w:jc w:val="both"/>
        <w:rPr>
          <w:rFonts w:ascii="Bookman Old Style" w:eastAsia="Times New Roman" w:hAnsi="Bookman Old Style" w:cs="Times New Roman"/>
          <w:sz w:val="24"/>
          <w:szCs w:val="24"/>
        </w:rPr>
      </w:pPr>
      <w:r w:rsidRPr="000A17D2">
        <w:rPr>
          <w:rFonts w:ascii="Bookman Old Style" w:eastAsia="Times New Roman" w:hAnsi="Bookman Old Style" w:cs="Times New Roman"/>
          <w:sz w:val="24"/>
          <w:szCs w:val="24"/>
        </w:rPr>
        <w:t>Pierre NKURUNZIZA</w:t>
      </w:r>
    </w:p>
    <w:p w:rsidR="00DE3A23" w:rsidRPr="00CA196C" w:rsidRDefault="00DE3A23" w:rsidP="00E92676">
      <w:pPr>
        <w:spacing w:line="240" w:lineRule="auto"/>
        <w:jc w:val="both"/>
        <w:rPr>
          <w:rFonts w:ascii="Bookman Old Style" w:eastAsia="Times New Roman" w:hAnsi="Bookman Old Style" w:cs="Times New Roman"/>
          <w:sz w:val="24"/>
          <w:szCs w:val="24"/>
        </w:rPr>
      </w:pPr>
    </w:p>
    <w:p w:rsidR="00DE3A23" w:rsidRDefault="00DE3A23" w:rsidP="00E03A6B">
      <w:pPr>
        <w:keepNext/>
        <w:keepLines/>
        <w:spacing w:after="0" w:line="240" w:lineRule="auto"/>
        <w:jc w:val="both"/>
        <w:outlineLvl w:val="0"/>
        <w:rPr>
          <w:rFonts w:ascii="Bookman Old Style" w:eastAsiaTheme="majorEastAsia" w:hAnsi="Bookman Old Style" w:cs="Times New Roman"/>
          <w:b/>
          <w:bCs/>
          <w:color w:val="00B050"/>
          <w:sz w:val="28"/>
          <w:szCs w:val="28"/>
        </w:rPr>
      </w:pPr>
      <w:bookmarkStart w:id="3" w:name="_Toc511081518"/>
      <w:r w:rsidRPr="00511D62">
        <w:rPr>
          <w:rFonts w:ascii="Bookman Old Style" w:eastAsiaTheme="majorEastAsia" w:hAnsi="Bookman Old Style" w:cs="Times New Roman"/>
          <w:b/>
          <w:bCs/>
          <w:color w:val="00B050"/>
          <w:sz w:val="28"/>
          <w:szCs w:val="28"/>
        </w:rPr>
        <w:lastRenderedPageBreak/>
        <w:t>TABLE DES MATIERES</w:t>
      </w:r>
      <w:bookmarkEnd w:id="3"/>
    </w:p>
    <w:sdt>
      <w:sdtPr>
        <w:rPr>
          <w:rFonts w:asciiTheme="minorHAnsi" w:eastAsiaTheme="minorHAnsi" w:hAnsiTheme="minorHAnsi" w:cstheme="minorBidi"/>
          <w:b w:val="0"/>
          <w:bCs w:val="0"/>
          <w:color w:val="auto"/>
          <w:sz w:val="22"/>
          <w:szCs w:val="22"/>
          <w:lang w:val="fr-FR" w:eastAsia="en-US"/>
        </w:rPr>
        <w:id w:val="1061520390"/>
        <w:docPartObj>
          <w:docPartGallery w:val="Table of Contents"/>
          <w:docPartUnique/>
        </w:docPartObj>
      </w:sdtPr>
      <w:sdtEndPr>
        <w:rPr>
          <w:noProof/>
        </w:rPr>
      </w:sdtEndPr>
      <w:sdtContent>
        <w:p w:rsidR="008D2E93" w:rsidRDefault="008D2E93">
          <w:pPr>
            <w:pStyle w:val="En-ttedetabledesmatires"/>
          </w:pPr>
        </w:p>
        <w:p w:rsidR="008D2E93" w:rsidRPr="008D2E93" w:rsidRDefault="00E93486" w:rsidP="00E03A6B">
          <w:pPr>
            <w:pStyle w:val="TM1"/>
            <w:ind w:left="0" w:firstLine="0"/>
            <w:rPr>
              <w:rFonts w:eastAsiaTheme="minorEastAsia"/>
              <w:b w:val="0"/>
              <w:bCs w:val="0"/>
              <w:caps w:val="0"/>
              <w:noProof/>
              <w:sz w:val="22"/>
              <w:szCs w:val="22"/>
              <w:lang w:eastAsia="fr-FR"/>
            </w:rPr>
          </w:pPr>
          <w:r>
            <w:fldChar w:fldCharType="begin"/>
          </w:r>
          <w:r w:rsidR="008D2E93">
            <w:instrText xml:space="preserve"> TOC \o "1-3" \h \z \u </w:instrText>
          </w:r>
          <w:r>
            <w:fldChar w:fldCharType="separate"/>
          </w:r>
          <w:hyperlink w:anchor="_Toc511081517" w:history="1">
            <w:r w:rsidR="008D2E93" w:rsidRPr="008D2E93">
              <w:rPr>
                <w:rStyle w:val="Lienhypertexte"/>
                <w:b w:val="0"/>
                <w:noProof/>
              </w:rPr>
              <w:t>PREFACE</w:t>
            </w:r>
            <w:r w:rsidR="008D2E93" w:rsidRPr="008D2E93">
              <w:rPr>
                <w:b w:val="0"/>
                <w:noProof/>
                <w:webHidden/>
              </w:rPr>
              <w:tab/>
            </w:r>
            <w:r w:rsidRPr="008D2E93">
              <w:rPr>
                <w:b w:val="0"/>
                <w:noProof/>
                <w:webHidden/>
              </w:rPr>
              <w:fldChar w:fldCharType="begin"/>
            </w:r>
            <w:r w:rsidR="008D2E93" w:rsidRPr="008D2E93">
              <w:rPr>
                <w:b w:val="0"/>
                <w:noProof/>
                <w:webHidden/>
              </w:rPr>
              <w:instrText xml:space="preserve"> PAGEREF _Toc511081517 \h </w:instrText>
            </w:r>
            <w:r w:rsidRPr="008D2E93">
              <w:rPr>
                <w:b w:val="0"/>
                <w:noProof/>
                <w:webHidden/>
              </w:rPr>
            </w:r>
            <w:r w:rsidRPr="008D2E93">
              <w:rPr>
                <w:b w:val="0"/>
                <w:noProof/>
                <w:webHidden/>
              </w:rPr>
              <w:fldChar w:fldCharType="separate"/>
            </w:r>
            <w:r w:rsidR="0092398B">
              <w:rPr>
                <w:b w:val="0"/>
                <w:noProof/>
                <w:webHidden/>
              </w:rPr>
              <w:t>ii</w:t>
            </w:r>
            <w:r w:rsidRPr="008D2E93">
              <w:rPr>
                <w:b w:val="0"/>
                <w:noProof/>
                <w:webHidden/>
              </w:rPr>
              <w:fldChar w:fldCharType="end"/>
            </w:r>
          </w:hyperlink>
        </w:p>
        <w:p w:rsidR="008D2E93" w:rsidRPr="008D2E93" w:rsidRDefault="00B05688">
          <w:pPr>
            <w:pStyle w:val="TM1"/>
            <w:rPr>
              <w:rFonts w:eastAsiaTheme="minorEastAsia"/>
              <w:b w:val="0"/>
              <w:bCs w:val="0"/>
              <w:caps w:val="0"/>
              <w:noProof/>
              <w:sz w:val="22"/>
              <w:szCs w:val="22"/>
              <w:lang w:eastAsia="fr-FR"/>
            </w:rPr>
          </w:pPr>
          <w:hyperlink w:anchor="_Toc511081518" w:history="1">
            <w:r w:rsidR="008D2E93" w:rsidRPr="008D2E93">
              <w:rPr>
                <w:rStyle w:val="Lienhypertexte"/>
                <w:rFonts w:ascii="Bookman Old Style" w:eastAsiaTheme="majorEastAsia" w:hAnsi="Bookman Old Style" w:cs="Times New Roman"/>
                <w:b w:val="0"/>
                <w:noProof/>
              </w:rPr>
              <w:t>TABLE DES MATIERES</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_Toc511081518 \h </w:instrText>
            </w:r>
            <w:r w:rsidR="00E93486" w:rsidRPr="008D2E93">
              <w:rPr>
                <w:b w:val="0"/>
                <w:noProof/>
                <w:webHidden/>
              </w:rPr>
            </w:r>
            <w:r w:rsidR="00E93486" w:rsidRPr="008D2E93">
              <w:rPr>
                <w:b w:val="0"/>
                <w:noProof/>
                <w:webHidden/>
              </w:rPr>
              <w:fldChar w:fldCharType="separate"/>
            </w:r>
            <w:r w:rsidR="0092398B">
              <w:rPr>
                <w:b w:val="0"/>
                <w:noProof/>
                <w:webHidden/>
              </w:rPr>
              <w:t>iii</w:t>
            </w:r>
            <w:r w:rsidR="00E93486" w:rsidRPr="008D2E93">
              <w:rPr>
                <w:b w:val="0"/>
                <w:noProof/>
                <w:webHidden/>
              </w:rPr>
              <w:fldChar w:fldCharType="end"/>
            </w:r>
          </w:hyperlink>
        </w:p>
        <w:p w:rsidR="008D2E93" w:rsidRPr="008D2E93" w:rsidRDefault="00B05688">
          <w:pPr>
            <w:pStyle w:val="TM1"/>
            <w:rPr>
              <w:rFonts w:eastAsiaTheme="minorEastAsia"/>
              <w:b w:val="0"/>
              <w:bCs w:val="0"/>
              <w:caps w:val="0"/>
              <w:noProof/>
              <w:sz w:val="22"/>
              <w:szCs w:val="22"/>
              <w:lang w:eastAsia="fr-FR"/>
            </w:rPr>
          </w:pPr>
          <w:hyperlink w:anchor="_Toc511081519" w:history="1">
            <w:r w:rsidR="008D2E93" w:rsidRPr="008D2E93">
              <w:rPr>
                <w:rStyle w:val="Lienhypertexte"/>
                <w:b w:val="0"/>
                <w:noProof/>
              </w:rPr>
              <w:t>LISTE DES TABLEAUX</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_Toc511081519 \h </w:instrText>
            </w:r>
            <w:r w:rsidR="00E93486" w:rsidRPr="008D2E93">
              <w:rPr>
                <w:b w:val="0"/>
                <w:noProof/>
                <w:webHidden/>
              </w:rPr>
            </w:r>
            <w:r w:rsidR="00E93486" w:rsidRPr="008D2E93">
              <w:rPr>
                <w:b w:val="0"/>
                <w:noProof/>
                <w:webHidden/>
              </w:rPr>
              <w:fldChar w:fldCharType="separate"/>
            </w:r>
            <w:r w:rsidR="0092398B">
              <w:rPr>
                <w:b w:val="0"/>
                <w:noProof/>
                <w:webHidden/>
              </w:rPr>
              <w:t>v</w:t>
            </w:r>
            <w:r w:rsidR="00E93486" w:rsidRPr="008D2E93">
              <w:rPr>
                <w:b w:val="0"/>
                <w:noProof/>
                <w:webHidden/>
              </w:rPr>
              <w:fldChar w:fldCharType="end"/>
            </w:r>
          </w:hyperlink>
        </w:p>
        <w:p w:rsidR="008D2E93" w:rsidRPr="008D2E93" w:rsidRDefault="00B05688">
          <w:pPr>
            <w:pStyle w:val="TM1"/>
            <w:rPr>
              <w:rFonts w:eastAsiaTheme="minorEastAsia"/>
              <w:b w:val="0"/>
              <w:bCs w:val="0"/>
              <w:caps w:val="0"/>
              <w:noProof/>
              <w:sz w:val="22"/>
              <w:szCs w:val="22"/>
              <w:lang w:eastAsia="fr-FR"/>
            </w:rPr>
          </w:pPr>
          <w:hyperlink w:anchor="_Toc511081520" w:history="1">
            <w:r w:rsidR="008D2E93" w:rsidRPr="008D2E93">
              <w:rPr>
                <w:rStyle w:val="Lienhypertexte"/>
                <w:b w:val="0"/>
                <w:noProof/>
              </w:rPr>
              <w:t>LISTE DES GRAPHIQUES</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_Toc511081520 \h </w:instrText>
            </w:r>
            <w:r w:rsidR="00E93486" w:rsidRPr="008D2E93">
              <w:rPr>
                <w:b w:val="0"/>
                <w:noProof/>
                <w:webHidden/>
              </w:rPr>
            </w:r>
            <w:r w:rsidR="00E93486" w:rsidRPr="008D2E93">
              <w:rPr>
                <w:b w:val="0"/>
                <w:noProof/>
                <w:webHidden/>
              </w:rPr>
              <w:fldChar w:fldCharType="separate"/>
            </w:r>
            <w:r w:rsidR="0092398B">
              <w:rPr>
                <w:b w:val="0"/>
                <w:noProof/>
                <w:webHidden/>
              </w:rPr>
              <w:t>vi</w:t>
            </w:r>
            <w:r w:rsidR="00E93486" w:rsidRPr="008D2E93">
              <w:rPr>
                <w:b w:val="0"/>
                <w:noProof/>
                <w:webHidden/>
              </w:rPr>
              <w:fldChar w:fldCharType="end"/>
            </w:r>
          </w:hyperlink>
        </w:p>
        <w:p w:rsidR="008D2E93" w:rsidRPr="008D2E93" w:rsidRDefault="00B05688">
          <w:pPr>
            <w:pStyle w:val="TM1"/>
            <w:rPr>
              <w:rFonts w:eastAsiaTheme="minorEastAsia"/>
              <w:b w:val="0"/>
              <w:bCs w:val="0"/>
              <w:caps w:val="0"/>
              <w:noProof/>
              <w:sz w:val="22"/>
              <w:szCs w:val="22"/>
              <w:lang w:eastAsia="fr-FR"/>
            </w:rPr>
          </w:pPr>
          <w:hyperlink w:anchor="_Toc511081521" w:history="1">
            <w:r w:rsidR="008D2E93" w:rsidRPr="008D2E93">
              <w:rPr>
                <w:rStyle w:val="Lienhypertexte"/>
                <w:b w:val="0"/>
                <w:noProof/>
              </w:rPr>
              <w:t>ACRONYMES ET ABREVIATIONS</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_Toc511081521 \h </w:instrText>
            </w:r>
            <w:r w:rsidR="00E93486" w:rsidRPr="008D2E93">
              <w:rPr>
                <w:b w:val="0"/>
                <w:noProof/>
                <w:webHidden/>
              </w:rPr>
            </w:r>
            <w:r w:rsidR="00E93486" w:rsidRPr="008D2E93">
              <w:rPr>
                <w:b w:val="0"/>
                <w:noProof/>
                <w:webHidden/>
              </w:rPr>
              <w:fldChar w:fldCharType="separate"/>
            </w:r>
            <w:r w:rsidR="0092398B">
              <w:rPr>
                <w:b w:val="0"/>
                <w:noProof/>
                <w:webHidden/>
              </w:rPr>
              <w:t>vii</w:t>
            </w:r>
            <w:r w:rsidR="00E93486" w:rsidRPr="008D2E93">
              <w:rPr>
                <w:b w:val="0"/>
                <w:noProof/>
                <w:webHidden/>
              </w:rPr>
              <w:fldChar w:fldCharType="end"/>
            </w:r>
          </w:hyperlink>
        </w:p>
        <w:p w:rsidR="008D2E93" w:rsidRPr="008D2E93" w:rsidRDefault="00B05688">
          <w:pPr>
            <w:pStyle w:val="TM1"/>
            <w:rPr>
              <w:rFonts w:eastAsiaTheme="minorEastAsia"/>
              <w:b w:val="0"/>
              <w:bCs w:val="0"/>
              <w:caps w:val="0"/>
              <w:noProof/>
              <w:sz w:val="22"/>
              <w:szCs w:val="22"/>
              <w:lang w:eastAsia="fr-FR"/>
            </w:rPr>
          </w:pPr>
          <w:hyperlink w:anchor="_Toc511081522" w:history="1">
            <w:r w:rsidR="008D2E93" w:rsidRPr="008D2E93">
              <w:rPr>
                <w:rStyle w:val="Lienhypertexte"/>
                <w:b w:val="0"/>
                <w:noProof/>
              </w:rPr>
              <w:t>RESUME EXECUTIF</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_Toc511081522 \h </w:instrText>
            </w:r>
            <w:r w:rsidR="00E93486" w:rsidRPr="008D2E93">
              <w:rPr>
                <w:b w:val="0"/>
                <w:noProof/>
                <w:webHidden/>
              </w:rPr>
            </w:r>
            <w:r w:rsidR="00E93486" w:rsidRPr="008D2E93">
              <w:rPr>
                <w:b w:val="0"/>
                <w:noProof/>
                <w:webHidden/>
              </w:rPr>
              <w:fldChar w:fldCharType="separate"/>
            </w:r>
            <w:r w:rsidR="0092398B">
              <w:rPr>
                <w:b w:val="0"/>
                <w:noProof/>
                <w:webHidden/>
              </w:rPr>
              <w:t>1</w:t>
            </w:r>
            <w:r w:rsidR="00E93486" w:rsidRPr="008D2E93">
              <w:rPr>
                <w:b w:val="0"/>
                <w:noProof/>
                <w:webHidden/>
              </w:rPr>
              <w:fldChar w:fldCharType="end"/>
            </w:r>
          </w:hyperlink>
        </w:p>
        <w:p w:rsidR="008D2E93" w:rsidRPr="008D2E93" w:rsidRDefault="00B05688">
          <w:pPr>
            <w:pStyle w:val="TM1"/>
            <w:rPr>
              <w:rFonts w:eastAsiaTheme="minorEastAsia"/>
              <w:b w:val="0"/>
              <w:bCs w:val="0"/>
              <w:caps w:val="0"/>
              <w:noProof/>
              <w:sz w:val="22"/>
              <w:szCs w:val="22"/>
              <w:lang w:eastAsia="fr-FR"/>
            </w:rPr>
          </w:pPr>
          <w:hyperlink w:anchor="_Toc511081523" w:history="1">
            <w:r w:rsidR="008D2E93" w:rsidRPr="008D2E93">
              <w:rPr>
                <w:rStyle w:val="Lienhypertexte"/>
                <w:b w:val="0"/>
                <w:noProof/>
              </w:rPr>
              <w:t>I. INTRODUCTION</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_Toc511081523 \h </w:instrText>
            </w:r>
            <w:r w:rsidR="00E93486" w:rsidRPr="008D2E93">
              <w:rPr>
                <w:b w:val="0"/>
                <w:noProof/>
                <w:webHidden/>
              </w:rPr>
            </w:r>
            <w:r w:rsidR="00E93486" w:rsidRPr="008D2E93">
              <w:rPr>
                <w:b w:val="0"/>
                <w:noProof/>
                <w:webHidden/>
              </w:rPr>
              <w:fldChar w:fldCharType="separate"/>
            </w:r>
            <w:r w:rsidR="0092398B">
              <w:rPr>
                <w:b w:val="0"/>
                <w:noProof/>
                <w:webHidden/>
              </w:rPr>
              <w:t>3</w:t>
            </w:r>
            <w:r w:rsidR="00E93486" w:rsidRPr="008D2E93">
              <w:rPr>
                <w:b w:val="0"/>
                <w:noProof/>
                <w:webHidden/>
              </w:rPr>
              <w:fldChar w:fldCharType="end"/>
            </w:r>
          </w:hyperlink>
        </w:p>
        <w:p w:rsidR="008D2E93" w:rsidRPr="008D2E93" w:rsidRDefault="00B05688">
          <w:pPr>
            <w:pStyle w:val="TM1"/>
            <w:rPr>
              <w:rFonts w:eastAsiaTheme="minorEastAsia"/>
              <w:b w:val="0"/>
              <w:bCs w:val="0"/>
              <w:caps w:val="0"/>
              <w:noProof/>
              <w:sz w:val="22"/>
              <w:szCs w:val="22"/>
              <w:lang w:eastAsia="fr-FR"/>
            </w:rPr>
          </w:pPr>
          <w:hyperlink w:anchor="_Toc511081524" w:history="1">
            <w:r w:rsidR="008D2E93" w:rsidRPr="008D2E93">
              <w:rPr>
                <w:rStyle w:val="Lienhypertexte"/>
                <w:b w:val="0"/>
                <w:noProof/>
              </w:rPr>
              <w:t>II. VISION ET FONDEMENT, OBJECTIF GLOBAL ET PROCESSUS DE TRANSFORMATION STRUCTURELLE DE L’ECONOMIE</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_Toc511081524 \h </w:instrText>
            </w:r>
            <w:r w:rsidR="00E93486" w:rsidRPr="008D2E93">
              <w:rPr>
                <w:b w:val="0"/>
                <w:noProof/>
                <w:webHidden/>
              </w:rPr>
            </w:r>
            <w:r w:rsidR="00E93486" w:rsidRPr="008D2E93">
              <w:rPr>
                <w:b w:val="0"/>
                <w:noProof/>
                <w:webHidden/>
              </w:rPr>
              <w:fldChar w:fldCharType="separate"/>
            </w:r>
            <w:r w:rsidR="0092398B">
              <w:rPr>
                <w:b w:val="0"/>
                <w:noProof/>
                <w:webHidden/>
              </w:rPr>
              <w:t>6</w:t>
            </w:r>
            <w:r w:rsidR="00E93486" w:rsidRPr="008D2E93">
              <w:rPr>
                <w:b w:val="0"/>
                <w:noProof/>
                <w:webHidden/>
              </w:rPr>
              <w:fldChar w:fldCharType="end"/>
            </w:r>
          </w:hyperlink>
        </w:p>
        <w:p w:rsidR="008D2E93" w:rsidRPr="008D2E93" w:rsidRDefault="00B05688">
          <w:pPr>
            <w:pStyle w:val="TM2"/>
            <w:tabs>
              <w:tab w:val="right" w:leader="dot" w:pos="9628"/>
            </w:tabs>
            <w:rPr>
              <w:rFonts w:eastAsiaTheme="minorEastAsia"/>
              <w:smallCaps w:val="0"/>
              <w:noProof/>
              <w:sz w:val="22"/>
              <w:szCs w:val="22"/>
              <w:lang w:eastAsia="fr-FR"/>
            </w:rPr>
          </w:pPr>
          <w:hyperlink w:anchor="_Toc511081525" w:history="1">
            <w:r w:rsidR="008D2E93" w:rsidRPr="008D2E93">
              <w:rPr>
                <w:rStyle w:val="Lienhypertexte"/>
                <w:noProof/>
              </w:rPr>
              <w:t>2.1. Vision et fondement du Plan National de Développement</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_Toc511081525 \h </w:instrText>
            </w:r>
            <w:r w:rsidR="00E93486" w:rsidRPr="008D2E93">
              <w:rPr>
                <w:noProof/>
                <w:webHidden/>
              </w:rPr>
            </w:r>
            <w:r w:rsidR="00E93486" w:rsidRPr="008D2E93">
              <w:rPr>
                <w:noProof/>
                <w:webHidden/>
              </w:rPr>
              <w:fldChar w:fldCharType="separate"/>
            </w:r>
            <w:r w:rsidR="0092398B">
              <w:rPr>
                <w:noProof/>
                <w:webHidden/>
              </w:rPr>
              <w:t>7</w:t>
            </w:r>
            <w:r w:rsidR="00E93486" w:rsidRPr="008D2E93">
              <w:rPr>
                <w:noProof/>
                <w:webHidden/>
              </w:rPr>
              <w:fldChar w:fldCharType="end"/>
            </w:r>
          </w:hyperlink>
        </w:p>
        <w:p w:rsidR="008D2E93" w:rsidRPr="008D2E93" w:rsidRDefault="00B05688">
          <w:pPr>
            <w:pStyle w:val="TM2"/>
            <w:tabs>
              <w:tab w:val="right" w:leader="dot" w:pos="9628"/>
            </w:tabs>
            <w:rPr>
              <w:rFonts w:eastAsiaTheme="minorEastAsia"/>
              <w:smallCaps w:val="0"/>
              <w:noProof/>
              <w:sz w:val="22"/>
              <w:szCs w:val="22"/>
              <w:lang w:eastAsia="fr-FR"/>
            </w:rPr>
          </w:pPr>
          <w:hyperlink w:anchor="_Toc511081526" w:history="1">
            <w:r w:rsidR="008D2E93" w:rsidRPr="008D2E93">
              <w:rPr>
                <w:rStyle w:val="Lienhypertexte"/>
                <w:noProof/>
              </w:rPr>
              <w:t>2.2. Objectif global</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_Toc511081526 \h </w:instrText>
            </w:r>
            <w:r w:rsidR="00E93486" w:rsidRPr="008D2E93">
              <w:rPr>
                <w:noProof/>
                <w:webHidden/>
              </w:rPr>
            </w:r>
            <w:r w:rsidR="00E93486" w:rsidRPr="008D2E93">
              <w:rPr>
                <w:noProof/>
                <w:webHidden/>
              </w:rPr>
              <w:fldChar w:fldCharType="separate"/>
            </w:r>
            <w:r w:rsidR="0092398B">
              <w:rPr>
                <w:noProof/>
                <w:webHidden/>
              </w:rPr>
              <w:t>8</w:t>
            </w:r>
            <w:r w:rsidR="00E93486" w:rsidRPr="008D2E93">
              <w:rPr>
                <w:noProof/>
                <w:webHidden/>
              </w:rPr>
              <w:fldChar w:fldCharType="end"/>
            </w:r>
          </w:hyperlink>
        </w:p>
        <w:p w:rsidR="008D2E93" w:rsidRPr="008D2E93" w:rsidRDefault="00B05688">
          <w:pPr>
            <w:pStyle w:val="TM3"/>
            <w:tabs>
              <w:tab w:val="right" w:leader="dot" w:pos="9628"/>
            </w:tabs>
            <w:rPr>
              <w:rFonts w:eastAsiaTheme="minorEastAsia"/>
              <w:i w:val="0"/>
              <w:iCs w:val="0"/>
              <w:noProof/>
              <w:sz w:val="22"/>
              <w:szCs w:val="22"/>
              <w:lang w:eastAsia="fr-FR"/>
            </w:rPr>
          </w:pPr>
          <w:hyperlink w:anchor="_Toc511081530" w:history="1">
            <w:r w:rsidR="008D2E93" w:rsidRPr="008D2E93">
              <w:rPr>
                <w:rStyle w:val="Lienhypertexte"/>
                <w:rFonts w:ascii="Bookman Old Style" w:hAnsi="Bookman Old Style"/>
                <w:noProof/>
              </w:rPr>
              <w:t>2.3.1. Problématique de la transformation structurelle de l’économie du Burundi</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_Toc511081530 \h </w:instrText>
            </w:r>
            <w:r w:rsidR="00E93486" w:rsidRPr="008D2E93">
              <w:rPr>
                <w:noProof/>
                <w:webHidden/>
              </w:rPr>
            </w:r>
            <w:r w:rsidR="00E93486" w:rsidRPr="008D2E93">
              <w:rPr>
                <w:noProof/>
                <w:webHidden/>
              </w:rPr>
              <w:fldChar w:fldCharType="separate"/>
            </w:r>
            <w:r w:rsidR="0092398B">
              <w:rPr>
                <w:noProof/>
                <w:webHidden/>
              </w:rPr>
              <w:t>9</w:t>
            </w:r>
            <w:r w:rsidR="00E93486" w:rsidRPr="008D2E93">
              <w:rPr>
                <w:noProof/>
                <w:webHidden/>
              </w:rPr>
              <w:fldChar w:fldCharType="end"/>
            </w:r>
          </w:hyperlink>
        </w:p>
        <w:p w:rsidR="008D2E93" w:rsidRPr="008D2E93" w:rsidRDefault="00B05688">
          <w:pPr>
            <w:pStyle w:val="TM3"/>
            <w:tabs>
              <w:tab w:val="right" w:leader="dot" w:pos="9628"/>
            </w:tabs>
            <w:rPr>
              <w:rFonts w:eastAsiaTheme="minorEastAsia"/>
              <w:i w:val="0"/>
              <w:iCs w:val="0"/>
              <w:noProof/>
              <w:sz w:val="22"/>
              <w:szCs w:val="22"/>
              <w:lang w:eastAsia="fr-FR"/>
            </w:rPr>
          </w:pPr>
          <w:hyperlink w:anchor="_Toc511081531" w:history="1">
            <w:r w:rsidR="008D2E93" w:rsidRPr="008D2E93">
              <w:rPr>
                <w:rStyle w:val="Lienhypertexte"/>
                <w:rFonts w:ascii="Bookman Old Style" w:hAnsi="Bookman Old Style"/>
                <w:noProof/>
              </w:rPr>
              <w:t>2.3.2. Leviers de la transformation structurelle de l’économie</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_Toc511081531 \h </w:instrText>
            </w:r>
            <w:r w:rsidR="00E93486" w:rsidRPr="008D2E93">
              <w:rPr>
                <w:noProof/>
                <w:webHidden/>
              </w:rPr>
            </w:r>
            <w:r w:rsidR="00E93486" w:rsidRPr="008D2E93">
              <w:rPr>
                <w:noProof/>
                <w:webHidden/>
              </w:rPr>
              <w:fldChar w:fldCharType="separate"/>
            </w:r>
            <w:r w:rsidR="0092398B">
              <w:rPr>
                <w:noProof/>
                <w:webHidden/>
              </w:rPr>
              <w:t>10</w:t>
            </w:r>
            <w:r w:rsidR="00E93486" w:rsidRPr="008D2E93">
              <w:rPr>
                <w:noProof/>
                <w:webHidden/>
              </w:rPr>
              <w:fldChar w:fldCharType="end"/>
            </w:r>
          </w:hyperlink>
        </w:p>
        <w:p w:rsidR="008D2E93" w:rsidRPr="008D2E93" w:rsidRDefault="00B05688">
          <w:pPr>
            <w:pStyle w:val="TM1"/>
            <w:rPr>
              <w:rFonts w:eastAsiaTheme="minorEastAsia"/>
              <w:b w:val="0"/>
              <w:bCs w:val="0"/>
              <w:caps w:val="0"/>
              <w:noProof/>
              <w:sz w:val="22"/>
              <w:szCs w:val="22"/>
              <w:lang w:eastAsia="fr-FR"/>
            </w:rPr>
          </w:pPr>
          <w:hyperlink w:anchor="_Toc511081532" w:history="1">
            <w:r w:rsidR="008D2E93" w:rsidRPr="008D2E93">
              <w:rPr>
                <w:rStyle w:val="Lienhypertexte"/>
                <w:b w:val="0"/>
                <w:noProof/>
              </w:rPr>
              <w:t>III. DIAGNOSTIC SOCIOECONOMIQUE DU BURUNDI A LA VEILLE DU PND Burundi 2018-2027</w:t>
            </w:r>
            <w:r w:rsidR="008D2E93" w:rsidRPr="008D2E93">
              <w:rPr>
                <w:b w:val="0"/>
                <w:noProof/>
                <w:webHidden/>
              </w:rPr>
              <w:tab/>
            </w:r>
            <w:r w:rsidR="00E93486" w:rsidRPr="008D2E93">
              <w:rPr>
                <w:b w:val="0"/>
                <w:noProof/>
                <w:webHidden/>
              </w:rPr>
              <w:fldChar w:fldCharType="begin"/>
            </w:r>
            <w:r w:rsidR="008D2E93" w:rsidRPr="008D2E93">
              <w:rPr>
                <w:b w:val="0"/>
                <w:noProof/>
                <w:webHidden/>
              </w:rPr>
              <w:instrText xml:space="preserve"> PAGEREF _Toc511081532 \h </w:instrText>
            </w:r>
            <w:r w:rsidR="00E93486" w:rsidRPr="008D2E93">
              <w:rPr>
                <w:b w:val="0"/>
                <w:noProof/>
                <w:webHidden/>
              </w:rPr>
            </w:r>
            <w:r w:rsidR="00E93486" w:rsidRPr="008D2E93">
              <w:rPr>
                <w:b w:val="0"/>
                <w:noProof/>
                <w:webHidden/>
              </w:rPr>
              <w:fldChar w:fldCharType="separate"/>
            </w:r>
            <w:r w:rsidR="0092398B">
              <w:rPr>
                <w:b w:val="0"/>
                <w:noProof/>
                <w:webHidden/>
              </w:rPr>
              <w:t>15</w:t>
            </w:r>
            <w:r w:rsidR="00E93486" w:rsidRPr="008D2E93">
              <w:rPr>
                <w:b w:val="0"/>
                <w:noProof/>
                <w:webHidden/>
              </w:rPr>
              <w:fldChar w:fldCharType="end"/>
            </w:r>
          </w:hyperlink>
        </w:p>
        <w:p w:rsidR="008D2E93" w:rsidRPr="008D2E93" w:rsidRDefault="00B05688">
          <w:pPr>
            <w:pStyle w:val="TM2"/>
            <w:tabs>
              <w:tab w:val="right" w:leader="dot" w:pos="9628"/>
            </w:tabs>
            <w:rPr>
              <w:rFonts w:eastAsiaTheme="minorEastAsia"/>
              <w:smallCaps w:val="0"/>
              <w:noProof/>
              <w:sz w:val="22"/>
              <w:szCs w:val="22"/>
              <w:lang w:eastAsia="fr-FR"/>
            </w:rPr>
          </w:pPr>
          <w:hyperlink w:anchor="_Toc511081533" w:history="1">
            <w:r w:rsidR="008D2E93" w:rsidRPr="008D2E93">
              <w:rPr>
                <w:rStyle w:val="Lienhypertexte"/>
                <w:noProof/>
              </w:rPr>
              <w:t>3.1. Etat des lieux par secteur/domaine</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_Toc511081533 \h </w:instrText>
            </w:r>
            <w:r w:rsidR="00E93486" w:rsidRPr="008D2E93">
              <w:rPr>
                <w:noProof/>
                <w:webHidden/>
              </w:rPr>
            </w:r>
            <w:r w:rsidR="00E93486" w:rsidRPr="008D2E93">
              <w:rPr>
                <w:noProof/>
                <w:webHidden/>
              </w:rPr>
              <w:fldChar w:fldCharType="separate"/>
            </w:r>
            <w:r w:rsidR="0092398B">
              <w:rPr>
                <w:noProof/>
                <w:webHidden/>
              </w:rPr>
              <w:t>16</w:t>
            </w:r>
            <w:r w:rsidR="00E93486" w:rsidRPr="008D2E93">
              <w:rPr>
                <w:noProof/>
                <w:webHidden/>
              </w:rPr>
              <w:fldChar w:fldCharType="end"/>
            </w:r>
          </w:hyperlink>
        </w:p>
        <w:p w:rsidR="008D2E93" w:rsidRPr="008D2E93" w:rsidRDefault="00B05688">
          <w:pPr>
            <w:pStyle w:val="TM3"/>
            <w:tabs>
              <w:tab w:val="right" w:leader="dot" w:pos="9628"/>
            </w:tabs>
            <w:rPr>
              <w:rFonts w:eastAsiaTheme="minorEastAsia"/>
              <w:i w:val="0"/>
              <w:iCs w:val="0"/>
              <w:noProof/>
              <w:sz w:val="22"/>
              <w:szCs w:val="22"/>
              <w:lang w:eastAsia="fr-FR"/>
            </w:rPr>
          </w:pPr>
          <w:hyperlink w:anchor="_Toc511081534" w:history="1">
            <w:r w:rsidR="008D2E93" w:rsidRPr="008D2E93">
              <w:rPr>
                <w:rStyle w:val="Lienhypertexte"/>
                <w:rFonts w:ascii="Bookman Old Style" w:hAnsi="Bookman Old Style"/>
                <w:noProof/>
              </w:rPr>
              <w:t>3.1.1. Agriculture, Elevage, Pêche et pisciculture</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_Toc511081534 \h </w:instrText>
            </w:r>
            <w:r w:rsidR="00E93486" w:rsidRPr="008D2E93">
              <w:rPr>
                <w:noProof/>
                <w:webHidden/>
              </w:rPr>
            </w:r>
            <w:r w:rsidR="00E93486" w:rsidRPr="008D2E93">
              <w:rPr>
                <w:noProof/>
                <w:webHidden/>
              </w:rPr>
              <w:fldChar w:fldCharType="separate"/>
            </w:r>
            <w:r w:rsidR="0092398B">
              <w:rPr>
                <w:noProof/>
                <w:webHidden/>
              </w:rPr>
              <w:t>16</w:t>
            </w:r>
            <w:r w:rsidR="00E93486" w:rsidRPr="008D2E93">
              <w:rPr>
                <w:noProof/>
                <w:webHidden/>
              </w:rPr>
              <w:fldChar w:fldCharType="end"/>
            </w:r>
          </w:hyperlink>
        </w:p>
        <w:p w:rsidR="008D2E93" w:rsidRPr="008D2E93" w:rsidRDefault="00B05688">
          <w:pPr>
            <w:pStyle w:val="TM3"/>
            <w:tabs>
              <w:tab w:val="right" w:leader="dot" w:pos="9628"/>
            </w:tabs>
            <w:rPr>
              <w:rFonts w:eastAsiaTheme="minorEastAsia"/>
              <w:i w:val="0"/>
              <w:iCs w:val="0"/>
              <w:noProof/>
              <w:sz w:val="22"/>
              <w:szCs w:val="22"/>
              <w:lang w:eastAsia="fr-FR"/>
            </w:rPr>
          </w:pPr>
          <w:hyperlink w:anchor="_Toc511081537" w:history="1">
            <w:r w:rsidR="008D2E93" w:rsidRPr="008D2E93">
              <w:rPr>
                <w:rStyle w:val="Lienhypertexte"/>
                <w:rFonts w:ascii="Bookman Old Style" w:hAnsi="Bookman Old Style"/>
                <w:noProof/>
              </w:rPr>
              <w:t>3.1.2. Infrastructures d’appui à la production</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_Toc511081537 \h </w:instrText>
            </w:r>
            <w:r w:rsidR="00E93486" w:rsidRPr="008D2E93">
              <w:rPr>
                <w:noProof/>
                <w:webHidden/>
              </w:rPr>
            </w:r>
            <w:r w:rsidR="00E93486" w:rsidRPr="008D2E93">
              <w:rPr>
                <w:noProof/>
                <w:webHidden/>
              </w:rPr>
              <w:fldChar w:fldCharType="separate"/>
            </w:r>
            <w:r w:rsidR="0092398B">
              <w:rPr>
                <w:noProof/>
                <w:webHidden/>
              </w:rPr>
              <w:t>17</w:t>
            </w:r>
            <w:r w:rsidR="00E93486" w:rsidRPr="008D2E93">
              <w:rPr>
                <w:noProof/>
                <w:webHidden/>
              </w:rPr>
              <w:fldChar w:fldCharType="end"/>
            </w:r>
          </w:hyperlink>
        </w:p>
        <w:p w:rsidR="008D2E93" w:rsidRPr="008D2E93" w:rsidRDefault="00B05688">
          <w:pPr>
            <w:pStyle w:val="TM3"/>
            <w:tabs>
              <w:tab w:val="right" w:leader="dot" w:pos="9628"/>
            </w:tabs>
            <w:rPr>
              <w:rFonts w:eastAsiaTheme="minorEastAsia"/>
              <w:i w:val="0"/>
              <w:iCs w:val="0"/>
              <w:noProof/>
              <w:sz w:val="22"/>
              <w:szCs w:val="22"/>
              <w:lang w:eastAsia="fr-FR"/>
            </w:rPr>
          </w:pPr>
          <w:hyperlink w:anchor="_Toc511081538" w:history="1">
            <w:r w:rsidR="008D2E93" w:rsidRPr="008D2E93">
              <w:rPr>
                <w:rStyle w:val="Lienhypertexte"/>
                <w:rFonts w:ascii="Bookman Old Style" w:hAnsi="Bookman Old Style"/>
                <w:noProof/>
              </w:rPr>
              <w:t>3.1.3. Exploitation des mines et carrières</w:t>
            </w:r>
            <w:r w:rsidR="008D2E93" w:rsidRPr="008D2E93">
              <w:rPr>
                <w:noProof/>
                <w:webHidden/>
              </w:rPr>
              <w:tab/>
            </w:r>
            <w:r w:rsidR="00E93486" w:rsidRPr="008D2E93">
              <w:rPr>
                <w:noProof/>
                <w:webHidden/>
              </w:rPr>
              <w:fldChar w:fldCharType="begin"/>
            </w:r>
            <w:r w:rsidR="008D2E93" w:rsidRPr="008D2E93">
              <w:rPr>
                <w:noProof/>
                <w:webHidden/>
              </w:rPr>
              <w:instrText xml:space="preserve"> PAGEREF _Toc511081538 \h </w:instrText>
            </w:r>
            <w:r w:rsidR="00E93486" w:rsidRPr="008D2E93">
              <w:rPr>
                <w:noProof/>
                <w:webHidden/>
              </w:rPr>
            </w:r>
            <w:r w:rsidR="00E93486" w:rsidRPr="008D2E93">
              <w:rPr>
                <w:noProof/>
                <w:webHidden/>
              </w:rPr>
              <w:fldChar w:fldCharType="separate"/>
            </w:r>
            <w:r w:rsidR="0092398B">
              <w:rPr>
                <w:noProof/>
                <w:webHidden/>
              </w:rPr>
              <w:t>21</w:t>
            </w:r>
            <w:r w:rsidR="00E93486" w:rsidRPr="008D2E93">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41" w:history="1">
            <w:r w:rsidR="008D2E93" w:rsidRPr="0034374C">
              <w:rPr>
                <w:rStyle w:val="Lienhypertexte"/>
                <w:rFonts w:ascii="Bookman Old Style" w:hAnsi="Bookman Old Style"/>
                <w:noProof/>
              </w:rPr>
              <w:t>3.1.4. Industrie et Artisanat</w:t>
            </w:r>
            <w:r w:rsidR="008D2E93">
              <w:rPr>
                <w:noProof/>
                <w:webHidden/>
              </w:rPr>
              <w:tab/>
            </w:r>
            <w:r w:rsidR="00E93486">
              <w:rPr>
                <w:noProof/>
                <w:webHidden/>
              </w:rPr>
              <w:fldChar w:fldCharType="begin"/>
            </w:r>
            <w:r w:rsidR="008D2E93">
              <w:rPr>
                <w:noProof/>
                <w:webHidden/>
              </w:rPr>
              <w:instrText xml:space="preserve"> PAGEREF _Toc511081541 \h </w:instrText>
            </w:r>
            <w:r w:rsidR="00E93486">
              <w:rPr>
                <w:noProof/>
                <w:webHidden/>
              </w:rPr>
            </w:r>
            <w:r w:rsidR="00E93486">
              <w:rPr>
                <w:noProof/>
                <w:webHidden/>
              </w:rPr>
              <w:fldChar w:fldCharType="separate"/>
            </w:r>
            <w:r w:rsidR="0092398B">
              <w:rPr>
                <w:noProof/>
                <w:webHidden/>
              </w:rPr>
              <w:t>22</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42" w:history="1">
            <w:r w:rsidR="008D2E93" w:rsidRPr="0034374C">
              <w:rPr>
                <w:rStyle w:val="Lienhypertexte"/>
                <w:rFonts w:ascii="Bookman Old Style" w:hAnsi="Bookman Old Style"/>
                <w:noProof/>
              </w:rPr>
              <w:t>3.1.5. Climat des affaires, Commerce et Tourisme</w:t>
            </w:r>
            <w:r w:rsidR="008D2E93">
              <w:rPr>
                <w:noProof/>
                <w:webHidden/>
              </w:rPr>
              <w:tab/>
            </w:r>
            <w:r w:rsidR="00E93486">
              <w:rPr>
                <w:noProof/>
                <w:webHidden/>
              </w:rPr>
              <w:fldChar w:fldCharType="begin"/>
            </w:r>
            <w:r w:rsidR="008D2E93">
              <w:rPr>
                <w:noProof/>
                <w:webHidden/>
              </w:rPr>
              <w:instrText xml:space="preserve"> PAGEREF _Toc511081542 \h </w:instrText>
            </w:r>
            <w:r w:rsidR="00E93486">
              <w:rPr>
                <w:noProof/>
                <w:webHidden/>
              </w:rPr>
            </w:r>
            <w:r w:rsidR="00E93486">
              <w:rPr>
                <w:noProof/>
                <w:webHidden/>
              </w:rPr>
              <w:fldChar w:fldCharType="separate"/>
            </w:r>
            <w:r w:rsidR="0092398B">
              <w:rPr>
                <w:noProof/>
                <w:webHidden/>
              </w:rPr>
              <w:t>23</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43" w:history="1">
            <w:r w:rsidR="008D2E93" w:rsidRPr="0034374C">
              <w:rPr>
                <w:rStyle w:val="Lienhypertexte"/>
                <w:rFonts w:ascii="Bookman Old Style" w:hAnsi="Bookman Old Style"/>
                <w:noProof/>
              </w:rPr>
              <w:t>3.1.6. Accès aux services de base et de la protection sociale</w:t>
            </w:r>
            <w:r w:rsidR="008D2E93">
              <w:rPr>
                <w:noProof/>
                <w:webHidden/>
              </w:rPr>
              <w:tab/>
            </w:r>
            <w:r w:rsidR="00E93486">
              <w:rPr>
                <w:noProof/>
                <w:webHidden/>
              </w:rPr>
              <w:fldChar w:fldCharType="begin"/>
            </w:r>
            <w:r w:rsidR="008D2E93">
              <w:rPr>
                <w:noProof/>
                <w:webHidden/>
              </w:rPr>
              <w:instrText xml:space="preserve"> PAGEREF _Toc511081543 \h </w:instrText>
            </w:r>
            <w:r w:rsidR="00E93486">
              <w:rPr>
                <w:noProof/>
                <w:webHidden/>
              </w:rPr>
            </w:r>
            <w:r w:rsidR="00E93486">
              <w:rPr>
                <w:noProof/>
                <w:webHidden/>
              </w:rPr>
              <w:fldChar w:fldCharType="separate"/>
            </w:r>
            <w:r w:rsidR="0092398B">
              <w:rPr>
                <w:noProof/>
                <w:webHidden/>
              </w:rPr>
              <w:t>25</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44" w:history="1">
            <w:r w:rsidR="008D2E93" w:rsidRPr="0034374C">
              <w:rPr>
                <w:rStyle w:val="Lienhypertexte"/>
                <w:rFonts w:ascii="Bookman Old Style" w:hAnsi="Bookman Old Style"/>
                <w:noProof/>
              </w:rPr>
              <w:t>3.1.7. Gestion de l'espace et de l'environnement pour un développement durable</w:t>
            </w:r>
            <w:r w:rsidR="008D2E93">
              <w:rPr>
                <w:noProof/>
                <w:webHidden/>
              </w:rPr>
              <w:tab/>
            </w:r>
            <w:r w:rsidR="00E93486">
              <w:rPr>
                <w:noProof/>
                <w:webHidden/>
              </w:rPr>
              <w:fldChar w:fldCharType="begin"/>
            </w:r>
            <w:r w:rsidR="008D2E93">
              <w:rPr>
                <w:noProof/>
                <w:webHidden/>
              </w:rPr>
              <w:instrText xml:space="preserve"> PAGEREF _Toc511081544 \h </w:instrText>
            </w:r>
            <w:r w:rsidR="00E93486">
              <w:rPr>
                <w:noProof/>
                <w:webHidden/>
              </w:rPr>
            </w:r>
            <w:r w:rsidR="00E93486">
              <w:rPr>
                <w:noProof/>
                <w:webHidden/>
              </w:rPr>
              <w:fldChar w:fldCharType="separate"/>
            </w:r>
            <w:r w:rsidR="0092398B">
              <w:rPr>
                <w:noProof/>
                <w:webHidden/>
              </w:rPr>
              <w:t>30</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45" w:history="1">
            <w:r w:rsidR="008D2E93" w:rsidRPr="0034374C">
              <w:rPr>
                <w:rStyle w:val="Lienhypertexte"/>
                <w:rFonts w:ascii="Bookman Old Style" w:hAnsi="Bookman Old Style"/>
                <w:noProof/>
              </w:rPr>
              <w:t>3.1.8. Démocratie, Gouvernance et Droits Humains</w:t>
            </w:r>
            <w:r w:rsidR="008D2E93">
              <w:rPr>
                <w:noProof/>
                <w:webHidden/>
              </w:rPr>
              <w:tab/>
            </w:r>
            <w:r w:rsidR="00E93486">
              <w:rPr>
                <w:noProof/>
                <w:webHidden/>
              </w:rPr>
              <w:fldChar w:fldCharType="begin"/>
            </w:r>
            <w:r w:rsidR="008D2E93">
              <w:rPr>
                <w:noProof/>
                <w:webHidden/>
              </w:rPr>
              <w:instrText xml:space="preserve"> PAGEREF _Toc511081545 \h </w:instrText>
            </w:r>
            <w:r w:rsidR="00E93486">
              <w:rPr>
                <w:noProof/>
                <w:webHidden/>
              </w:rPr>
            </w:r>
            <w:r w:rsidR="00E93486">
              <w:rPr>
                <w:noProof/>
                <w:webHidden/>
              </w:rPr>
              <w:fldChar w:fldCharType="separate"/>
            </w:r>
            <w:r w:rsidR="0092398B">
              <w:rPr>
                <w:noProof/>
                <w:webHidden/>
              </w:rPr>
              <w:t>31</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48" w:history="1">
            <w:r w:rsidR="008D2E93" w:rsidRPr="0034374C">
              <w:rPr>
                <w:rStyle w:val="Lienhypertexte"/>
                <w:rFonts w:ascii="Bookman Old Style" w:hAnsi="Bookman Old Style"/>
                <w:noProof/>
              </w:rPr>
              <w:t>3.1.9. Coopération et intégration régionale</w:t>
            </w:r>
            <w:r w:rsidR="008D2E93">
              <w:rPr>
                <w:noProof/>
                <w:webHidden/>
              </w:rPr>
              <w:tab/>
            </w:r>
            <w:r w:rsidR="00E93486">
              <w:rPr>
                <w:noProof/>
                <w:webHidden/>
              </w:rPr>
              <w:fldChar w:fldCharType="begin"/>
            </w:r>
            <w:r w:rsidR="008D2E93">
              <w:rPr>
                <w:noProof/>
                <w:webHidden/>
              </w:rPr>
              <w:instrText xml:space="preserve"> PAGEREF _Toc511081548 \h </w:instrText>
            </w:r>
            <w:r w:rsidR="00E93486">
              <w:rPr>
                <w:noProof/>
                <w:webHidden/>
              </w:rPr>
            </w:r>
            <w:r w:rsidR="00E93486">
              <w:rPr>
                <w:noProof/>
                <w:webHidden/>
              </w:rPr>
              <w:fldChar w:fldCharType="separate"/>
            </w:r>
            <w:r w:rsidR="0092398B">
              <w:rPr>
                <w:noProof/>
                <w:webHidden/>
              </w:rPr>
              <w:t>35</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49" w:history="1">
            <w:r w:rsidR="008D2E93" w:rsidRPr="0034374C">
              <w:rPr>
                <w:rStyle w:val="Lienhypertexte"/>
                <w:rFonts w:ascii="Bookman Old Style" w:hAnsi="Bookman Old Style"/>
                <w:noProof/>
              </w:rPr>
              <w:t>3.1.10. Mobilisation des ressources internes et externes</w:t>
            </w:r>
            <w:r w:rsidR="008D2E93">
              <w:rPr>
                <w:noProof/>
                <w:webHidden/>
              </w:rPr>
              <w:tab/>
            </w:r>
            <w:r w:rsidR="00E93486">
              <w:rPr>
                <w:noProof/>
                <w:webHidden/>
              </w:rPr>
              <w:fldChar w:fldCharType="begin"/>
            </w:r>
            <w:r w:rsidR="008D2E93">
              <w:rPr>
                <w:noProof/>
                <w:webHidden/>
              </w:rPr>
              <w:instrText xml:space="preserve"> PAGEREF _Toc511081549 \h </w:instrText>
            </w:r>
            <w:r w:rsidR="00E93486">
              <w:rPr>
                <w:noProof/>
                <w:webHidden/>
              </w:rPr>
            </w:r>
            <w:r w:rsidR="00E93486">
              <w:rPr>
                <w:noProof/>
                <w:webHidden/>
              </w:rPr>
              <w:fldChar w:fldCharType="separate"/>
            </w:r>
            <w:r w:rsidR="0092398B">
              <w:rPr>
                <w:noProof/>
                <w:webHidden/>
              </w:rPr>
              <w:t>35</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50" w:history="1">
            <w:r w:rsidR="008D2E93" w:rsidRPr="0034374C">
              <w:rPr>
                <w:rStyle w:val="Lienhypertexte"/>
                <w:rFonts w:ascii="Bookman Old Style" w:hAnsi="Bookman Old Style"/>
                <w:noProof/>
              </w:rPr>
              <w:t>3.1.11. Evaluation des agrégats macroéconomiques 2012-2016</w:t>
            </w:r>
            <w:r w:rsidR="008D2E93">
              <w:rPr>
                <w:noProof/>
                <w:webHidden/>
              </w:rPr>
              <w:tab/>
            </w:r>
            <w:r w:rsidR="00E93486">
              <w:rPr>
                <w:noProof/>
                <w:webHidden/>
              </w:rPr>
              <w:fldChar w:fldCharType="begin"/>
            </w:r>
            <w:r w:rsidR="008D2E93">
              <w:rPr>
                <w:noProof/>
                <w:webHidden/>
              </w:rPr>
              <w:instrText xml:space="preserve"> PAGEREF _Toc511081550 \h </w:instrText>
            </w:r>
            <w:r w:rsidR="00E93486">
              <w:rPr>
                <w:noProof/>
                <w:webHidden/>
              </w:rPr>
            </w:r>
            <w:r w:rsidR="00E93486">
              <w:rPr>
                <w:noProof/>
                <w:webHidden/>
              </w:rPr>
              <w:fldChar w:fldCharType="separate"/>
            </w:r>
            <w:r w:rsidR="0092398B">
              <w:rPr>
                <w:noProof/>
                <w:webHidden/>
              </w:rPr>
              <w:t>36</w:t>
            </w:r>
            <w:r w:rsidR="00E93486">
              <w:rPr>
                <w:noProof/>
                <w:webHidden/>
              </w:rPr>
              <w:fldChar w:fldCharType="end"/>
            </w:r>
          </w:hyperlink>
        </w:p>
        <w:p w:rsidR="008D2E93" w:rsidRDefault="00B05688">
          <w:pPr>
            <w:pStyle w:val="TM1"/>
            <w:rPr>
              <w:rFonts w:eastAsiaTheme="minorEastAsia"/>
              <w:b w:val="0"/>
              <w:bCs w:val="0"/>
              <w:caps w:val="0"/>
              <w:noProof/>
              <w:sz w:val="22"/>
              <w:szCs w:val="22"/>
              <w:lang w:eastAsia="fr-FR"/>
            </w:rPr>
          </w:pPr>
          <w:hyperlink w:anchor="_Toc511081557" w:history="1">
            <w:r w:rsidR="008D2E93" w:rsidRPr="0034374C">
              <w:rPr>
                <w:rStyle w:val="Lienhypertexte"/>
                <w:noProof/>
              </w:rPr>
              <w:t>IV. ENJEUX ET ORIENTATIONS STRATEGIQUES DU PND BURUNDI 2018-2027</w:t>
            </w:r>
            <w:r w:rsidR="008D2E93">
              <w:rPr>
                <w:noProof/>
                <w:webHidden/>
              </w:rPr>
              <w:tab/>
            </w:r>
            <w:r w:rsidR="00E93486">
              <w:rPr>
                <w:noProof/>
                <w:webHidden/>
              </w:rPr>
              <w:fldChar w:fldCharType="begin"/>
            </w:r>
            <w:r w:rsidR="008D2E93">
              <w:rPr>
                <w:noProof/>
                <w:webHidden/>
              </w:rPr>
              <w:instrText xml:space="preserve"> PAGEREF _Toc511081557 \h </w:instrText>
            </w:r>
            <w:r w:rsidR="00E93486">
              <w:rPr>
                <w:noProof/>
                <w:webHidden/>
              </w:rPr>
            </w:r>
            <w:r w:rsidR="00E93486">
              <w:rPr>
                <w:noProof/>
                <w:webHidden/>
              </w:rPr>
              <w:fldChar w:fldCharType="separate"/>
            </w:r>
            <w:r w:rsidR="0092398B">
              <w:rPr>
                <w:noProof/>
                <w:webHidden/>
              </w:rPr>
              <w:t>40</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558" w:history="1">
            <w:r w:rsidR="008D2E93" w:rsidRPr="0034374C">
              <w:rPr>
                <w:rStyle w:val="Lienhypertexte"/>
                <w:noProof/>
              </w:rPr>
              <w:t>4.1. Scénarii de base et Vue d’ensemble des enjeux et orientations stratégiques</w:t>
            </w:r>
            <w:r w:rsidR="008D2E93">
              <w:rPr>
                <w:noProof/>
                <w:webHidden/>
              </w:rPr>
              <w:tab/>
            </w:r>
            <w:r w:rsidR="00E93486">
              <w:rPr>
                <w:noProof/>
                <w:webHidden/>
              </w:rPr>
              <w:fldChar w:fldCharType="begin"/>
            </w:r>
            <w:r w:rsidR="008D2E93">
              <w:rPr>
                <w:noProof/>
                <w:webHidden/>
              </w:rPr>
              <w:instrText xml:space="preserve"> PAGEREF _Toc511081558 \h </w:instrText>
            </w:r>
            <w:r w:rsidR="00E93486">
              <w:rPr>
                <w:noProof/>
                <w:webHidden/>
              </w:rPr>
            </w:r>
            <w:r w:rsidR="00E93486">
              <w:rPr>
                <w:noProof/>
                <w:webHidden/>
              </w:rPr>
              <w:fldChar w:fldCharType="separate"/>
            </w:r>
            <w:r w:rsidR="0092398B">
              <w:rPr>
                <w:noProof/>
                <w:webHidden/>
              </w:rPr>
              <w:t>41</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59" w:history="1">
            <w:r w:rsidR="008D2E93" w:rsidRPr="0034374C">
              <w:rPr>
                <w:rStyle w:val="Lienhypertexte"/>
                <w:rFonts w:ascii="Bookman Old Style" w:hAnsi="Bookman Old Style"/>
                <w:noProof/>
              </w:rPr>
              <w:t>4.1.1. Scénarii de base du PND BURUNDI 2018-2027</w:t>
            </w:r>
            <w:r w:rsidR="008D2E93">
              <w:rPr>
                <w:noProof/>
                <w:webHidden/>
              </w:rPr>
              <w:tab/>
            </w:r>
            <w:r w:rsidR="00E93486">
              <w:rPr>
                <w:noProof/>
                <w:webHidden/>
              </w:rPr>
              <w:fldChar w:fldCharType="begin"/>
            </w:r>
            <w:r w:rsidR="008D2E93">
              <w:rPr>
                <w:noProof/>
                <w:webHidden/>
              </w:rPr>
              <w:instrText xml:space="preserve"> PAGEREF _Toc511081559 \h </w:instrText>
            </w:r>
            <w:r w:rsidR="00E93486">
              <w:rPr>
                <w:noProof/>
                <w:webHidden/>
              </w:rPr>
            </w:r>
            <w:r w:rsidR="00E93486">
              <w:rPr>
                <w:noProof/>
                <w:webHidden/>
              </w:rPr>
              <w:fldChar w:fldCharType="separate"/>
            </w:r>
            <w:r w:rsidR="0092398B">
              <w:rPr>
                <w:noProof/>
                <w:webHidden/>
              </w:rPr>
              <w:t>41</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62" w:history="1">
            <w:r w:rsidR="008D2E93" w:rsidRPr="0034374C">
              <w:rPr>
                <w:rStyle w:val="Lienhypertexte"/>
                <w:rFonts w:ascii="Bookman Old Style" w:hAnsi="Bookman Old Style"/>
                <w:noProof/>
              </w:rPr>
              <w:t>4.1.2. Vue d’ensemble des enjeux et orientations stratégiques</w:t>
            </w:r>
            <w:r w:rsidR="008D2E93">
              <w:rPr>
                <w:noProof/>
                <w:webHidden/>
              </w:rPr>
              <w:tab/>
            </w:r>
            <w:r w:rsidR="00E93486">
              <w:rPr>
                <w:noProof/>
                <w:webHidden/>
              </w:rPr>
              <w:fldChar w:fldCharType="begin"/>
            </w:r>
            <w:r w:rsidR="008D2E93">
              <w:rPr>
                <w:noProof/>
                <w:webHidden/>
              </w:rPr>
              <w:instrText xml:space="preserve"> PAGEREF _Toc511081562 \h </w:instrText>
            </w:r>
            <w:r w:rsidR="00E93486">
              <w:rPr>
                <w:noProof/>
                <w:webHidden/>
              </w:rPr>
            </w:r>
            <w:r w:rsidR="00E93486">
              <w:rPr>
                <w:noProof/>
                <w:webHidden/>
              </w:rPr>
              <w:fldChar w:fldCharType="separate"/>
            </w:r>
            <w:r w:rsidR="0092398B">
              <w:rPr>
                <w:noProof/>
                <w:webHidden/>
              </w:rPr>
              <w:t>43</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566" w:history="1">
            <w:r w:rsidR="008D2E93" w:rsidRPr="0034374C">
              <w:rPr>
                <w:rStyle w:val="Lienhypertexte"/>
                <w:noProof/>
              </w:rPr>
              <w:t>4.2. Enjeu 1 : Une croissance soutenue et inclusive pour une résilience économique et un développement durable</w:t>
            </w:r>
            <w:r w:rsidR="008D2E93">
              <w:rPr>
                <w:noProof/>
                <w:webHidden/>
              </w:rPr>
              <w:tab/>
            </w:r>
            <w:r w:rsidR="00E93486">
              <w:rPr>
                <w:noProof/>
                <w:webHidden/>
              </w:rPr>
              <w:fldChar w:fldCharType="begin"/>
            </w:r>
            <w:r w:rsidR="008D2E93">
              <w:rPr>
                <w:noProof/>
                <w:webHidden/>
              </w:rPr>
              <w:instrText xml:space="preserve"> PAGEREF _Toc511081566 \h </w:instrText>
            </w:r>
            <w:r w:rsidR="00E93486">
              <w:rPr>
                <w:noProof/>
                <w:webHidden/>
              </w:rPr>
            </w:r>
            <w:r w:rsidR="00E93486">
              <w:rPr>
                <w:noProof/>
                <w:webHidden/>
              </w:rPr>
              <w:fldChar w:fldCharType="separate"/>
            </w:r>
            <w:r w:rsidR="0092398B">
              <w:rPr>
                <w:noProof/>
                <w:webHidden/>
              </w:rPr>
              <w:t>45</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67" w:history="1">
            <w:r w:rsidR="008D2E93" w:rsidRPr="0034374C">
              <w:rPr>
                <w:rStyle w:val="Lienhypertexte"/>
                <w:rFonts w:ascii="Bookman Old Style" w:hAnsi="Bookman Old Style"/>
                <w:noProof/>
              </w:rPr>
              <w:t>4.2.1. Orientation stratégique 1: Dynamiser les secteurs porteurs de   croissance</w:t>
            </w:r>
            <w:r w:rsidR="008D2E93">
              <w:rPr>
                <w:noProof/>
                <w:webHidden/>
              </w:rPr>
              <w:tab/>
            </w:r>
            <w:r w:rsidR="00E93486">
              <w:rPr>
                <w:noProof/>
                <w:webHidden/>
              </w:rPr>
              <w:fldChar w:fldCharType="begin"/>
            </w:r>
            <w:r w:rsidR="008D2E93">
              <w:rPr>
                <w:noProof/>
                <w:webHidden/>
              </w:rPr>
              <w:instrText xml:space="preserve"> PAGEREF _Toc511081567 \h </w:instrText>
            </w:r>
            <w:r w:rsidR="00E93486">
              <w:rPr>
                <w:noProof/>
                <w:webHidden/>
              </w:rPr>
            </w:r>
            <w:r w:rsidR="00E93486">
              <w:rPr>
                <w:noProof/>
                <w:webHidden/>
              </w:rPr>
              <w:fldChar w:fldCharType="separate"/>
            </w:r>
            <w:r w:rsidR="0092398B">
              <w:rPr>
                <w:noProof/>
                <w:webHidden/>
              </w:rPr>
              <w:t>45</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86" w:history="1">
            <w:r w:rsidR="008D2E93" w:rsidRPr="0034374C">
              <w:rPr>
                <w:rStyle w:val="Lienhypertexte"/>
                <w:rFonts w:ascii="Bookman Old Style" w:hAnsi="Bookman Old Style"/>
                <w:noProof/>
              </w:rPr>
              <w:t>4.2.2. Orientation stratégique 2 : Développer le capital humain</w:t>
            </w:r>
            <w:r w:rsidR="008D2E93">
              <w:rPr>
                <w:noProof/>
                <w:webHidden/>
              </w:rPr>
              <w:tab/>
            </w:r>
            <w:r w:rsidR="00E93486">
              <w:rPr>
                <w:noProof/>
                <w:webHidden/>
              </w:rPr>
              <w:fldChar w:fldCharType="begin"/>
            </w:r>
            <w:r w:rsidR="008D2E93">
              <w:rPr>
                <w:noProof/>
                <w:webHidden/>
              </w:rPr>
              <w:instrText xml:space="preserve"> PAGEREF _Toc511081586 \h </w:instrText>
            </w:r>
            <w:r w:rsidR="00E93486">
              <w:rPr>
                <w:noProof/>
                <w:webHidden/>
              </w:rPr>
            </w:r>
            <w:r w:rsidR="00E93486">
              <w:rPr>
                <w:noProof/>
                <w:webHidden/>
              </w:rPr>
              <w:fldChar w:fldCharType="separate"/>
            </w:r>
            <w:r w:rsidR="0092398B">
              <w:rPr>
                <w:noProof/>
                <w:webHidden/>
              </w:rPr>
              <w:t>47</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594" w:history="1">
            <w:r w:rsidR="008D2E93" w:rsidRPr="0034374C">
              <w:rPr>
                <w:rStyle w:val="Lienhypertexte"/>
                <w:rFonts w:ascii="Bookman Old Style" w:hAnsi="Bookman Old Style"/>
                <w:noProof/>
              </w:rPr>
              <w:t>4.2.3. Orientation stratégique 3 : Protéger l’environnement, s’adapter aux changements climatiques et améliorer l’aménagement du territoire</w:t>
            </w:r>
            <w:r w:rsidR="008D2E93">
              <w:rPr>
                <w:noProof/>
                <w:webHidden/>
              </w:rPr>
              <w:tab/>
            </w:r>
            <w:r w:rsidR="00E93486">
              <w:rPr>
                <w:noProof/>
                <w:webHidden/>
              </w:rPr>
              <w:fldChar w:fldCharType="begin"/>
            </w:r>
            <w:r w:rsidR="008D2E93">
              <w:rPr>
                <w:noProof/>
                <w:webHidden/>
              </w:rPr>
              <w:instrText xml:space="preserve"> PAGEREF _Toc511081594 \h </w:instrText>
            </w:r>
            <w:r w:rsidR="00E93486">
              <w:rPr>
                <w:noProof/>
                <w:webHidden/>
              </w:rPr>
            </w:r>
            <w:r w:rsidR="00E93486">
              <w:rPr>
                <w:noProof/>
                <w:webHidden/>
              </w:rPr>
              <w:fldChar w:fldCharType="separate"/>
            </w:r>
            <w:r w:rsidR="0092398B">
              <w:rPr>
                <w:noProof/>
                <w:webHidden/>
              </w:rPr>
              <w:t>48</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603" w:history="1">
            <w:r w:rsidR="008D2E93" w:rsidRPr="0034374C">
              <w:rPr>
                <w:rStyle w:val="Lienhypertexte"/>
                <w:noProof/>
              </w:rPr>
              <w:t>4.3. Enjeu 2: Une gouvernance axée sur la sauvegarde de la souveraineté nationale</w:t>
            </w:r>
            <w:r w:rsidR="008D2E93">
              <w:rPr>
                <w:noProof/>
                <w:webHidden/>
              </w:rPr>
              <w:tab/>
            </w:r>
            <w:r w:rsidR="00E93486">
              <w:rPr>
                <w:noProof/>
                <w:webHidden/>
              </w:rPr>
              <w:fldChar w:fldCharType="begin"/>
            </w:r>
            <w:r w:rsidR="008D2E93">
              <w:rPr>
                <w:noProof/>
                <w:webHidden/>
              </w:rPr>
              <w:instrText xml:space="preserve"> PAGEREF _Toc511081603 \h </w:instrText>
            </w:r>
            <w:r w:rsidR="00E93486">
              <w:rPr>
                <w:noProof/>
                <w:webHidden/>
              </w:rPr>
            </w:r>
            <w:r w:rsidR="00E93486">
              <w:rPr>
                <w:noProof/>
                <w:webHidden/>
              </w:rPr>
              <w:fldChar w:fldCharType="separate"/>
            </w:r>
            <w:r w:rsidR="0092398B">
              <w:rPr>
                <w:noProof/>
                <w:webHidden/>
              </w:rPr>
              <w:t>49</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609" w:history="1">
            <w:r w:rsidR="008D2E93" w:rsidRPr="0034374C">
              <w:rPr>
                <w:rStyle w:val="Lienhypertexte"/>
                <w:noProof/>
              </w:rPr>
              <w:t>4.4. Enjeu 3 : Des mécanismes efficaces et efficients de mobilisation de ressources, capitalisation de la coopération  et recherche du financement innovant</w:t>
            </w:r>
            <w:r w:rsidR="008D2E93">
              <w:rPr>
                <w:noProof/>
                <w:webHidden/>
              </w:rPr>
              <w:tab/>
            </w:r>
            <w:r w:rsidR="00E93486">
              <w:rPr>
                <w:noProof/>
                <w:webHidden/>
              </w:rPr>
              <w:fldChar w:fldCharType="begin"/>
            </w:r>
            <w:r w:rsidR="008D2E93">
              <w:rPr>
                <w:noProof/>
                <w:webHidden/>
              </w:rPr>
              <w:instrText xml:space="preserve"> PAGEREF _Toc511081609 \h </w:instrText>
            </w:r>
            <w:r w:rsidR="00E93486">
              <w:rPr>
                <w:noProof/>
                <w:webHidden/>
              </w:rPr>
            </w:r>
            <w:r w:rsidR="00E93486">
              <w:rPr>
                <w:noProof/>
                <w:webHidden/>
              </w:rPr>
              <w:fldChar w:fldCharType="separate"/>
            </w:r>
            <w:r w:rsidR="0092398B">
              <w:rPr>
                <w:noProof/>
                <w:webHidden/>
              </w:rPr>
              <w:t>50</w:t>
            </w:r>
            <w:r w:rsidR="00E93486">
              <w:rPr>
                <w:noProof/>
                <w:webHidden/>
              </w:rPr>
              <w:fldChar w:fldCharType="end"/>
            </w:r>
          </w:hyperlink>
        </w:p>
        <w:p w:rsidR="008D2E93" w:rsidRDefault="00B05688">
          <w:pPr>
            <w:pStyle w:val="TM1"/>
            <w:rPr>
              <w:rFonts w:eastAsiaTheme="minorEastAsia"/>
              <w:b w:val="0"/>
              <w:bCs w:val="0"/>
              <w:caps w:val="0"/>
              <w:noProof/>
              <w:sz w:val="22"/>
              <w:szCs w:val="22"/>
              <w:lang w:eastAsia="fr-FR"/>
            </w:rPr>
          </w:pPr>
          <w:hyperlink w:anchor="_Toc511081617" w:history="1">
            <w:r w:rsidR="008D2E93" w:rsidRPr="0034374C">
              <w:rPr>
                <w:rStyle w:val="Lienhypertexte"/>
                <w:noProof/>
              </w:rPr>
              <w:t>V. CADRAGE MACROECONOMIQUE ET BUDGETAIRE</w:t>
            </w:r>
            <w:r w:rsidR="008D2E93">
              <w:rPr>
                <w:noProof/>
                <w:webHidden/>
              </w:rPr>
              <w:tab/>
            </w:r>
            <w:r w:rsidR="00E93486">
              <w:rPr>
                <w:noProof/>
                <w:webHidden/>
              </w:rPr>
              <w:fldChar w:fldCharType="begin"/>
            </w:r>
            <w:r w:rsidR="008D2E93">
              <w:rPr>
                <w:noProof/>
                <w:webHidden/>
              </w:rPr>
              <w:instrText xml:space="preserve"> PAGEREF _Toc511081617 \h </w:instrText>
            </w:r>
            <w:r w:rsidR="00E93486">
              <w:rPr>
                <w:noProof/>
                <w:webHidden/>
              </w:rPr>
            </w:r>
            <w:r w:rsidR="00E93486">
              <w:rPr>
                <w:noProof/>
                <w:webHidden/>
              </w:rPr>
              <w:fldChar w:fldCharType="separate"/>
            </w:r>
            <w:r w:rsidR="0092398B">
              <w:rPr>
                <w:noProof/>
                <w:webHidden/>
              </w:rPr>
              <w:t>53</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618" w:history="1">
            <w:r w:rsidR="008D2E93" w:rsidRPr="0034374C">
              <w:rPr>
                <w:rStyle w:val="Lienhypertexte"/>
                <w:noProof/>
              </w:rPr>
              <w:t>5.0. Introduction</w:t>
            </w:r>
            <w:r w:rsidR="008D2E93">
              <w:rPr>
                <w:noProof/>
                <w:webHidden/>
              </w:rPr>
              <w:tab/>
            </w:r>
            <w:r w:rsidR="00E93486">
              <w:rPr>
                <w:noProof/>
                <w:webHidden/>
              </w:rPr>
              <w:fldChar w:fldCharType="begin"/>
            </w:r>
            <w:r w:rsidR="008D2E93">
              <w:rPr>
                <w:noProof/>
                <w:webHidden/>
              </w:rPr>
              <w:instrText xml:space="preserve"> PAGEREF _Toc511081618 \h </w:instrText>
            </w:r>
            <w:r w:rsidR="00E93486">
              <w:rPr>
                <w:noProof/>
                <w:webHidden/>
              </w:rPr>
            </w:r>
            <w:r w:rsidR="00E93486">
              <w:rPr>
                <w:noProof/>
                <w:webHidden/>
              </w:rPr>
              <w:fldChar w:fldCharType="separate"/>
            </w:r>
            <w:r w:rsidR="0092398B">
              <w:rPr>
                <w:noProof/>
                <w:webHidden/>
              </w:rPr>
              <w:t>54</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619" w:history="1">
            <w:r w:rsidR="008D2E93" w:rsidRPr="0034374C">
              <w:rPr>
                <w:rStyle w:val="Lienhypertexte"/>
                <w:noProof/>
              </w:rPr>
              <w:t>5.1. Hypothèses de croissance économique</w:t>
            </w:r>
            <w:r w:rsidR="008D2E93">
              <w:rPr>
                <w:noProof/>
                <w:webHidden/>
              </w:rPr>
              <w:tab/>
            </w:r>
            <w:r w:rsidR="00E93486">
              <w:rPr>
                <w:noProof/>
                <w:webHidden/>
              </w:rPr>
              <w:fldChar w:fldCharType="begin"/>
            </w:r>
            <w:r w:rsidR="008D2E93">
              <w:rPr>
                <w:noProof/>
                <w:webHidden/>
              </w:rPr>
              <w:instrText xml:space="preserve"> PAGEREF _Toc511081619 \h </w:instrText>
            </w:r>
            <w:r w:rsidR="00E93486">
              <w:rPr>
                <w:noProof/>
                <w:webHidden/>
              </w:rPr>
            </w:r>
            <w:r w:rsidR="00E93486">
              <w:rPr>
                <w:noProof/>
                <w:webHidden/>
              </w:rPr>
              <w:fldChar w:fldCharType="separate"/>
            </w:r>
            <w:r w:rsidR="0092398B">
              <w:rPr>
                <w:noProof/>
                <w:webHidden/>
              </w:rPr>
              <w:t>54</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625" w:history="1">
            <w:r w:rsidR="008D2E93" w:rsidRPr="0034374C">
              <w:rPr>
                <w:rStyle w:val="Lienhypertexte"/>
                <w:noProof/>
              </w:rPr>
              <w:t>5.2. Implications sur le cadre macroéconomique</w:t>
            </w:r>
            <w:r w:rsidR="008D2E93">
              <w:rPr>
                <w:noProof/>
                <w:webHidden/>
              </w:rPr>
              <w:tab/>
            </w:r>
            <w:r w:rsidR="00E93486">
              <w:rPr>
                <w:noProof/>
                <w:webHidden/>
              </w:rPr>
              <w:fldChar w:fldCharType="begin"/>
            </w:r>
            <w:r w:rsidR="008D2E93">
              <w:rPr>
                <w:noProof/>
                <w:webHidden/>
              </w:rPr>
              <w:instrText xml:space="preserve"> PAGEREF _Toc511081625 \h </w:instrText>
            </w:r>
            <w:r w:rsidR="00E93486">
              <w:rPr>
                <w:noProof/>
                <w:webHidden/>
              </w:rPr>
            </w:r>
            <w:r w:rsidR="00E93486">
              <w:rPr>
                <w:noProof/>
                <w:webHidden/>
              </w:rPr>
              <w:fldChar w:fldCharType="separate"/>
            </w:r>
            <w:r w:rsidR="0092398B">
              <w:rPr>
                <w:noProof/>
                <w:webHidden/>
              </w:rPr>
              <w:t>55</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626" w:history="1">
            <w:r w:rsidR="008D2E93" w:rsidRPr="0034374C">
              <w:rPr>
                <w:rStyle w:val="Lienhypertexte"/>
                <w:rFonts w:ascii="Bookman Old Style" w:hAnsi="Bookman Old Style"/>
                <w:noProof/>
              </w:rPr>
              <w:t>5.2.1. Profil de croissance économique</w:t>
            </w:r>
            <w:r w:rsidR="008D2E93">
              <w:rPr>
                <w:noProof/>
                <w:webHidden/>
              </w:rPr>
              <w:tab/>
            </w:r>
            <w:r w:rsidR="00E93486">
              <w:rPr>
                <w:noProof/>
                <w:webHidden/>
              </w:rPr>
              <w:fldChar w:fldCharType="begin"/>
            </w:r>
            <w:r w:rsidR="008D2E93">
              <w:rPr>
                <w:noProof/>
                <w:webHidden/>
              </w:rPr>
              <w:instrText xml:space="preserve"> PAGEREF _Toc511081626 \h </w:instrText>
            </w:r>
            <w:r w:rsidR="00E93486">
              <w:rPr>
                <w:noProof/>
                <w:webHidden/>
              </w:rPr>
            </w:r>
            <w:r w:rsidR="00E93486">
              <w:rPr>
                <w:noProof/>
                <w:webHidden/>
              </w:rPr>
              <w:fldChar w:fldCharType="separate"/>
            </w:r>
            <w:r w:rsidR="0092398B">
              <w:rPr>
                <w:noProof/>
                <w:webHidden/>
              </w:rPr>
              <w:t>55</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634" w:history="1">
            <w:r w:rsidR="008D2E93" w:rsidRPr="0034374C">
              <w:rPr>
                <w:rStyle w:val="Lienhypertexte"/>
                <w:rFonts w:ascii="Bookman Old Style" w:hAnsi="Bookman Old Style"/>
                <w:noProof/>
              </w:rPr>
              <w:t>5.2.2. Prévisions des finances publiques</w:t>
            </w:r>
            <w:r w:rsidR="008D2E93">
              <w:rPr>
                <w:noProof/>
                <w:webHidden/>
              </w:rPr>
              <w:tab/>
            </w:r>
            <w:r w:rsidR="00E93486">
              <w:rPr>
                <w:noProof/>
                <w:webHidden/>
              </w:rPr>
              <w:fldChar w:fldCharType="begin"/>
            </w:r>
            <w:r w:rsidR="008D2E93">
              <w:rPr>
                <w:noProof/>
                <w:webHidden/>
              </w:rPr>
              <w:instrText xml:space="preserve"> PAGEREF _Toc511081634 \h </w:instrText>
            </w:r>
            <w:r w:rsidR="00E93486">
              <w:rPr>
                <w:noProof/>
                <w:webHidden/>
              </w:rPr>
            </w:r>
            <w:r w:rsidR="00E93486">
              <w:rPr>
                <w:noProof/>
                <w:webHidden/>
              </w:rPr>
              <w:fldChar w:fldCharType="separate"/>
            </w:r>
            <w:r w:rsidR="0092398B">
              <w:rPr>
                <w:noProof/>
                <w:webHidden/>
              </w:rPr>
              <w:t>59</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636" w:history="1">
            <w:r w:rsidR="008D2E93" w:rsidRPr="0034374C">
              <w:rPr>
                <w:rStyle w:val="Lienhypertexte"/>
                <w:rFonts w:ascii="Bookman Old Style" w:hAnsi="Bookman Old Style"/>
                <w:noProof/>
              </w:rPr>
              <w:t>5.2.3. Révisions de la Balance des paiements</w:t>
            </w:r>
            <w:r w:rsidR="008D2E93">
              <w:rPr>
                <w:noProof/>
                <w:webHidden/>
              </w:rPr>
              <w:tab/>
            </w:r>
            <w:r w:rsidR="00E93486">
              <w:rPr>
                <w:noProof/>
                <w:webHidden/>
              </w:rPr>
              <w:fldChar w:fldCharType="begin"/>
            </w:r>
            <w:r w:rsidR="008D2E93">
              <w:rPr>
                <w:noProof/>
                <w:webHidden/>
              </w:rPr>
              <w:instrText xml:space="preserve"> PAGEREF _Toc511081636 \h </w:instrText>
            </w:r>
            <w:r w:rsidR="00E93486">
              <w:rPr>
                <w:noProof/>
                <w:webHidden/>
              </w:rPr>
            </w:r>
            <w:r w:rsidR="00E93486">
              <w:rPr>
                <w:noProof/>
                <w:webHidden/>
              </w:rPr>
              <w:fldChar w:fldCharType="separate"/>
            </w:r>
            <w:r w:rsidR="0092398B">
              <w:rPr>
                <w:noProof/>
                <w:webHidden/>
              </w:rPr>
              <w:t>60</w:t>
            </w:r>
            <w:r w:rsidR="00E93486">
              <w:rPr>
                <w:noProof/>
                <w:webHidden/>
              </w:rPr>
              <w:fldChar w:fldCharType="end"/>
            </w:r>
          </w:hyperlink>
        </w:p>
        <w:p w:rsidR="008D2E93" w:rsidRDefault="00B05688">
          <w:pPr>
            <w:pStyle w:val="TM3"/>
            <w:tabs>
              <w:tab w:val="right" w:leader="dot" w:pos="9628"/>
            </w:tabs>
            <w:rPr>
              <w:rFonts w:eastAsiaTheme="minorEastAsia"/>
              <w:i w:val="0"/>
              <w:iCs w:val="0"/>
              <w:noProof/>
              <w:sz w:val="22"/>
              <w:szCs w:val="22"/>
              <w:lang w:eastAsia="fr-FR"/>
            </w:rPr>
          </w:pPr>
          <w:hyperlink w:anchor="_Toc511081638" w:history="1">
            <w:r w:rsidR="008D2E93" w:rsidRPr="0034374C">
              <w:rPr>
                <w:rStyle w:val="Lienhypertexte"/>
                <w:rFonts w:ascii="Bookman Old Style" w:hAnsi="Bookman Old Style"/>
                <w:noProof/>
              </w:rPr>
              <w:t>5.2.4.  Prévisions du secteur monétaire</w:t>
            </w:r>
            <w:r w:rsidR="008D2E93">
              <w:rPr>
                <w:noProof/>
                <w:webHidden/>
              </w:rPr>
              <w:tab/>
            </w:r>
            <w:r w:rsidR="00E93486">
              <w:rPr>
                <w:noProof/>
                <w:webHidden/>
              </w:rPr>
              <w:fldChar w:fldCharType="begin"/>
            </w:r>
            <w:r w:rsidR="008D2E93">
              <w:rPr>
                <w:noProof/>
                <w:webHidden/>
              </w:rPr>
              <w:instrText xml:space="preserve"> PAGEREF _Toc511081638 \h </w:instrText>
            </w:r>
            <w:r w:rsidR="00E93486">
              <w:rPr>
                <w:noProof/>
                <w:webHidden/>
              </w:rPr>
            </w:r>
            <w:r w:rsidR="00E93486">
              <w:rPr>
                <w:noProof/>
                <w:webHidden/>
              </w:rPr>
              <w:fldChar w:fldCharType="separate"/>
            </w:r>
            <w:r w:rsidR="0092398B">
              <w:rPr>
                <w:noProof/>
                <w:webHidden/>
              </w:rPr>
              <w:t>61</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640" w:history="1">
            <w:r w:rsidR="008D2E93" w:rsidRPr="0034374C">
              <w:rPr>
                <w:rStyle w:val="Lienhypertexte"/>
                <w:noProof/>
              </w:rPr>
              <w:t>5.3. Cadrage budgétaire à moyen terme</w:t>
            </w:r>
            <w:r w:rsidR="008D2E93">
              <w:rPr>
                <w:noProof/>
                <w:webHidden/>
              </w:rPr>
              <w:tab/>
            </w:r>
            <w:r w:rsidR="00E93486">
              <w:rPr>
                <w:noProof/>
                <w:webHidden/>
              </w:rPr>
              <w:fldChar w:fldCharType="begin"/>
            </w:r>
            <w:r w:rsidR="008D2E93">
              <w:rPr>
                <w:noProof/>
                <w:webHidden/>
              </w:rPr>
              <w:instrText xml:space="preserve"> PAGEREF _Toc511081640 \h </w:instrText>
            </w:r>
            <w:r w:rsidR="00E93486">
              <w:rPr>
                <w:noProof/>
                <w:webHidden/>
              </w:rPr>
            </w:r>
            <w:r w:rsidR="00E93486">
              <w:rPr>
                <w:noProof/>
                <w:webHidden/>
              </w:rPr>
              <w:fldChar w:fldCharType="separate"/>
            </w:r>
            <w:r w:rsidR="0092398B">
              <w:rPr>
                <w:noProof/>
                <w:webHidden/>
              </w:rPr>
              <w:t>62</w:t>
            </w:r>
            <w:r w:rsidR="00E93486">
              <w:rPr>
                <w:noProof/>
                <w:webHidden/>
              </w:rPr>
              <w:fldChar w:fldCharType="end"/>
            </w:r>
          </w:hyperlink>
        </w:p>
        <w:p w:rsidR="008D2E93" w:rsidRDefault="00B05688">
          <w:pPr>
            <w:pStyle w:val="TM1"/>
            <w:rPr>
              <w:rFonts w:eastAsiaTheme="minorEastAsia"/>
              <w:b w:val="0"/>
              <w:bCs w:val="0"/>
              <w:caps w:val="0"/>
              <w:noProof/>
              <w:sz w:val="22"/>
              <w:szCs w:val="22"/>
              <w:lang w:eastAsia="fr-FR"/>
            </w:rPr>
          </w:pPr>
          <w:hyperlink w:anchor="_Toc511081641" w:history="1">
            <w:r w:rsidR="008D2E93" w:rsidRPr="0034374C">
              <w:rPr>
                <w:rStyle w:val="Lienhypertexte"/>
                <w:noProof/>
              </w:rPr>
              <w:t>VI. DISPOSITIF DE MISE EN ŒUVRE ET DU SUIVI  EVALUATION</w:t>
            </w:r>
            <w:r w:rsidR="008D2E93">
              <w:rPr>
                <w:noProof/>
                <w:webHidden/>
              </w:rPr>
              <w:tab/>
            </w:r>
            <w:r w:rsidR="00E93486">
              <w:rPr>
                <w:noProof/>
                <w:webHidden/>
              </w:rPr>
              <w:fldChar w:fldCharType="begin"/>
            </w:r>
            <w:r w:rsidR="008D2E93">
              <w:rPr>
                <w:noProof/>
                <w:webHidden/>
              </w:rPr>
              <w:instrText xml:space="preserve"> PAGEREF _Toc511081641 \h </w:instrText>
            </w:r>
            <w:r w:rsidR="00E93486">
              <w:rPr>
                <w:noProof/>
                <w:webHidden/>
              </w:rPr>
            </w:r>
            <w:r w:rsidR="00E93486">
              <w:rPr>
                <w:noProof/>
                <w:webHidden/>
              </w:rPr>
              <w:fldChar w:fldCharType="separate"/>
            </w:r>
            <w:r w:rsidR="0092398B">
              <w:rPr>
                <w:noProof/>
                <w:webHidden/>
              </w:rPr>
              <w:t>64</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642" w:history="1">
            <w:r w:rsidR="008D2E93" w:rsidRPr="0034374C">
              <w:rPr>
                <w:rStyle w:val="Lienhypertexte"/>
                <w:noProof/>
              </w:rPr>
              <w:t>6.1. Cadre institutionnel de coordination de la mise en œuvre du PND</w:t>
            </w:r>
            <w:r w:rsidR="008D2E93">
              <w:rPr>
                <w:noProof/>
                <w:webHidden/>
              </w:rPr>
              <w:tab/>
            </w:r>
            <w:r w:rsidR="00E93486">
              <w:rPr>
                <w:noProof/>
                <w:webHidden/>
              </w:rPr>
              <w:fldChar w:fldCharType="begin"/>
            </w:r>
            <w:r w:rsidR="008D2E93">
              <w:rPr>
                <w:noProof/>
                <w:webHidden/>
              </w:rPr>
              <w:instrText xml:space="preserve"> PAGEREF _Toc511081642 \h </w:instrText>
            </w:r>
            <w:r w:rsidR="00E93486">
              <w:rPr>
                <w:noProof/>
                <w:webHidden/>
              </w:rPr>
            </w:r>
            <w:r w:rsidR="00E93486">
              <w:rPr>
                <w:noProof/>
                <w:webHidden/>
              </w:rPr>
              <w:fldChar w:fldCharType="separate"/>
            </w:r>
            <w:r w:rsidR="0092398B">
              <w:rPr>
                <w:noProof/>
                <w:webHidden/>
              </w:rPr>
              <w:t>65</w:t>
            </w:r>
            <w:r w:rsidR="00E93486">
              <w:rPr>
                <w:noProof/>
                <w:webHidden/>
              </w:rPr>
              <w:fldChar w:fldCharType="end"/>
            </w:r>
          </w:hyperlink>
        </w:p>
        <w:p w:rsidR="008D2E93" w:rsidRDefault="00B05688">
          <w:pPr>
            <w:pStyle w:val="TM2"/>
            <w:tabs>
              <w:tab w:val="right" w:leader="dot" w:pos="9628"/>
            </w:tabs>
            <w:rPr>
              <w:rFonts w:eastAsiaTheme="minorEastAsia"/>
              <w:smallCaps w:val="0"/>
              <w:noProof/>
              <w:sz w:val="22"/>
              <w:szCs w:val="22"/>
              <w:lang w:eastAsia="fr-FR"/>
            </w:rPr>
          </w:pPr>
          <w:hyperlink w:anchor="_Toc511081643" w:history="1">
            <w:r w:rsidR="008D2E93" w:rsidRPr="0034374C">
              <w:rPr>
                <w:rStyle w:val="Lienhypertexte"/>
                <w:noProof/>
              </w:rPr>
              <w:t>6.2. Mécanisme de suivi évaluation</w:t>
            </w:r>
            <w:r w:rsidR="008D2E93">
              <w:rPr>
                <w:noProof/>
                <w:webHidden/>
              </w:rPr>
              <w:tab/>
            </w:r>
            <w:r w:rsidR="00E93486">
              <w:rPr>
                <w:noProof/>
                <w:webHidden/>
              </w:rPr>
              <w:fldChar w:fldCharType="begin"/>
            </w:r>
            <w:r w:rsidR="008D2E93">
              <w:rPr>
                <w:noProof/>
                <w:webHidden/>
              </w:rPr>
              <w:instrText xml:space="preserve"> PAGEREF _Toc511081643 \h </w:instrText>
            </w:r>
            <w:r w:rsidR="00E93486">
              <w:rPr>
                <w:noProof/>
                <w:webHidden/>
              </w:rPr>
            </w:r>
            <w:r w:rsidR="00E93486">
              <w:rPr>
                <w:noProof/>
                <w:webHidden/>
              </w:rPr>
              <w:fldChar w:fldCharType="separate"/>
            </w:r>
            <w:r w:rsidR="0092398B">
              <w:rPr>
                <w:noProof/>
                <w:webHidden/>
              </w:rPr>
              <w:t>67</w:t>
            </w:r>
            <w:r w:rsidR="00E93486">
              <w:rPr>
                <w:noProof/>
                <w:webHidden/>
              </w:rPr>
              <w:fldChar w:fldCharType="end"/>
            </w:r>
          </w:hyperlink>
        </w:p>
        <w:p w:rsidR="008D2E93" w:rsidRDefault="00B05688">
          <w:pPr>
            <w:pStyle w:val="TM1"/>
            <w:rPr>
              <w:rFonts w:eastAsiaTheme="minorEastAsia"/>
              <w:b w:val="0"/>
              <w:bCs w:val="0"/>
              <w:caps w:val="0"/>
              <w:noProof/>
              <w:sz w:val="22"/>
              <w:szCs w:val="22"/>
              <w:lang w:eastAsia="fr-FR"/>
            </w:rPr>
          </w:pPr>
          <w:hyperlink w:anchor="_Toc511081644" w:history="1">
            <w:r w:rsidR="008D2E93" w:rsidRPr="0034374C">
              <w:rPr>
                <w:rStyle w:val="Lienhypertexte"/>
                <w:noProof/>
              </w:rPr>
              <w:t>VII. CONCLUSION</w:t>
            </w:r>
            <w:r w:rsidR="008D2E93">
              <w:rPr>
                <w:noProof/>
                <w:webHidden/>
              </w:rPr>
              <w:tab/>
            </w:r>
            <w:r w:rsidR="00E93486">
              <w:rPr>
                <w:noProof/>
                <w:webHidden/>
              </w:rPr>
              <w:fldChar w:fldCharType="begin"/>
            </w:r>
            <w:r w:rsidR="008D2E93">
              <w:rPr>
                <w:noProof/>
                <w:webHidden/>
              </w:rPr>
              <w:instrText xml:space="preserve"> PAGEREF _Toc511081644 \h </w:instrText>
            </w:r>
            <w:r w:rsidR="00E93486">
              <w:rPr>
                <w:noProof/>
                <w:webHidden/>
              </w:rPr>
            </w:r>
            <w:r w:rsidR="00E93486">
              <w:rPr>
                <w:noProof/>
                <w:webHidden/>
              </w:rPr>
              <w:fldChar w:fldCharType="separate"/>
            </w:r>
            <w:r w:rsidR="0092398B">
              <w:rPr>
                <w:noProof/>
                <w:webHidden/>
              </w:rPr>
              <w:t>69</w:t>
            </w:r>
            <w:r w:rsidR="00E93486">
              <w:rPr>
                <w:noProof/>
                <w:webHidden/>
              </w:rPr>
              <w:fldChar w:fldCharType="end"/>
            </w:r>
          </w:hyperlink>
        </w:p>
        <w:p w:rsidR="008D2E93" w:rsidRDefault="00B05688">
          <w:pPr>
            <w:pStyle w:val="TM1"/>
            <w:rPr>
              <w:rFonts w:eastAsiaTheme="minorEastAsia"/>
              <w:b w:val="0"/>
              <w:bCs w:val="0"/>
              <w:caps w:val="0"/>
              <w:noProof/>
              <w:sz w:val="22"/>
              <w:szCs w:val="22"/>
              <w:lang w:eastAsia="fr-FR"/>
            </w:rPr>
          </w:pPr>
          <w:hyperlink w:anchor="_Toc511081645" w:history="1">
            <w:r w:rsidR="008D2E93" w:rsidRPr="0034374C">
              <w:rPr>
                <w:rStyle w:val="Lienhypertexte"/>
                <w:noProof/>
              </w:rPr>
              <w:t>ANNEXES</w:t>
            </w:r>
            <w:r w:rsidR="008D2E93">
              <w:rPr>
                <w:noProof/>
                <w:webHidden/>
              </w:rPr>
              <w:tab/>
            </w:r>
            <w:r w:rsidR="00E93486">
              <w:rPr>
                <w:noProof/>
                <w:webHidden/>
              </w:rPr>
              <w:fldChar w:fldCharType="begin"/>
            </w:r>
            <w:r w:rsidR="008D2E93">
              <w:rPr>
                <w:noProof/>
                <w:webHidden/>
              </w:rPr>
              <w:instrText xml:space="preserve"> PAGEREF _Toc511081645 \h </w:instrText>
            </w:r>
            <w:r w:rsidR="00E93486">
              <w:rPr>
                <w:noProof/>
                <w:webHidden/>
              </w:rPr>
            </w:r>
            <w:r w:rsidR="00E93486">
              <w:rPr>
                <w:noProof/>
                <w:webHidden/>
              </w:rPr>
              <w:fldChar w:fldCharType="separate"/>
            </w:r>
            <w:r w:rsidR="0092398B">
              <w:rPr>
                <w:noProof/>
                <w:webHidden/>
              </w:rPr>
              <w:t>71</w:t>
            </w:r>
            <w:r w:rsidR="00E93486">
              <w:rPr>
                <w:noProof/>
                <w:webHidden/>
              </w:rPr>
              <w:fldChar w:fldCharType="end"/>
            </w:r>
          </w:hyperlink>
        </w:p>
        <w:p w:rsidR="008D2E93" w:rsidRDefault="008D2E93">
          <w:pPr>
            <w:pStyle w:val="TM1"/>
            <w:rPr>
              <w:rFonts w:eastAsiaTheme="minorEastAsia"/>
              <w:b w:val="0"/>
              <w:bCs w:val="0"/>
              <w:caps w:val="0"/>
              <w:noProof/>
              <w:sz w:val="22"/>
              <w:szCs w:val="22"/>
              <w:lang w:eastAsia="fr-FR"/>
            </w:rPr>
          </w:pPr>
        </w:p>
        <w:p w:rsidR="008D2E93" w:rsidRDefault="00E93486">
          <w:r>
            <w:rPr>
              <w:b/>
              <w:bCs/>
              <w:noProof/>
            </w:rPr>
            <w:fldChar w:fldCharType="end"/>
          </w:r>
        </w:p>
      </w:sdtContent>
    </w:sdt>
    <w:p w:rsidR="00DE3A23" w:rsidRPr="00CA196C" w:rsidRDefault="00DE3A23" w:rsidP="00E92676">
      <w:pPr>
        <w:spacing w:before="160" w:after="120" w:line="240" w:lineRule="auto"/>
        <w:jc w:val="both"/>
        <w:rPr>
          <w:rFonts w:ascii="Bookman Old Style" w:hAnsi="Bookman Old Style" w:cs="Times New Roman"/>
          <w:b/>
          <w:bCs/>
          <w:sz w:val="24"/>
          <w:szCs w:val="24"/>
        </w:rPr>
      </w:pPr>
      <w:r w:rsidRPr="00CA196C">
        <w:rPr>
          <w:rFonts w:ascii="Bookman Old Style" w:hAnsi="Bookman Old Style" w:cs="Times New Roman"/>
          <w:b/>
          <w:bCs/>
          <w:sz w:val="24"/>
          <w:szCs w:val="24"/>
        </w:rPr>
        <w:br w:type="page"/>
      </w:r>
    </w:p>
    <w:p w:rsidR="00DE3A23" w:rsidRPr="00CA196C" w:rsidRDefault="00DE3A23" w:rsidP="005D43FC">
      <w:pPr>
        <w:pStyle w:val="Titre1"/>
      </w:pPr>
      <w:bookmarkStart w:id="4" w:name="_Toc500667051"/>
      <w:bookmarkStart w:id="5" w:name="_Toc511081519"/>
      <w:r w:rsidRPr="00CA196C">
        <w:lastRenderedPageBreak/>
        <w:t>LISTE DES TABLEAUX</w:t>
      </w:r>
      <w:bookmarkEnd w:id="4"/>
      <w:bookmarkEnd w:id="5"/>
      <w:r w:rsidRPr="00CA196C">
        <w:t xml:space="preserve"> </w:t>
      </w:r>
    </w:p>
    <w:p w:rsidR="00EA6409" w:rsidRDefault="00E93486">
      <w:pPr>
        <w:pStyle w:val="Tabledesillustrations"/>
        <w:tabs>
          <w:tab w:val="right" w:leader="dot" w:pos="9628"/>
        </w:tabs>
        <w:rPr>
          <w:rFonts w:eastAsiaTheme="minorEastAsia"/>
          <w:noProof/>
          <w:lang w:eastAsia="fr-FR"/>
        </w:rPr>
      </w:pPr>
      <w:r w:rsidRPr="00CA196C">
        <w:rPr>
          <w:rFonts w:ascii="Bookman Old Style" w:eastAsia="Times New Roman" w:hAnsi="Bookman Old Style" w:cs="Times New Roman"/>
          <w:sz w:val="24"/>
          <w:szCs w:val="24"/>
        </w:rPr>
        <w:fldChar w:fldCharType="begin"/>
      </w:r>
      <w:r w:rsidR="00DE3A23" w:rsidRPr="00CA196C">
        <w:rPr>
          <w:rFonts w:ascii="Bookman Old Style" w:eastAsia="Times New Roman" w:hAnsi="Bookman Old Style" w:cs="Times New Roman"/>
          <w:sz w:val="24"/>
          <w:szCs w:val="24"/>
        </w:rPr>
        <w:instrText xml:space="preserve"> TOC \f F \h \z \t "Titre;TabPND" \c </w:instrText>
      </w:r>
      <w:r w:rsidRPr="00CA196C">
        <w:rPr>
          <w:rFonts w:ascii="Bookman Old Style" w:eastAsia="Times New Roman" w:hAnsi="Bookman Old Style" w:cs="Times New Roman"/>
          <w:sz w:val="24"/>
          <w:szCs w:val="24"/>
        </w:rPr>
        <w:fldChar w:fldCharType="separate"/>
      </w:r>
      <w:hyperlink w:anchor="_Toc511076240" w:history="1">
        <w:r w:rsidR="00EA6409" w:rsidRPr="00605E55">
          <w:rPr>
            <w:rStyle w:val="Lienhypertexte"/>
            <w:rFonts w:ascii="Bookman Old Style" w:hAnsi="Bookman Old Style"/>
            <w:noProof/>
          </w:rPr>
          <w:t>Tableau 1. Evolution des indicateurs du secteur de la justice</w:t>
        </w:r>
        <w:r w:rsidR="00EA6409">
          <w:rPr>
            <w:noProof/>
            <w:webHidden/>
          </w:rPr>
          <w:tab/>
        </w:r>
        <w:r>
          <w:rPr>
            <w:noProof/>
            <w:webHidden/>
          </w:rPr>
          <w:fldChar w:fldCharType="begin"/>
        </w:r>
        <w:r w:rsidR="00EA6409">
          <w:rPr>
            <w:noProof/>
            <w:webHidden/>
          </w:rPr>
          <w:instrText xml:space="preserve"> PAGEREF _Toc511076240 \h </w:instrText>
        </w:r>
        <w:r>
          <w:rPr>
            <w:noProof/>
            <w:webHidden/>
          </w:rPr>
        </w:r>
        <w:r>
          <w:rPr>
            <w:noProof/>
            <w:webHidden/>
          </w:rPr>
          <w:fldChar w:fldCharType="separate"/>
        </w:r>
        <w:r w:rsidR="0092398B">
          <w:rPr>
            <w:noProof/>
            <w:webHidden/>
          </w:rPr>
          <w:t>32</w:t>
        </w:r>
        <w:r>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41" w:history="1">
        <w:r w:rsidR="00EA6409" w:rsidRPr="00605E55">
          <w:rPr>
            <w:rStyle w:val="Lienhypertexte"/>
            <w:rFonts w:ascii="Bookman Old Style" w:hAnsi="Bookman Old Style"/>
            <w:noProof/>
          </w:rPr>
          <w:t>Tableau 2. Résultats de l’opérationnalisation des institutions publiques de lutte contre les malversations économiques et infractions connexes</w:t>
        </w:r>
        <w:r w:rsidR="00EA6409">
          <w:rPr>
            <w:noProof/>
            <w:webHidden/>
          </w:rPr>
          <w:tab/>
        </w:r>
        <w:r w:rsidR="00E93486">
          <w:rPr>
            <w:noProof/>
            <w:webHidden/>
          </w:rPr>
          <w:fldChar w:fldCharType="begin"/>
        </w:r>
        <w:r w:rsidR="00EA6409">
          <w:rPr>
            <w:noProof/>
            <w:webHidden/>
          </w:rPr>
          <w:instrText xml:space="preserve"> PAGEREF _Toc511076241 \h </w:instrText>
        </w:r>
        <w:r w:rsidR="00E93486">
          <w:rPr>
            <w:noProof/>
            <w:webHidden/>
          </w:rPr>
        </w:r>
        <w:r w:rsidR="00E93486">
          <w:rPr>
            <w:noProof/>
            <w:webHidden/>
          </w:rPr>
          <w:fldChar w:fldCharType="separate"/>
        </w:r>
        <w:r w:rsidR="0092398B">
          <w:rPr>
            <w:noProof/>
            <w:webHidden/>
          </w:rPr>
          <w:t>34</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42" w:history="1">
        <w:r w:rsidR="00EA6409" w:rsidRPr="00605E55">
          <w:rPr>
            <w:rStyle w:val="Lienhypertexte"/>
            <w:rFonts w:ascii="Bookman Old Style" w:hAnsi="Bookman Old Style"/>
            <w:noProof/>
          </w:rPr>
          <w:t>Tableau3. Evolution des indicateurs du PIB</w:t>
        </w:r>
        <w:r w:rsidR="00EA6409">
          <w:rPr>
            <w:noProof/>
            <w:webHidden/>
          </w:rPr>
          <w:tab/>
        </w:r>
        <w:r w:rsidR="00E93486">
          <w:rPr>
            <w:noProof/>
            <w:webHidden/>
          </w:rPr>
          <w:fldChar w:fldCharType="begin"/>
        </w:r>
        <w:r w:rsidR="00EA6409">
          <w:rPr>
            <w:noProof/>
            <w:webHidden/>
          </w:rPr>
          <w:instrText xml:space="preserve"> PAGEREF _Toc511076242 \h </w:instrText>
        </w:r>
        <w:r w:rsidR="00E93486">
          <w:rPr>
            <w:noProof/>
            <w:webHidden/>
          </w:rPr>
        </w:r>
        <w:r w:rsidR="00E93486">
          <w:rPr>
            <w:noProof/>
            <w:webHidden/>
          </w:rPr>
          <w:fldChar w:fldCharType="separate"/>
        </w:r>
        <w:r w:rsidR="0092398B">
          <w:rPr>
            <w:noProof/>
            <w:webHidden/>
          </w:rPr>
          <w:t>36</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43" w:history="1">
        <w:r w:rsidR="00EA6409" w:rsidRPr="00605E55">
          <w:rPr>
            <w:rStyle w:val="Lienhypertexte"/>
            <w:rFonts w:ascii="Bookman Old Style" w:hAnsi="Bookman Old Style"/>
            <w:noProof/>
          </w:rPr>
          <w:t>Tableau 4. Evolution des indicateurs de l'Epargne et de l'Investissement (En Mrds de BIF)</w:t>
        </w:r>
        <w:r w:rsidR="00EA6409">
          <w:rPr>
            <w:noProof/>
            <w:webHidden/>
          </w:rPr>
          <w:tab/>
        </w:r>
        <w:r w:rsidR="00E93486">
          <w:rPr>
            <w:noProof/>
            <w:webHidden/>
          </w:rPr>
          <w:fldChar w:fldCharType="begin"/>
        </w:r>
        <w:r w:rsidR="00EA6409">
          <w:rPr>
            <w:noProof/>
            <w:webHidden/>
          </w:rPr>
          <w:instrText xml:space="preserve"> PAGEREF _Toc511076243 \h </w:instrText>
        </w:r>
        <w:r w:rsidR="00E93486">
          <w:rPr>
            <w:noProof/>
            <w:webHidden/>
          </w:rPr>
        </w:r>
        <w:r w:rsidR="00E93486">
          <w:rPr>
            <w:noProof/>
            <w:webHidden/>
          </w:rPr>
          <w:fldChar w:fldCharType="separate"/>
        </w:r>
        <w:r w:rsidR="0092398B">
          <w:rPr>
            <w:noProof/>
            <w:webHidden/>
          </w:rPr>
          <w:t>37</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44" w:history="1">
        <w:r w:rsidR="00EA6409" w:rsidRPr="00605E55">
          <w:rPr>
            <w:rStyle w:val="Lienhypertexte"/>
            <w:rFonts w:ascii="Bookman Old Style" w:hAnsi="Bookman Old Style"/>
            <w:noProof/>
          </w:rPr>
          <w:t>Tableau 5: Evolution des indicateurs des finances publiques</w:t>
        </w:r>
        <w:r w:rsidR="00EA6409">
          <w:rPr>
            <w:noProof/>
            <w:webHidden/>
          </w:rPr>
          <w:tab/>
        </w:r>
        <w:r w:rsidR="00E93486">
          <w:rPr>
            <w:noProof/>
            <w:webHidden/>
          </w:rPr>
          <w:fldChar w:fldCharType="begin"/>
        </w:r>
        <w:r w:rsidR="00EA6409">
          <w:rPr>
            <w:noProof/>
            <w:webHidden/>
          </w:rPr>
          <w:instrText xml:space="preserve"> PAGEREF _Toc511076244 \h </w:instrText>
        </w:r>
        <w:r w:rsidR="00E93486">
          <w:rPr>
            <w:noProof/>
            <w:webHidden/>
          </w:rPr>
        </w:r>
        <w:r w:rsidR="00E93486">
          <w:rPr>
            <w:noProof/>
            <w:webHidden/>
          </w:rPr>
          <w:fldChar w:fldCharType="separate"/>
        </w:r>
        <w:r w:rsidR="0092398B">
          <w:rPr>
            <w:noProof/>
            <w:webHidden/>
          </w:rPr>
          <w:t>37</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45" w:history="1">
        <w:r w:rsidR="00EA6409" w:rsidRPr="00605E55">
          <w:rPr>
            <w:rStyle w:val="Lienhypertexte"/>
            <w:rFonts w:ascii="Bookman Old Style" w:hAnsi="Bookman Old Style"/>
            <w:noProof/>
          </w:rPr>
          <w:t>Tableau 6: Evolution des indicateurs du secteur extérieur</w:t>
        </w:r>
        <w:r w:rsidR="00EA6409">
          <w:rPr>
            <w:noProof/>
            <w:webHidden/>
          </w:rPr>
          <w:tab/>
        </w:r>
        <w:r w:rsidR="00E93486">
          <w:rPr>
            <w:noProof/>
            <w:webHidden/>
          </w:rPr>
          <w:fldChar w:fldCharType="begin"/>
        </w:r>
        <w:r w:rsidR="00EA6409">
          <w:rPr>
            <w:noProof/>
            <w:webHidden/>
          </w:rPr>
          <w:instrText xml:space="preserve"> PAGEREF _Toc511076245 \h </w:instrText>
        </w:r>
        <w:r w:rsidR="00E93486">
          <w:rPr>
            <w:noProof/>
            <w:webHidden/>
          </w:rPr>
        </w:r>
        <w:r w:rsidR="00E93486">
          <w:rPr>
            <w:noProof/>
            <w:webHidden/>
          </w:rPr>
          <w:fldChar w:fldCharType="separate"/>
        </w:r>
        <w:r w:rsidR="0092398B">
          <w:rPr>
            <w:noProof/>
            <w:webHidden/>
          </w:rPr>
          <w:t>38</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46" w:history="1">
        <w:r w:rsidR="00EA6409" w:rsidRPr="00605E55">
          <w:rPr>
            <w:rStyle w:val="Lienhypertexte"/>
            <w:rFonts w:ascii="Bookman Old Style" w:hAnsi="Bookman Old Style"/>
            <w:noProof/>
          </w:rPr>
          <w:t>Tableau 7. Evolution des indicateurs de monnaie et de crédit</w:t>
        </w:r>
        <w:r w:rsidR="00EA6409">
          <w:rPr>
            <w:noProof/>
            <w:webHidden/>
          </w:rPr>
          <w:tab/>
        </w:r>
        <w:r w:rsidR="00E93486">
          <w:rPr>
            <w:noProof/>
            <w:webHidden/>
          </w:rPr>
          <w:fldChar w:fldCharType="begin"/>
        </w:r>
        <w:r w:rsidR="00EA6409">
          <w:rPr>
            <w:noProof/>
            <w:webHidden/>
          </w:rPr>
          <w:instrText xml:space="preserve"> PAGEREF _Toc511076246 \h </w:instrText>
        </w:r>
        <w:r w:rsidR="00E93486">
          <w:rPr>
            <w:noProof/>
            <w:webHidden/>
          </w:rPr>
        </w:r>
        <w:r w:rsidR="00E93486">
          <w:rPr>
            <w:noProof/>
            <w:webHidden/>
          </w:rPr>
          <w:fldChar w:fldCharType="separate"/>
        </w:r>
        <w:r w:rsidR="0092398B">
          <w:rPr>
            <w:noProof/>
            <w:webHidden/>
          </w:rPr>
          <w:t>39</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47" w:history="1">
        <w:r w:rsidR="00EA6409" w:rsidRPr="00605E55">
          <w:rPr>
            <w:rStyle w:val="Lienhypertexte"/>
            <w:rFonts w:ascii="Bookman Old Style" w:hAnsi="Bookman Old Style"/>
            <w:noProof/>
          </w:rPr>
          <w:t>Tableau 8. Axes d’intervention et objectifs  pour l’orientation stratégique n°1 du PND BURUNDI 2018-2027</w:t>
        </w:r>
        <w:r w:rsidR="00EA6409">
          <w:rPr>
            <w:noProof/>
            <w:webHidden/>
          </w:rPr>
          <w:tab/>
        </w:r>
        <w:r w:rsidR="00E93486">
          <w:rPr>
            <w:noProof/>
            <w:webHidden/>
          </w:rPr>
          <w:fldChar w:fldCharType="begin"/>
        </w:r>
        <w:r w:rsidR="00EA6409">
          <w:rPr>
            <w:noProof/>
            <w:webHidden/>
          </w:rPr>
          <w:instrText xml:space="preserve"> PAGEREF _Toc511076247 \h </w:instrText>
        </w:r>
        <w:r w:rsidR="00E93486">
          <w:rPr>
            <w:noProof/>
            <w:webHidden/>
          </w:rPr>
        </w:r>
        <w:r w:rsidR="00E93486">
          <w:rPr>
            <w:noProof/>
            <w:webHidden/>
          </w:rPr>
          <w:fldChar w:fldCharType="separate"/>
        </w:r>
        <w:r w:rsidR="0092398B">
          <w:rPr>
            <w:noProof/>
            <w:webHidden/>
          </w:rPr>
          <w:t>46</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48" w:history="1">
        <w:r w:rsidR="00EA6409" w:rsidRPr="00605E55">
          <w:rPr>
            <w:rStyle w:val="Lienhypertexte"/>
            <w:rFonts w:ascii="Bookman Old Style" w:hAnsi="Bookman Old Style"/>
            <w:noProof/>
          </w:rPr>
          <w:t>Tableau 9. Axes d’intervention et objectifs  pour l’orientation  stratégique n°2  du PND BURUNDI 2018-2027</w:t>
        </w:r>
        <w:r w:rsidR="00EA6409">
          <w:rPr>
            <w:noProof/>
            <w:webHidden/>
          </w:rPr>
          <w:tab/>
        </w:r>
        <w:r w:rsidR="00E93486">
          <w:rPr>
            <w:noProof/>
            <w:webHidden/>
          </w:rPr>
          <w:fldChar w:fldCharType="begin"/>
        </w:r>
        <w:r w:rsidR="00EA6409">
          <w:rPr>
            <w:noProof/>
            <w:webHidden/>
          </w:rPr>
          <w:instrText xml:space="preserve"> PAGEREF _Toc511076248 \h </w:instrText>
        </w:r>
        <w:r w:rsidR="00E93486">
          <w:rPr>
            <w:noProof/>
            <w:webHidden/>
          </w:rPr>
        </w:r>
        <w:r w:rsidR="00E93486">
          <w:rPr>
            <w:noProof/>
            <w:webHidden/>
          </w:rPr>
          <w:fldChar w:fldCharType="separate"/>
        </w:r>
        <w:r w:rsidR="0092398B">
          <w:rPr>
            <w:noProof/>
            <w:webHidden/>
          </w:rPr>
          <w:t>48</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49" w:history="1">
        <w:r w:rsidR="00EA6409" w:rsidRPr="00605E55">
          <w:rPr>
            <w:rStyle w:val="Lienhypertexte"/>
            <w:rFonts w:ascii="Bookman Old Style" w:hAnsi="Bookman Old Style"/>
            <w:noProof/>
          </w:rPr>
          <w:t>Tableau 10. Axes d’intervention et objectifs  pour l’orientation stratégique n°3 du PND BURUNDI 2018-2027</w:t>
        </w:r>
        <w:r w:rsidR="00EA6409">
          <w:rPr>
            <w:noProof/>
            <w:webHidden/>
          </w:rPr>
          <w:tab/>
        </w:r>
        <w:r w:rsidR="00E93486">
          <w:rPr>
            <w:noProof/>
            <w:webHidden/>
          </w:rPr>
          <w:fldChar w:fldCharType="begin"/>
        </w:r>
        <w:r w:rsidR="00EA6409">
          <w:rPr>
            <w:noProof/>
            <w:webHidden/>
          </w:rPr>
          <w:instrText xml:space="preserve"> PAGEREF _Toc511076249 \h </w:instrText>
        </w:r>
        <w:r w:rsidR="00E93486">
          <w:rPr>
            <w:noProof/>
            <w:webHidden/>
          </w:rPr>
        </w:r>
        <w:r w:rsidR="00E93486">
          <w:rPr>
            <w:noProof/>
            <w:webHidden/>
          </w:rPr>
          <w:fldChar w:fldCharType="separate"/>
        </w:r>
        <w:r w:rsidR="0092398B">
          <w:rPr>
            <w:noProof/>
            <w:webHidden/>
          </w:rPr>
          <w:t>49</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50" w:history="1">
        <w:r w:rsidR="00EA6409" w:rsidRPr="00605E55">
          <w:rPr>
            <w:rStyle w:val="Lienhypertexte"/>
            <w:rFonts w:ascii="Bookman Old Style" w:hAnsi="Bookman Old Style"/>
            <w:noProof/>
          </w:rPr>
          <w:t>Tableau 11. Axes d’intervention et objectifs  pour l’orientation stratégique n°4 du PND BURUNDI 2018-2027</w:t>
        </w:r>
        <w:r w:rsidR="00EA6409">
          <w:rPr>
            <w:noProof/>
            <w:webHidden/>
          </w:rPr>
          <w:tab/>
        </w:r>
        <w:r w:rsidR="00E93486">
          <w:rPr>
            <w:noProof/>
            <w:webHidden/>
          </w:rPr>
          <w:fldChar w:fldCharType="begin"/>
        </w:r>
        <w:r w:rsidR="00EA6409">
          <w:rPr>
            <w:noProof/>
            <w:webHidden/>
          </w:rPr>
          <w:instrText xml:space="preserve"> PAGEREF _Toc511076250 \h </w:instrText>
        </w:r>
        <w:r w:rsidR="00E93486">
          <w:rPr>
            <w:noProof/>
            <w:webHidden/>
          </w:rPr>
        </w:r>
        <w:r w:rsidR="00E93486">
          <w:rPr>
            <w:noProof/>
            <w:webHidden/>
          </w:rPr>
          <w:fldChar w:fldCharType="separate"/>
        </w:r>
        <w:r w:rsidR="0092398B">
          <w:rPr>
            <w:noProof/>
            <w:webHidden/>
          </w:rPr>
          <w:t>50</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51" w:history="1">
        <w:r w:rsidR="00EA6409" w:rsidRPr="00605E55">
          <w:rPr>
            <w:rStyle w:val="Lienhypertexte"/>
            <w:rFonts w:ascii="Bookman Old Style" w:hAnsi="Bookman Old Style"/>
            <w:noProof/>
          </w:rPr>
          <w:t>Tableau 12. Axes d’intervention et objectifs  pour l’orientation stratégique n°5 du PND BURUNDI 2018-2027</w:t>
        </w:r>
        <w:r w:rsidR="00EA6409">
          <w:rPr>
            <w:noProof/>
            <w:webHidden/>
          </w:rPr>
          <w:tab/>
        </w:r>
        <w:r w:rsidR="00E93486">
          <w:rPr>
            <w:noProof/>
            <w:webHidden/>
          </w:rPr>
          <w:fldChar w:fldCharType="begin"/>
        </w:r>
        <w:r w:rsidR="00EA6409">
          <w:rPr>
            <w:noProof/>
            <w:webHidden/>
          </w:rPr>
          <w:instrText xml:space="preserve"> PAGEREF _Toc511076251 \h </w:instrText>
        </w:r>
        <w:r w:rsidR="00E93486">
          <w:rPr>
            <w:noProof/>
            <w:webHidden/>
          </w:rPr>
        </w:r>
        <w:r w:rsidR="00E93486">
          <w:rPr>
            <w:noProof/>
            <w:webHidden/>
          </w:rPr>
          <w:fldChar w:fldCharType="separate"/>
        </w:r>
        <w:r w:rsidR="0092398B">
          <w:rPr>
            <w:noProof/>
            <w:webHidden/>
          </w:rPr>
          <w:t>52</w:t>
        </w:r>
        <w:r w:rsidR="00E93486">
          <w:rPr>
            <w:noProof/>
            <w:webHidden/>
          </w:rPr>
          <w:fldChar w:fldCharType="end"/>
        </w:r>
      </w:hyperlink>
    </w:p>
    <w:p w:rsidR="00DE3A23" w:rsidRPr="00CA196C" w:rsidRDefault="00E93486" w:rsidP="00E92676">
      <w:pPr>
        <w:tabs>
          <w:tab w:val="right" w:leader="dot" w:pos="10065"/>
        </w:tabs>
        <w:spacing w:before="160" w:after="120" w:line="240" w:lineRule="auto"/>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fldChar w:fldCharType="end"/>
      </w:r>
      <w:bookmarkStart w:id="6" w:name="_Toc500667052"/>
    </w:p>
    <w:p w:rsidR="00BE7CB6" w:rsidRDefault="00BE7CB6">
      <w:pPr>
        <w:rPr>
          <w:rFonts w:ascii="Helvetica" w:eastAsiaTheme="majorEastAsia" w:hAnsi="Helvetica" w:cstheme="majorBidi"/>
          <w:b/>
          <w:bCs/>
          <w:color w:val="00B050"/>
          <w:sz w:val="28"/>
          <w:szCs w:val="28"/>
        </w:rPr>
      </w:pPr>
      <w:bookmarkStart w:id="7" w:name="_Toc511081520"/>
      <w:r>
        <w:br w:type="page"/>
      </w:r>
    </w:p>
    <w:p w:rsidR="00DE3A23" w:rsidRPr="00CA196C" w:rsidRDefault="00DE3A23" w:rsidP="005D43FC">
      <w:pPr>
        <w:pStyle w:val="Titre1"/>
      </w:pPr>
      <w:r w:rsidRPr="00CA196C">
        <w:lastRenderedPageBreak/>
        <w:t>LISTE DES GRAPHIQUES</w:t>
      </w:r>
      <w:bookmarkEnd w:id="6"/>
      <w:bookmarkEnd w:id="7"/>
    </w:p>
    <w:p w:rsidR="00EA6409" w:rsidRDefault="00E93486">
      <w:pPr>
        <w:pStyle w:val="Tabledesillustrations"/>
        <w:tabs>
          <w:tab w:val="right" w:leader="dot" w:pos="9628"/>
        </w:tabs>
        <w:rPr>
          <w:rFonts w:eastAsiaTheme="minorEastAsia"/>
          <w:noProof/>
          <w:lang w:eastAsia="fr-FR"/>
        </w:rPr>
      </w:pPr>
      <w:r w:rsidRPr="00CA196C">
        <w:rPr>
          <w:rFonts w:ascii="Bookman Old Style" w:eastAsia="Times New Roman" w:hAnsi="Bookman Old Style" w:cs="Times New Roman"/>
          <w:sz w:val="24"/>
          <w:szCs w:val="24"/>
        </w:rPr>
        <w:fldChar w:fldCharType="begin"/>
      </w:r>
      <w:r w:rsidR="00DE3A23" w:rsidRPr="00CA196C">
        <w:rPr>
          <w:rFonts w:ascii="Bookman Old Style" w:eastAsia="Times New Roman" w:hAnsi="Bookman Old Style" w:cs="Times New Roman"/>
          <w:sz w:val="24"/>
          <w:szCs w:val="24"/>
        </w:rPr>
        <w:instrText xml:space="preserve"> TOC \h \z \t "Sous-titre;GraphPND" \c </w:instrText>
      </w:r>
      <w:r w:rsidRPr="00CA196C">
        <w:rPr>
          <w:rFonts w:ascii="Bookman Old Style" w:eastAsia="Times New Roman" w:hAnsi="Bookman Old Style" w:cs="Times New Roman"/>
          <w:sz w:val="24"/>
          <w:szCs w:val="24"/>
        </w:rPr>
        <w:fldChar w:fldCharType="separate"/>
      </w:r>
      <w:hyperlink w:anchor="_Toc511076252" w:history="1">
        <w:r w:rsidR="00EA6409" w:rsidRPr="00851F55">
          <w:rPr>
            <w:rStyle w:val="Lienhypertexte"/>
            <w:rFonts w:ascii="Bookman Old Style" w:hAnsi="Bookman Old Style"/>
            <w:noProof/>
          </w:rPr>
          <w:t>Graphique 1. Evolution de la production des cultures industrielles</w:t>
        </w:r>
        <w:r w:rsidR="00EA6409">
          <w:rPr>
            <w:noProof/>
            <w:webHidden/>
          </w:rPr>
          <w:tab/>
        </w:r>
        <w:r>
          <w:rPr>
            <w:noProof/>
            <w:webHidden/>
          </w:rPr>
          <w:fldChar w:fldCharType="begin"/>
        </w:r>
        <w:r w:rsidR="00EA6409">
          <w:rPr>
            <w:noProof/>
            <w:webHidden/>
          </w:rPr>
          <w:instrText xml:space="preserve"> PAGEREF _Toc511076252 \h </w:instrText>
        </w:r>
        <w:r>
          <w:rPr>
            <w:noProof/>
            <w:webHidden/>
          </w:rPr>
        </w:r>
        <w:r>
          <w:rPr>
            <w:noProof/>
            <w:webHidden/>
          </w:rPr>
          <w:fldChar w:fldCharType="separate"/>
        </w:r>
        <w:r w:rsidR="0092398B">
          <w:rPr>
            <w:noProof/>
            <w:webHidden/>
          </w:rPr>
          <w:t>16</w:t>
        </w:r>
        <w:r>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53" w:history="1">
        <w:r w:rsidR="00EA6409" w:rsidRPr="00851F55">
          <w:rPr>
            <w:rStyle w:val="Lienhypertexte"/>
            <w:rFonts w:ascii="Bookman Old Style" w:hAnsi="Bookman Old Style"/>
            <w:noProof/>
          </w:rPr>
          <w:t>Graphique 2. L'évolution des effectifs d'animaux d'élevage de 2012-2015</w:t>
        </w:r>
        <w:r w:rsidR="00EA6409">
          <w:rPr>
            <w:noProof/>
            <w:webHidden/>
          </w:rPr>
          <w:tab/>
        </w:r>
        <w:r w:rsidR="00E93486">
          <w:rPr>
            <w:noProof/>
            <w:webHidden/>
          </w:rPr>
          <w:fldChar w:fldCharType="begin"/>
        </w:r>
        <w:r w:rsidR="00EA6409">
          <w:rPr>
            <w:noProof/>
            <w:webHidden/>
          </w:rPr>
          <w:instrText xml:space="preserve"> PAGEREF _Toc511076253 \h </w:instrText>
        </w:r>
        <w:r w:rsidR="00E93486">
          <w:rPr>
            <w:noProof/>
            <w:webHidden/>
          </w:rPr>
        </w:r>
        <w:r w:rsidR="00E93486">
          <w:rPr>
            <w:noProof/>
            <w:webHidden/>
          </w:rPr>
          <w:fldChar w:fldCharType="separate"/>
        </w:r>
        <w:r w:rsidR="0092398B">
          <w:rPr>
            <w:noProof/>
            <w:webHidden/>
          </w:rPr>
          <w:t>17</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54" w:history="1">
        <w:r w:rsidR="00EA6409" w:rsidRPr="00851F55">
          <w:rPr>
            <w:rStyle w:val="Lienhypertexte"/>
            <w:rFonts w:ascii="Bookman Old Style" w:hAnsi="Bookman Old Style"/>
            <w:noProof/>
          </w:rPr>
          <w:t>Graphique 3 : Scénarii des cibles et projection de croissance économique en 2027</w:t>
        </w:r>
        <w:r w:rsidR="00EA6409">
          <w:rPr>
            <w:noProof/>
            <w:webHidden/>
          </w:rPr>
          <w:tab/>
        </w:r>
        <w:r w:rsidR="00E93486">
          <w:rPr>
            <w:noProof/>
            <w:webHidden/>
          </w:rPr>
          <w:fldChar w:fldCharType="begin"/>
        </w:r>
        <w:r w:rsidR="00EA6409">
          <w:rPr>
            <w:noProof/>
            <w:webHidden/>
          </w:rPr>
          <w:instrText xml:space="preserve"> PAGEREF _Toc511076254 \h </w:instrText>
        </w:r>
        <w:r w:rsidR="00E93486">
          <w:rPr>
            <w:noProof/>
            <w:webHidden/>
          </w:rPr>
        </w:r>
        <w:r w:rsidR="00E93486">
          <w:rPr>
            <w:noProof/>
            <w:webHidden/>
          </w:rPr>
          <w:fldChar w:fldCharType="separate"/>
        </w:r>
        <w:r w:rsidR="0092398B">
          <w:rPr>
            <w:noProof/>
            <w:webHidden/>
          </w:rPr>
          <w:t>43</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55" w:history="1">
        <w:r w:rsidR="00EA6409" w:rsidRPr="00851F55">
          <w:rPr>
            <w:rStyle w:val="Lienhypertexte"/>
            <w:rFonts w:ascii="Bookman Old Style" w:hAnsi="Bookman Old Style"/>
            <w:noProof/>
          </w:rPr>
          <w:t>Graphique 4.  Trois enjeux  et trajectoire de la croissance moyenne jusqu’en 2027</w:t>
        </w:r>
        <w:r w:rsidR="00EA6409">
          <w:rPr>
            <w:noProof/>
            <w:webHidden/>
          </w:rPr>
          <w:tab/>
        </w:r>
        <w:r w:rsidR="00E93486">
          <w:rPr>
            <w:noProof/>
            <w:webHidden/>
          </w:rPr>
          <w:fldChar w:fldCharType="begin"/>
        </w:r>
        <w:r w:rsidR="00EA6409">
          <w:rPr>
            <w:noProof/>
            <w:webHidden/>
          </w:rPr>
          <w:instrText xml:space="preserve"> PAGEREF _Toc511076255 \h </w:instrText>
        </w:r>
        <w:r w:rsidR="00E93486">
          <w:rPr>
            <w:noProof/>
            <w:webHidden/>
          </w:rPr>
        </w:r>
        <w:r w:rsidR="00E93486">
          <w:rPr>
            <w:noProof/>
            <w:webHidden/>
          </w:rPr>
          <w:fldChar w:fldCharType="separate"/>
        </w:r>
        <w:r w:rsidR="0092398B">
          <w:rPr>
            <w:noProof/>
            <w:webHidden/>
          </w:rPr>
          <w:t>44</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56" w:history="1">
        <w:r w:rsidR="00EA6409" w:rsidRPr="00851F55">
          <w:rPr>
            <w:rStyle w:val="Lienhypertexte"/>
            <w:rFonts w:ascii="Bookman Old Style" w:hAnsi="Bookman Old Style"/>
            <w:noProof/>
          </w:rPr>
          <w:t>Graphique 5. Prévisions de croissance globale et sectorielle</w:t>
        </w:r>
        <w:r w:rsidR="00EA6409">
          <w:rPr>
            <w:noProof/>
            <w:webHidden/>
          </w:rPr>
          <w:tab/>
        </w:r>
        <w:r w:rsidR="00E93486">
          <w:rPr>
            <w:noProof/>
            <w:webHidden/>
          </w:rPr>
          <w:fldChar w:fldCharType="begin"/>
        </w:r>
        <w:r w:rsidR="00EA6409">
          <w:rPr>
            <w:noProof/>
            <w:webHidden/>
          </w:rPr>
          <w:instrText xml:space="preserve"> PAGEREF _Toc511076256 \h </w:instrText>
        </w:r>
        <w:r w:rsidR="00E93486">
          <w:rPr>
            <w:noProof/>
            <w:webHidden/>
          </w:rPr>
        </w:r>
        <w:r w:rsidR="00E93486">
          <w:rPr>
            <w:noProof/>
            <w:webHidden/>
          </w:rPr>
          <w:fldChar w:fldCharType="separate"/>
        </w:r>
        <w:r w:rsidR="0092398B">
          <w:rPr>
            <w:noProof/>
            <w:webHidden/>
          </w:rPr>
          <w:t>56</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57" w:history="1">
        <w:r w:rsidR="00EA6409" w:rsidRPr="00851F55">
          <w:rPr>
            <w:rStyle w:val="Lienhypertexte"/>
            <w:rFonts w:ascii="Bookman Old Style" w:hAnsi="Bookman Old Style"/>
            <w:noProof/>
          </w:rPr>
          <w:t>Graphique 6. Projections des finances publiques</w:t>
        </w:r>
        <w:r w:rsidR="00EA6409">
          <w:rPr>
            <w:noProof/>
            <w:webHidden/>
          </w:rPr>
          <w:tab/>
        </w:r>
        <w:r w:rsidR="00E93486">
          <w:rPr>
            <w:noProof/>
            <w:webHidden/>
          </w:rPr>
          <w:fldChar w:fldCharType="begin"/>
        </w:r>
        <w:r w:rsidR="00EA6409">
          <w:rPr>
            <w:noProof/>
            <w:webHidden/>
          </w:rPr>
          <w:instrText xml:space="preserve"> PAGEREF _Toc511076257 \h </w:instrText>
        </w:r>
        <w:r w:rsidR="00E93486">
          <w:rPr>
            <w:noProof/>
            <w:webHidden/>
          </w:rPr>
        </w:r>
        <w:r w:rsidR="00E93486">
          <w:rPr>
            <w:noProof/>
            <w:webHidden/>
          </w:rPr>
          <w:fldChar w:fldCharType="separate"/>
        </w:r>
        <w:r w:rsidR="0092398B">
          <w:rPr>
            <w:noProof/>
            <w:webHidden/>
          </w:rPr>
          <w:t>60</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58" w:history="1">
        <w:r w:rsidR="00EA6409" w:rsidRPr="00851F55">
          <w:rPr>
            <w:rStyle w:val="Lienhypertexte"/>
            <w:rFonts w:ascii="Bookman Old Style" w:hAnsi="Bookman Old Style"/>
            <w:noProof/>
          </w:rPr>
          <w:t>Graphique 7. Projections des composantes de la balance des paiements</w:t>
        </w:r>
        <w:r w:rsidR="00EA6409">
          <w:rPr>
            <w:noProof/>
            <w:webHidden/>
          </w:rPr>
          <w:tab/>
        </w:r>
        <w:r w:rsidR="00E93486">
          <w:rPr>
            <w:noProof/>
            <w:webHidden/>
          </w:rPr>
          <w:fldChar w:fldCharType="begin"/>
        </w:r>
        <w:r w:rsidR="00EA6409">
          <w:rPr>
            <w:noProof/>
            <w:webHidden/>
          </w:rPr>
          <w:instrText xml:space="preserve"> PAGEREF _Toc511076258 \h </w:instrText>
        </w:r>
        <w:r w:rsidR="00E93486">
          <w:rPr>
            <w:noProof/>
            <w:webHidden/>
          </w:rPr>
        </w:r>
        <w:r w:rsidR="00E93486">
          <w:rPr>
            <w:noProof/>
            <w:webHidden/>
          </w:rPr>
          <w:fldChar w:fldCharType="separate"/>
        </w:r>
        <w:r w:rsidR="0092398B">
          <w:rPr>
            <w:noProof/>
            <w:webHidden/>
          </w:rPr>
          <w:t>61</w:t>
        </w:r>
        <w:r w:rsidR="00E93486">
          <w:rPr>
            <w:noProof/>
            <w:webHidden/>
          </w:rPr>
          <w:fldChar w:fldCharType="end"/>
        </w:r>
      </w:hyperlink>
    </w:p>
    <w:p w:rsidR="00EA6409" w:rsidRDefault="00B05688">
      <w:pPr>
        <w:pStyle w:val="Tabledesillustrations"/>
        <w:tabs>
          <w:tab w:val="right" w:leader="dot" w:pos="9628"/>
        </w:tabs>
        <w:rPr>
          <w:rFonts w:eastAsiaTheme="minorEastAsia"/>
          <w:noProof/>
          <w:lang w:eastAsia="fr-FR"/>
        </w:rPr>
      </w:pPr>
      <w:hyperlink w:anchor="_Toc511076259" w:history="1">
        <w:r w:rsidR="00EA6409" w:rsidRPr="00851F55">
          <w:rPr>
            <w:rStyle w:val="Lienhypertexte"/>
            <w:rFonts w:ascii="Bookman Old Style" w:hAnsi="Bookman Old Style"/>
            <w:noProof/>
          </w:rPr>
          <w:t>Graphique 8. Prévisions du secteur monétaire</w:t>
        </w:r>
        <w:r w:rsidR="00EA6409">
          <w:rPr>
            <w:noProof/>
            <w:webHidden/>
          </w:rPr>
          <w:tab/>
        </w:r>
        <w:r w:rsidR="00E93486">
          <w:rPr>
            <w:noProof/>
            <w:webHidden/>
          </w:rPr>
          <w:fldChar w:fldCharType="begin"/>
        </w:r>
        <w:r w:rsidR="00EA6409">
          <w:rPr>
            <w:noProof/>
            <w:webHidden/>
          </w:rPr>
          <w:instrText xml:space="preserve"> PAGEREF _Toc511076259 \h </w:instrText>
        </w:r>
        <w:r w:rsidR="00E93486">
          <w:rPr>
            <w:noProof/>
            <w:webHidden/>
          </w:rPr>
        </w:r>
        <w:r w:rsidR="00E93486">
          <w:rPr>
            <w:noProof/>
            <w:webHidden/>
          </w:rPr>
          <w:fldChar w:fldCharType="separate"/>
        </w:r>
        <w:r w:rsidR="0092398B">
          <w:rPr>
            <w:noProof/>
            <w:webHidden/>
          </w:rPr>
          <w:t>62</w:t>
        </w:r>
        <w:r w:rsidR="00E93486">
          <w:rPr>
            <w:noProof/>
            <w:webHidden/>
          </w:rPr>
          <w:fldChar w:fldCharType="end"/>
        </w:r>
      </w:hyperlink>
    </w:p>
    <w:p w:rsidR="00DE3A23" w:rsidRPr="00CA196C" w:rsidRDefault="00E93486" w:rsidP="00E92676">
      <w:pPr>
        <w:spacing w:before="160" w:after="120" w:line="240" w:lineRule="auto"/>
        <w:jc w:val="both"/>
        <w:rPr>
          <w:rFonts w:ascii="Bookman Old Style" w:hAnsi="Bookman Old Style" w:cs="Times New Roman"/>
          <w:b/>
          <w:bCs/>
          <w:sz w:val="24"/>
          <w:szCs w:val="24"/>
        </w:rPr>
      </w:pPr>
      <w:r w:rsidRPr="00CA196C">
        <w:rPr>
          <w:rFonts w:ascii="Bookman Old Style" w:eastAsia="Times New Roman" w:hAnsi="Bookman Old Style" w:cs="Times New Roman"/>
          <w:sz w:val="24"/>
          <w:szCs w:val="24"/>
        </w:rPr>
        <w:fldChar w:fldCharType="end"/>
      </w:r>
      <w:r w:rsidR="00DE3A23" w:rsidRPr="00CA196C">
        <w:rPr>
          <w:rFonts w:ascii="Bookman Old Style" w:hAnsi="Bookman Old Style" w:cs="Times New Roman"/>
          <w:b/>
          <w:bCs/>
          <w:sz w:val="24"/>
          <w:szCs w:val="24"/>
        </w:rPr>
        <w:br w:type="page"/>
      </w:r>
    </w:p>
    <w:p w:rsidR="00DE3A23" w:rsidRPr="00CA196C" w:rsidRDefault="00DE3A23" w:rsidP="005D43FC">
      <w:pPr>
        <w:pStyle w:val="Titre1"/>
      </w:pPr>
      <w:bookmarkStart w:id="8" w:name="_Toc500667053"/>
      <w:bookmarkStart w:id="9" w:name="_Toc511081521"/>
      <w:r w:rsidRPr="00CA196C">
        <w:lastRenderedPageBreak/>
        <w:t>ACRONYMES ET ABREVIATIONS</w:t>
      </w:r>
      <w:bookmarkEnd w:id="8"/>
      <w:bookmarkEnd w:id="9"/>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AEP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Adduction d’Eau Potable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AGR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Activités Génératrices de Revenu</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ALPC </w:t>
      </w:r>
      <w:r w:rsidRPr="00CA196C">
        <w:rPr>
          <w:rFonts w:ascii="Bookman Old Style" w:hAnsi="Bookman Old Style" w:cs="Times New Roman"/>
          <w:sz w:val="24"/>
          <w:szCs w:val="24"/>
        </w:rPr>
        <w:tab/>
        <w:t xml:space="preserve">: Armes Légères et de petits Calibres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AMISOM</w:t>
      </w:r>
      <w:r w:rsidRPr="00CA196C">
        <w:rPr>
          <w:rFonts w:ascii="Bookman Old Style" w:hAnsi="Bookman Old Style" w:cs="Times New Roman"/>
          <w:sz w:val="24"/>
          <w:szCs w:val="24"/>
          <w:lang w:val="en-US"/>
        </w:rPr>
        <w:tab/>
        <w:t>: African Union Mission in Somalia</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APD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Aide Publique au Développement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API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Agence de Promotion des Investissements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ATPC </w:t>
      </w:r>
      <w:r w:rsidRPr="00CA196C">
        <w:rPr>
          <w:rFonts w:ascii="Bookman Old Style" w:hAnsi="Bookman Old Style" w:cs="Times New Roman"/>
          <w:sz w:val="24"/>
          <w:szCs w:val="24"/>
        </w:rPr>
        <w:tab/>
        <w:t>: Assainissement Total Piloté par la Communauté</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BIF</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Franc Burundi </w:t>
      </w:r>
    </w:p>
    <w:p w:rsidR="00DE3A23" w:rsidRPr="00CA196C" w:rsidRDefault="000920EC"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BMD</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Baccalauréat, Maîtrise et Doctorat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BRB</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Banque de la République du Burundi</w:t>
      </w:r>
    </w:p>
    <w:p w:rsidR="00DE3A23" w:rsidRPr="00CA196C" w:rsidRDefault="000920EC"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CAE</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Communauté de l’Afrique de l’Est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CAMEBU </w:t>
      </w:r>
      <w:r w:rsidRPr="00CA196C">
        <w:rPr>
          <w:rFonts w:ascii="Bookman Old Style" w:hAnsi="Bookman Old Style" w:cs="Times New Roman"/>
          <w:sz w:val="24"/>
          <w:szCs w:val="24"/>
        </w:rPr>
        <w:tab/>
        <w:t xml:space="preserve">: Centrale d’Achat des Médicaments du Burundi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CASM </w:t>
      </w:r>
      <w:r w:rsidRPr="00CA196C">
        <w:rPr>
          <w:rFonts w:ascii="Bookman Old Style" w:hAnsi="Bookman Old Style" w:cs="Times New Roman"/>
          <w:sz w:val="24"/>
          <w:szCs w:val="24"/>
        </w:rPr>
        <w:tab/>
        <w:t xml:space="preserve">: Carte d’Assistance Médicale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CASU </w:t>
      </w:r>
      <w:r w:rsidRPr="00CA196C">
        <w:rPr>
          <w:rFonts w:ascii="Bookman Old Style" w:hAnsi="Bookman Old Style" w:cs="Times New Roman"/>
          <w:sz w:val="24"/>
          <w:szCs w:val="24"/>
        </w:rPr>
        <w:tab/>
        <w:t>: Couverture santé universelle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CDMT</w:t>
      </w:r>
      <w:r w:rsidRPr="00CA196C">
        <w:rPr>
          <w:rFonts w:ascii="Bookman Old Style" w:hAnsi="Bookman Old Style" w:cs="Times New Roman"/>
          <w:sz w:val="24"/>
          <w:szCs w:val="24"/>
        </w:rPr>
        <w:tab/>
        <w:t xml:space="preserve">: Cadre des Dépenses à Moyen Terme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CDS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Corps de Défense et de Sécurité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CEEAC </w:t>
      </w:r>
      <w:r w:rsidRPr="00CA196C">
        <w:rPr>
          <w:rFonts w:ascii="Bookman Old Style" w:hAnsi="Bookman Old Style" w:cs="Times New Roman"/>
          <w:sz w:val="24"/>
          <w:szCs w:val="24"/>
        </w:rPr>
        <w:tab/>
        <w:t xml:space="preserve">: Communauté Economique des Etats de l’Afrique Centrale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CEM</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Centre d’enseignement des Métiers </w:t>
      </w:r>
    </w:p>
    <w:p w:rsidR="00DE3A23" w:rsidRPr="00CA196C" w:rsidRDefault="000920EC"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CEPGL</w:t>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Communauté Economique des Pays des Grands Lacs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CFP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Centre de Formation Professionnelle </w:t>
      </w:r>
    </w:p>
    <w:p w:rsidR="00CA3EAA" w:rsidRDefault="00CA3EAA" w:rsidP="00CA3EAA">
      <w:pPr>
        <w:autoSpaceDE w:val="0"/>
        <w:autoSpaceDN w:val="0"/>
        <w:adjustRightInd w:val="0"/>
        <w:spacing w:after="0" w:line="240" w:lineRule="auto"/>
        <w:ind w:left="1418" w:hanging="1418"/>
        <w:rPr>
          <w:rFonts w:ascii="Bookman Old Style" w:hAnsi="Bookman Old Style" w:cs="Times New Roman"/>
          <w:sz w:val="24"/>
          <w:szCs w:val="24"/>
        </w:rPr>
      </w:pPr>
      <w:r>
        <w:rPr>
          <w:rFonts w:ascii="Bookman Old Style" w:hAnsi="Bookman Old Style" w:cs="Times New Roman"/>
          <w:sz w:val="24"/>
          <w:szCs w:val="24"/>
        </w:rPr>
        <w:t>CIEP </w:t>
      </w:r>
      <w:r>
        <w:rPr>
          <w:rFonts w:ascii="Bookman Old Style" w:hAnsi="Bookman Old Style" w:cs="Times New Roman"/>
          <w:sz w:val="24"/>
          <w:szCs w:val="24"/>
        </w:rPr>
        <w:tab/>
        <w:t xml:space="preserve">: </w:t>
      </w:r>
      <w:r w:rsidR="00DE3A23" w:rsidRPr="00CA196C">
        <w:rPr>
          <w:rFonts w:ascii="Bookman Old Style" w:hAnsi="Bookman Old Style" w:cs="Times New Roman"/>
          <w:sz w:val="24"/>
          <w:szCs w:val="24"/>
        </w:rPr>
        <w:t xml:space="preserve">Centre d’information, Education en matière de Population et </w:t>
      </w:r>
      <w:r>
        <w:rPr>
          <w:rFonts w:ascii="Bookman Old Style" w:hAnsi="Bookman Old Style" w:cs="Times New Roman"/>
          <w:sz w:val="24"/>
          <w:szCs w:val="24"/>
        </w:rPr>
        <w:t xml:space="preserve"> </w:t>
      </w:r>
    </w:p>
    <w:p w:rsidR="00DE3A23" w:rsidRPr="00CA196C" w:rsidRDefault="00CA3EAA" w:rsidP="00CA3EAA">
      <w:pPr>
        <w:autoSpaceDE w:val="0"/>
        <w:autoSpaceDN w:val="0"/>
        <w:adjustRightInd w:val="0"/>
        <w:spacing w:after="0" w:line="240" w:lineRule="auto"/>
        <w:ind w:left="1418" w:hanging="1418"/>
        <w:rPr>
          <w:rFonts w:ascii="Bookman Old Style" w:hAnsi="Bookman Old Style" w:cs="Times New Roman"/>
          <w:sz w:val="24"/>
          <w:szCs w:val="24"/>
        </w:rPr>
      </w:pPr>
      <w:r>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Développement </w:t>
      </w:r>
    </w:p>
    <w:p w:rsidR="00CA3EAA" w:rsidRDefault="00DE3A23" w:rsidP="00CA3EAA">
      <w:pPr>
        <w:autoSpaceDE w:val="0"/>
        <w:autoSpaceDN w:val="0"/>
        <w:adjustRightInd w:val="0"/>
        <w:spacing w:after="0" w:line="240" w:lineRule="auto"/>
        <w:rPr>
          <w:rFonts w:ascii="Bookman Old Style" w:hAnsi="Bookman Old Style" w:cs="Times New Roman"/>
          <w:sz w:val="24"/>
          <w:szCs w:val="24"/>
        </w:rPr>
      </w:pPr>
      <w:r w:rsidRPr="00CA196C">
        <w:rPr>
          <w:rFonts w:ascii="Bookman Old Style" w:hAnsi="Bookman Old Style" w:cs="Times New Roman"/>
          <w:sz w:val="24"/>
          <w:szCs w:val="24"/>
        </w:rPr>
        <w:t>CIOP</w:t>
      </w:r>
      <w:r w:rsidR="00D55429" w:rsidRPr="00CA196C">
        <w:rPr>
          <w:rFonts w:ascii="Bookman Old Style" w:hAnsi="Bookman Old Style" w:cs="Times New Roman"/>
          <w:sz w:val="24"/>
          <w:szCs w:val="24"/>
        </w:rPr>
        <w:t>D </w:t>
      </w:r>
      <w:r w:rsidR="00D55429" w:rsidRPr="00CA196C">
        <w:rPr>
          <w:rFonts w:ascii="Bookman Old Style" w:hAnsi="Bookman Old Style" w:cs="Times New Roman"/>
          <w:sz w:val="24"/>
          <w:szCs w:val="24"/>
        </w:rPr>
        <w:tab/>
        <w:t>: Comité Interministériel d’O</w:t>
      </w:r>
      <w:r w:rsidRPr="00CA196C">
        <w:rPr>
          <w:rFonts w:ascii="Bookman Old Style" w:hAnsi="Bookman Old Style" w:cs="Times New Roman"/>
          <w:sz w:val="24"/>
          <w:szCs w:val="24"/>
        </w:rPr>
        <w:t xml:space="preserve">rientation et de </w:t>
      </w:r>
      <w:r w:rsidR="00D55429" w:rsidRPr="00CA196C">
        <w:rPr>
          <w:rFonts w:ascii="Bookman Old Style" w:hAnsi="Bookman Old Style" w:cs="Times New Roman"/>
          <w:sz w:val="24"/>
          <w:szCs w:val="24"/>
        </w:rPr>
        <w:t>P</w:t>
      </w:r>
      <w:r w:rsidRPr="00CA196C">
        <w:rPr>
          <w:rFonts w:ascii="Bookman Old Style" w:hAnsi="Bookman Old Style" w:cs="Times New Roman"/>
          <w:sz w:val="24"/>
          <w:szCs w:val="24"/>
        </w:rPr>
        <w:t xml:space="preserve">ilotage de la </w:t>
      </w:r>
      <w:r w:rsidR="00CA3EAA">
        <w:rPr>
          <w:rFonts w:ascii="Bookman Old Style" w:hAnsi="Bookman Old Style" w:cs="Times New Roman"/>
          <w:sz w:val="24"/>
          <w:szCs w:val="24"/>
        </w:rPr>
        <w:t xml:space="preserve">    </w:t>
      </w:r>
    </w:p>
    <w:p w:rsidR="00DE3A23" w:rsidRPr="00CA196C" w:rsidRDefault="00CA3EAA" w:rsidP="00CA3EAA">
      <w:pPr>
        <w:autoSpaceDE w:val="0"/>
        <w:autoSpaceDN w:val="0"/>
        <w:adjustRightInd w:val="0"/>
        <w:spacing w:after="0" w:line="240" w:lineRule="auto"/>
        <w:rPr>
          <w:rFonts w:ascii="Bookman Old Style" w:hAnsi="Bookman Old Style" w:cs="Times New Roman"/>
          <w:sz w:val="24"/>
          <w:szCs w:val="24"/>
        </w:rPr>
      </w:pPr>
      <w:r>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Décentralisation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CIRGL </w:t>
      </w:r>
      <w:r w:rsidRPr="00CA196C">
        <w:rPr>
          <w:rFonts w:ascii="Bookman Old Style" w:hAnsi="Bookman Old Style" w:cs="Times New Roman"/>
          <w:sz w:val="24"/>
          <w:szCs w:val="24"/>
        </w:rPr>
        <w:tab/>
        <w:t xml:space="preserve">: Conférence Internationale pour la Région des Grands Lacs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CJ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Centre jeune</w:t>
      </w:r>
    </w:p>
    <w:p w:rsidR="00DE3A23" w:rsidRPr="00CA196C" w:rsidRDefault="000920EC"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CLAC</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Centre de Lecture et d’Animation Culturelle</w:t>
      </w:r>
    </w:p>
    <w:p w:rsidR="00DE3A23" w:rsidRPr="00CA196C" w:rsidRDefault="00CA3EAA"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CNIS</w:t>
      </w:r>
      <w:r>
        <w:rPr>
          <w:rFonts w:ascii="Bookman Old Style" w:hAnsi="Bookman Old Style" w:cs="Times New Roman"/>
          <w:sz w:val="24"/>
          <w:szCs w:val="24"/>
        </w:rPr>
        <w:tab/>
      </w:r>
      <w:r>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Conseil National de l’Information Statistique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CNJ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Conseil National de la Jeunesse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CNP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Comité National de Pilotage</w:t>
      </w:r>
    </w:p>
    <w:p w:rsidR="00DE3A23" w:rsidRPr="00CA196C" w:rsidRDefault="00CA3EAA"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CNPS </w:t>
      </w:r>
      <w:r>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Comité National de Protection Sociale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 xml:space="preserve">COMESA </w:t>
      </w:r>
      <w:r w:rsidRPr="00CA196C">
        <w:rPr>
          <w:rFonts w:ascii="Bookman Old Style" w:hAnsi="Bookman Old Style" w:cs="Times New Roman"/>
          <w:sz w:val="24"/>
          <w:szCs w:val="24"/>
          <w:lang w:val="en-US"/>
        </w:rPr>
        <w:tab/>
        <w:t>: Common Market for Eastern and Southern of Africa</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COMGOV </w:t>
      </w:r>
      <w:r w:rsidRPr="00CA196C">
        <w:rPr>
          <w:rFonts w:ascii="Bookman Old Style" w:hAnsi="Bookman Old Style" w:cs="Times New Roman"/>
          <w:sz w:val="24"/>
          <w:szCs w:val="24"/>
        </w:rPr>
        <w:tab/>
        <w:t xml:space="preserve">: Communication du </w:t>
      </w:r>
      <w:r w:rsidR="00D71F7F" w:rsidRPr="00CA196C">
        <w:rPr>
          <w:rFonts w:ascii="Bookman Old Style" w:hAnsi="Bookman Old Style" w:cs="Times New Roman"/>
          <w:sz w:val="24"/>
          <w:szCs w:val="24"/>
        </w:rPr>
        <w:t>Gouvernement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CONAPIL</w:t>
      </w:r>
      <w:r w:rsidRPr="00CA196C">
        <w:rPr>
          <w:rFonts w:ascii="Bookman Old Style" w:hAnsi="Bookman Old Style" w:cs="Times New Roman"/>
          <w:sz w:val="24"/>
          <w:szCs w:val="24"/>
        </w:rPr>
        <w:tab/>
        <w:t>: Comité National de Pilotage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CPDN </w:t>
      </w:r>
      <w:r w:rsidRPr="00CA196C">
        <w:rPr>
          <w:rFonts w:ascii="Bookman Old Style" w:hAnsi="Bookman Old Style" w:cs="Times New Roman"/>
          <w:sz w:val="24"/>
          <w:szCs w:val="24"/>
        </w:rPr>
        <w:tab/>
        <w:t>: Contributions prévues déterminées au niveau national</w:t>
      </w:r>
    </w:p>
    <w:p w:rsidR="00DE3A23" w:rsidRPr="00CA196C" w:rsidRDefault="00CA3EAA"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CTIS</w:t>
      </w:r>
      <w:r>
        <w:rPr>
          <w:rFonts w:ascii="Bookman Old Style" w:hAnsi="Bookman Old Style" w:cs="Times New Roman"/>
          <w:sz w:val="24"/>
          <w:szCs w:val="24"/>
        </w:rPr>
        <w:tab/>
      </w:r>
      <w:r>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Comité Technique de l’Information Statistique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CVR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Commission Vérité Réconciliation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DD</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Dividende Démographique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DEPA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Direction des Eaux de la Pêche et de l’Aquaculture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 xml:space="preserve">EAC </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xml:space="preserve">: East African Community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EAPP</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East African Power Pool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ECVMB </w:t>
      </w:r>
      <w:r w:rsidRPr="00CA196C">
        <w:rPr>
          <w:rFonts w:ascii="Bookman Old Style" w:hAnsi="Bookman Old Style" w:cs="Times New Roman"/>
          <w:sz w:val="24"/>
          <w:szCs w:val="24"/>
        </w:rPr>
        <w:tab/>
        <w:t xml:space="preserve">: Enquête sur les Conditions de Vie des Ménages au Burundi </w:t>
      </w:r>
    </w:p>
    <w:p w:rsidR="00DE3A23" w:rsidRPr="00CA196C" w:rsidRDefault="00CA3EAA"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EDS II</w:t>
      </w:r>
      <w:r>
        <w:rPr>
          <w:rFonts w:ascii="Bookman Old Style" w:hAnsi="Bookman Old Style" w:cs="Times New Roman"/>
          <w:sz w:val="24"/>
          <w:szCs w:val="24"/>
        </w:rPr>
        <w:tab/>
      </w:r>
      <w:r w:rsidR="00DE3A23" w:rsidRPr="00CA196C">
        <w:rPr>
          <w:rFonts w:ascii="Bookman Old Style" w:hAnsi="Bookman Old Style" w:cs="Times New Roman"/>
          <w:sz w:val="24"/>
          <w:szCs w:val="24"/>
        </w:rPr>
        <w:t>: Enquête démographique de santé</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EFTP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Enseignement et Formation Technique Professionnelle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EMA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Exploitation Minière Artisanale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ENAB</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Enquête Nationale Agricole du Burundi </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ENAB²</w:t>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Enquête Nationale sur l’Assainissement de Base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lastRenderedPageBreak/>
        <w:t>FAO</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Organisation des Nations Unies pour l'Alimentation et l'Agriculture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FAPS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Fonds d’appui à la Protection Sociale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FDN</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Force de Défense Nationale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FONIC </w:t>
      </w:r>
      <w:r w:rsidRPr="00CA196C">
        <w:rPr>
          <w:rFonts w:ascii="Bookman Old Style" w:hAnsi="Bookman Old Style" w:cs="Times New Roman"/>
          <w:sz w:val="24"/>
          <w:szCs w:val="24"/>
        </w:rPr>
        <w:tab/>
        <w:t xml:space="preserve">: Fonds National d’Investissement Communal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GES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 Gaz à effet de serres</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GIRE</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Gestion Intégrée des Ressources en Eau </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GLIA</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r>
      <w:r w:rsidR="00DE3A23" w:rsidRPr="00CA196C">
        <w:rPr>
          <w:rFonts w:ascii="Bookman Old Style" w:hAnsi="Bookman Old Style" w:cs="Times New Roman"/>
          <w:sz w:val="24"/>
          <w:szCs w:val="24"/>
          <w:lang w:val="en-US"/>
        </w:rPr>
        <w:t xml:space="preserve">: </w:t>
      </w:r>
      <w:hyperlink r:id="rId18" w:history="1">
        <w:r w:rsidR="00DE3A23" w:rsidRPr="00CA196C">
          <w:rPr>
            <w:rFonts w:ascii="Bookman Old Style" w:hAnsi="Bookman Old Style" w:cs="Times New Roman"/>
            <w:sz w:val="24"/>
            <w:szCs w:val="24"/>
            <w:lang w:val="en-US"/>
          </w:rPr>
          <w:t xml:space="preserve">Great Lakes Initiative on HIV/AIDS </w:t>
        </w:r>
      </w:hyperlink>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GSM </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Global system for mobile communications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HT</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Haute Tension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IDE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Investissements Directs Etrangers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IEC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Information, Education et Communication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IHPI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Indice Harmonisé de la Production Industrielle </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INSS</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Institut National de Sécurité Sociale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ISCAM </w:t>
      </w:r>
      <w:r w:rsidRPr="00CA196C">
        <w:rPr>
          <w:rFonts w:ascii="Bookman Old Style" w:hAnsi="Bookman Old Style" w:cs="Times New Roman"/>
          <w:sz w:val="24"/>
          <w:szCs w:val="24"/>
        </w:rPr>
        <w:tab/>
        <w:t xml:space="preserve">: Institut Supérieur des Cadres Militaires </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ISTEEBU </w:t>
      </w:r>
      <w:r w:rsidRPr="00CA196C">
        <w:rPr>
          <w:rFonts w:ascii="Bookman Old Style" w:hAnsi="Bookman Old Style" w:cs="Times New Roman"/>
          <w:sz w:val="24"/>
          <w:szCs w:val="24"/>
        </w:rPr>
        <w:tab/>
        <w:t>: Institut des S</w:t>
      </w:r>
      <w:r w:rsidR="00DE3A23" w:rsidRPr="00CA196C">
        <w:rPr>
          <w:rFonts w:ascii="Bookman Old Style" w:hAnsi="Bookman Old Style" w:cs="Times New Roman"/>
          <w:sz w:val="24"/>
          <w:szCs w:val="24"/>
        </w:rPr>
        <w:t>tatistiques et des Etudes Economiques du Burundi</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de-DE"/>
        </w:rPr>
      </w:pPr>
      <w:r w:rsidRPr="00CA196C">
        <w:rPr>
          <w:rFonts w:ascii="Bookman Old Style" w:hAnsi="Bookman Old Style" w:cs="Times New Roman"/>
          <w:sz w:val="24"/>
          <w:szCs w:val="24"/>
          <w:lang w:val="de-DE"/>
        </w:rPr>
        <w:t>KV</w:t>
      </w:r>
      <w:r w:rsidRPr="00CA196C">
        <w:rPr>
          <w:rFonts w:ascii="Bookman Old Style" w:hAnsi="Bookman Old Style" w:cs="Times New Roman"/>
          <w:sz w:val="24"/>
          <w:szCs w:val="24"/>
          <w:lang w:val="de-DE"/>
        </w:rPr>
        <w:tab/>
      </w:r>
      <w:r w:rsidRPr="00CA196C">
        <w:rPr>
          <w:rFonts w:ascii="Bookman Old Style" w:hAnsi="Bookman Old Style" w:cs="Times New Roman"/>
          <w:sz w:val="24"/>
          <w:szCs w:val="24"/>
          <w:lang w:val="de-DE"/>
        </w:rPr>
        <w:tab/>
        <w:t xml:space="preserve">: Kilo Volt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de-DE"/>
        </w:rPr>
      </w:pPr>
      <w:r w:rsidRPr="00CA196C">
        <w:rPr>
          <w:rFonts w:ascii="Bookman Old Style" w:hAnsi="Bookman Old Style" w:cs="Times New Roman"/>
          <w:sz w:val="24"/>
          <w:szCs w:val="24"/>
          <w:lang w:val="de-DE"/>
        </w:rPr>
        <w:t>KW</w:t>
      </w:r>
      <w:r w:rsidRPr="00CA196C">
        <w:rPr>
          <w:rFonts w:ascii="Bookman Old Style" w:hAnsi="Bookman Old Style" w:cs="Times New Roman"/>
          <w:sz w:val="24"/>
          <w:szCs w:val="24"/>
          <w:lang w:val="de-DE"/>
        </w:rPr>
        <w:tab/>
      </w:r>
      <w:r w:rsidRPr="00CA196C">
        <w:rPr>
          <w:rFonts w:ascii="Bookman Old Style" w:hAnsi="Bookman Old Style" w:cs="Times New Roman"/>
          <w:sz w:val="24"/>
          <w:szCs w:val="24"/>
          <w:lang w:val="de-DE"/>
        </w:rPr>
        <w:tab/>
        <w:t>: Kilo watt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LTE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Long Term Evolution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M2</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Masse monétaire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MACMOD-BI: Modèle Macroéconomique du Burundi</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MAN</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Metropolitan Area Network</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MBPS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Mégabits par Seconde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MDP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Mécanisme de Développement Propre</w:t>
      </w:r>
    </w:p>
    <w:p w:rsidR="00DE3A23" w:rsidRPr="00CA196C" w:rsidRDefault="00DE3A23" w:rsidP="00CA3973">
      <w:pPr>
        <w:autoSpaceDE w:val="0"/>
        <w:autoSpaceDN w:val="0"/>
        <w:adjustRightInd w:val="0"/>
        <w:spacing w:after="0" w:line="240" w:lineRule="auto"/>
        <w:ind w:left="1418" w:hanging="1418"/>
        <w:jc w:val="both"/>
        <w:rPr>
          <w:rFonts w:ascii="Bookman Old Style" w:hAnsi="Bookman Old Style" w:cs="Times New Roman"/>
          <w:sz w:val="24"/>
          <w:szCs w:val="24"/>
        </w:rPr>
      </w:pPr>
      <w:r w:rsidRPr="00CA196C">
        <w:rPr>
          <w:rFonts w:ascii="Bookman Old Style" w:hAnsi="Bookman Old Style" w:cs="Times New Roman"/>
          <w:sz w:val="24"/>
          <w:szCs w:val="24"/>
        </w:rPr>
        <w:t>MEESRS</w:t>
      </w:r>
      <w:r w:rsidRPr="00CA196C">
        <w:rPr>
          <w:rFonts w:ascii="Bookman Old Style" w:hAnsi="Bookman Old Style" w:cs="Times New Roman"/>
          <w:sz w:val="24"/>
          <w:szCs w:val="24"/>
        </w:rPr>
        <w:tab/>
        <w:t>: Ministère de l’Education, de l’Enseignement Supérieur et de la Recherche Scientifique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MFBP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Ministère des Finances, du Budget et de la Privatisation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MFP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Mutuelle de la Fonction Publique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MINAGRI</w:t>
      </w:r>
      <w:r w:rsidRPr="00CA196C">
        <w:rPr>
          <w:rFonts w:ascii="Bookman Old Style" w:hAnsi="Bookman Old Style" w:cs="Times New Roman"/>
          <w:sz w:val="24"/>
          <w:szCs w:val="24"/>
        </w:rPr>
        <w:tab/>
        <w:t>: Ministère de l’Agriculture et de l’Elevage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MINUSCA</w:t>
      </w:r>
      <w:r w:rsidRPr="00CA196C">
        <w:rPr>
          <w:rFonts w:ascii="Bookman Old Style" w:hAnsi="Bookman Old Style" w:cs="Times New Roman"/>
          <w:sz w:val="24"/>
          <w:szCs w:val="24"/>
        </w:rPr>
        <w:tab/>
        <w:t>: Mission des Nations Unies pour la Stabilisation de la Centre Afrique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MPBGP</w:t>
      </w:r>
      <w:r w:rsidRPr="00CA196C">
        <w:rPr>
          <w:rFonts w:ascii="Bookman Old Style" w:hAnsi="Bookman Old Style" w:cs="Times New Roman"/>
          <w:sz w:val="24"/>
          <w:szCs w:val="24"/>
        </w:rPr>
        <w:tab/>
        <w:t>: Ministère à la Présidence Chargé de la Bonne Gouvernance et du Plan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Mrds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Milliards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MSPLS</w:t>
      </w:r>
      <w:r w:rsidRPr="00CA196C">
        <w:rPr>
          <w:rFonts w:ascii="Bookman Old Style" w:hAnsi="Bookman Old Style" w:cs="Times New Roman"/>
          <w:sz w:val="24"/>
          <w:szCs w:val="24"/>
        </w:rPr>
        <w:tab/>
        <w:t>: Ministère de la Santé Publique et de la Lutte Contre le SIDA</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MTN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Maladies Tropicales Négligées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MW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Méga Watt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NGN</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Next Generation Network</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OBR</w:t>
      </w:r>
      <w:r w:rsidR="00610235">
        <w:rPr>
          <w:rFonts w:ascii="Bookman Old Style" w:hAnsi="Bookman Old Style" w:cs="Times New Roman"/>
          <w:sz w:val="24"/>
          <w:szCs w:val="24"/>
        </w:rPr>
        <w:tab/>
      </w:r>
      <w:r w:rsidR="00610235">
        <w:rPr>
          <w:rFonts w:ascii="Bookman Old Style" w:hAnsi="Bookman Old Style" w:cs="Times New Roman"/>
          <w:sz w:val="24"/>
          <w:szCs w:val="24"/>
        </w:rPr>
        <w:tab/>
      </w:r>
      <w:r w:rsidRPr="00CA196C">
        <w:rPr>
          <w:rFonts w:ascii="Bookman Old Style" w:hAnsi="Bookman Old Style" w:cs="Times New Roman"/>
          <w:sz w:val="24"/>
          <w:szCs w:val="24"/>
        </w:rPr>
        <w:t xml:space="preserve">: Office Burundais des Recettes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ODD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Objectifs de Développement</w:t>
      </w:r>
      <w:r w:rsidR="00D55429" w:rsidRPr="00CA196C">
        <w:rPr>
          <w:rFonts w:ascii="Bookman Old Style" w:hAnsi="Bookman Old Style" w:cs="Times New Roman"/>
          <w:sz w:val="24"/>
          <w:szCs w:val="24"/>
        </w:rPr>
        <w:t xml:space="preserve"> Durable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OMC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Organisation Mondiale du Commerce</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OMD</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55429" w:rsidRPr="00CA196C">
        <w:rPr>
          <w:rFonts w:ascii="Bookman Old Style" w:hAnsi="Bookman Old Style" w:cs="Times New Roman"/>
          <w:sz w:val="24"/>
          <w:szCs w:val="24"/>
        </w:rPr>
        <w:t>: Objectifs du M</w:t>
      </w:r>
      <w:r w:rsidR="00DE3A23" w:rsidRPr="00CA196C">
        <w:rPr>
          <w:rFonts w:ascii="Bookman Old Style" w:hAnsi="Bookman Old Style" w:cs="Times New Roman"/>
          <w:sz w:val="24"/>
          <w:szCs w:val="24"/>
        </w:rPr>
        <w:t xml:space="preserve">illénaire pour le Développement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OMP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Opération de Maintien de la Paix</w:t>
      </w:r>
    </w:p>
    <w:p w:rsidR="00DE3A23" w:rsidRPr="00CA196C" w:rsidRDefault="00CA397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OMS</w:t>
      </w:r>
      <w:r w:rsidRPr="00CA196C">
        <w:rPr>
          <w:rFonts w:ascii="Bookman Old Style" w:hAnsi="Bookman Old Style" w:cs="Times New Roman"/>
          <w:sz w:val="24"/>
          <w:szCs w:val="24"/>
        </w:rPr>
        <w:tab/>
      </w:r>
      <w:r w:rsidRPr="00CA196C">
        <w:rPr>
          <w:rFonts w:ascii="Bookman Old Style" w:hAnsi="Bookman Old Style" w:cs="Times New Roman"/>
          <w:sz w:val="24"/>
          <w:szCs w:val="24"/>
        </w:rPr>
        <w:tab/>
      </w:r>
      <w:r w:rsidR="00DE3A23" w:rsidRPr="00CA196C">
        <w:rPr>
          <w:rFonts w:ascii="Bookman Old Style" w:hAnsi="Bookman Old Style" w:cs="Times New Roman"/>
          <w:sz w:val="24"/>
          <w:szCs w:val="24"/>
        </w:rPr>
        <w:t xml:space="preserve">: Organisation Mondiale de la Santé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ONATEL</w:t>
      </w:r>
      <w:r w:rsidRPr="00CA196C">
        <w:rPr>
          <w:rFonts w:ascii="Bookman Old Style" w:hAnsi="Bookman Old Style" w:cs="Times New Roman"/>
          <w:sz w:val="24"/>
          <w:szCs w:val="24"/>
        </w:rPr>
        <w:tab/>
        <w:t>: Office National des Télécommunications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ONGE</w:t>
      </w:r>
      <w:r w:rsidRPr="00CA196C">
        <w:rPr>
          <w:rFonts w:ascii="Bookman Old Style" w:hAnsi="Bookman Old Style" w:cs="Times New Roman"/>
          <w:sz w:val="24"/>
          <w:szCs w:val="24"/>
        </w:rPr>
        <w:tab/>
        <w:t xml:space="preserve">: Organisation </w:t>
      </w:r>
      <w:r w:rsidR="00D55429" w:rsidRPr="00CA196C">
        <w:rPr>
          <w:rFonts w:ascii="Bookman Old Style" w:hAnsi="Bookman Old Style" w:cs="Times New Roman"/>
          <w:sz w:val="24"/>
          <w:szCs w:val="24"/>
        </w:rPr>
        <w:t xml:space="preserve">Non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al</w:t>
      </w:r>
      <w:r w:rsidR="00D55429" w:rsidRPr="00CA196C">
        <w:rPr>
          <w:rFonts w:ascii="Bookman Old Style" w:hAnsi="Bookman Old Style" w:cs="Times New Roman"/>
          <w:sz w:val="24"/>
          <w:szCs w:val="24"/>
        </w:rPr>
        <w:t>e</w:t>
      </w:r>
      <w:r w:rsidRPr="00CA196C">
        <w:rPr>
          <w:rFonts w:ascii="Bookman Old Style" w:hAnsi="Bookman Old Style" w:cs="Times New Roman"/>
          <w:sz w:val="24"/>
          <w:szCs w:val="24"/>
        </w:rPr>
        <w:t xml:space="preserve"> Etrangère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ONP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Office National de Population</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ONPR </w:t>
      </w:r>
      <w:r w:rsidRPr="00CA196C">
        <w:rPr>
          <w:rFonts w:ascii="Bookman Old Style" w:hAnsi="Bookman Old Style" w:cs="Times New Roman"/>
          <w:sz w:val="24"/>
          <w:szCs w:val="24"/>
        </w:rPr>
        <w:tab/>
        <w:t>: Office National des P</w:t>
      </w:r>
      <w:r w:rsidR="00DE3A23" w:rsidRPr="00CA196C">
        <w:rPr>
          <w:rFonts w:ascii="Bookman Old Style" w:hAnsi="Bookman Old Style" w:cs="Times New Roman"/>
          <w:sz w:val="24"/>
          <w:szCs w:val="24"/>
        </w:rPr>
        <w:t>ensions et des Risques Professionnels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OTB</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Office du Thé du Burundi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PAIOSA</w:t>
      </w:r>
      <w:r w:rsidRPr="00CA196C">
        <w:rPr>
          <w:rFonts w:ascii="Bookman Old Style" w:hAnsi="Bookman Old Style" w:cs="Times New Roman"/>
          <w:sz w:val="24"/>
          <w:szCs w:val="24"/>
        </w:rPr>
        <w:tab/>
        <w:t>: Programme d’Appui Institutionnel et Opérationnel au Secteur Agricole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lastRenderedPageBreak/>
        <w:t>PAIVA</w:t>
      </w:r>
      <w:r w:rsidRPr="00CA196C">
        <w:rPr>
          <w:rFonts w:ascii="Bookman Old Style" w:hAnsi="Bookman Old Style" w:cs="Times New Roman"/>
          <w:sz w:val="24"/>
          <w:szCs w:val="24"/>
        </w:rPr>
        <w:tab/>
        <w:t>:</w:t>
      </w:r>
      <w:r w:rsidRPr="00CA196C">
        <w:rPr>
          <w:rFonts w:ascii="Bookman Old Style" w:eastAsiaTheme="majorEastAsia" w:hAnsi="Bookman Old Style" w:cs="Times New Roman"/>
          <w:b/>
          <w:bCs/>
          <w:sz w:val="24"/>
          <w:szCs w:val="24"/>
        </w:rPr>
        <w:t xml:space="preserve"> </w:t>
      </w:r>
      <w:r w:rsidRPr="00CA196C">
        <w:rPr>
          <w:rFonts w:ascii="Bookman Old Style" w:hAnsi="Bookman Old Style" w:cs="Times New Roman"/>
          <w:sz w:val="24"/>
          <w:szCs w:val="24"/>
        </w:rPr>
        <w:t>Projet d'Appui à l'Intensification et à la Valorisation Agricole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PANA</w:t>
      </w:r>
      <w:r w:rsidRPr="00CA196C">
        <w:rPr>
          <w:rFonts w:ascii="Bookman Old Style" w:hAnsi="Bookman Old Style" w:cs="Times New Roman"/>
          <w:sz w:val="24"/>
          <w:szCs w:val="24"/>
        </w:rPr>
        <w:tab/>
      </w:r>
      <w:r w:rsidR="00610235">
        <w:rPr>
          <w:rFonts w:ascii="Bookman Old Style" w:hAnsi="Bookman Old Style" w:cs="Times New Roman"/>
          <w:sz w:val="24"/>
          <w:szCs w:val="24"/>
        </w:rPr>
        <w:tab/>
      </w:r>
      <w:r w:rsidRPr="00CA196C">
        <w:rPr>
          <w:rFonts w:ascii="Bookman Old Style" w:hAnsi="Bookman Old Style" w:cs="Times New Roman"/>
          <w:sz w:val="24"/>
          <w:szCs w:val="24"/>
        </w:rPr>
        <w:t>: Plan National d’Adaptation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PAP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Plan d’Actions Prioritaires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PAS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Programme d’Ajustement Structurel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PCDC </w:t>
      </w:r>
      <w:r w:rsidRPr="00CA196C">
        <w:rPr>
          <w:rFonts w:ascii="Bookman Old Style" w:hAnsi="Bookman Old Style" w:cs="Times New Roman"/>
          <w:sz w:val="24"/>
          <w:szCs w:val="24"/>
        </w:rPr>
        <w:tab/>
        <w:t xml:space="preserve">: Plan Communal de Développement Communautaire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PIB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Produit Intérieur Brut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PIP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Programme d’Investissement Public</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Plans Nationaux d’Adaptation aux Changements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PNB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Police Nationale du Burundi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PND</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Plan National de Développement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PNDS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Programme National de Développement de la Santé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Politique Nationale de l’Environnement</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PNG</w:t>
      </w:r>
      <w:r w:rsidRPr="00CA196C">
        <w:rPr>
          <w:rFonts w:ascii="Bookman Old Style" w:hAnsi="Bookman Old Style" w:cs="Times New Roman"/>
          <w:bCs/>
          <w:sz w:val="24"/>
          <w:szCs w:val="24"/>
        </w:rPr>
        <w:tab/>
      </w:r>
      <w:r w:rsidRPr="00CA196C">
        <w:rPr>
          <w:rFonts w:ascii="Bookman Old Style" w:hAnsi="Bookman Old Style" w:cs="Times New Roman"/>
          <w:bCs/>
          <w:sz w:val="24"/>
          <w:szCs w:val="24"/>
        </w:rPr>
        <w:tab/>
        <w:t xml:space="preserve">: Politique Nationale Genre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PNIA</w:t>
      </w:r>
      <w:r w:rsidRPr="00CA196C">
        <w:rPr>
          <w:rFonts w:ascii="Bookman Old Style" w:hAnsi="Bookman Old Style" w:cs="Times New Roman"/>
          <w:bCs/>
          <w:sz w:val="24"/>
          <w:szCs w:val="24"/>
        </w:rPr>
        <w:tab/>
      </w:r>
      <w:r w:rsidRPr="00CA196C">
        <w:rPr>
          <w:rFonts w:ascii="Bookman Old Style" w:hAnsi="Bookman Old Style" w:cs="Times New Roman"/>
          <w:bCs/>
          <w:sz w:val="24"/>
          <w:szCs w:val="24"/>
        </w:rPr>
        <w:tab/>
        <w:t>: Plan National d’Investissement Agricole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PNP</w:t>
      </w:r>
      <w:r w:rsidRPr="00CA196C">
        <w:rPr>
          <w:rFonts w:ascii="Bookman Old Style" w:hAnsi="Bookman Old Style" w:cs="Times New Roman"/>
          <w:bCs/>
          <w:sz w:val="24"/>
          <w:szCs w:val="24"/>
        </w:rPr>
        <w:tab/>
      </w:r>
      <w:r w:rsidRPr="00CA196C">
        <w:rPr>
          <w:rFonts w:ascii="Bookman Old Style" w:hAnsi="Bookman Old Style" w:cs="Times New Roman"/>
          <w:bCs/>
          <w:sz w:val="24"/>
          <w:szCs w:val="24"/>
        </w:rPr>
        <w:tab/>
        <w:t>: politique Nationale de Population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PNPS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Politique Nationale de Protection Sociale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PNRA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Programme National des Réformes Administratives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PNS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Politique Nationale de Santé </w:t>
      </w:r>
    </w:p>
    <w:p w:rsidR="00DE3A23" w:rsidRPr="00CA196C" w:rsidRDefault="00DE3A23" w:rsidP="00CA3973">
      <w:pPr>
        <w:autoSpaceDE w:val="0"/>
        <w:autoSpaceDN w:val="0"/>
        <w:adjustRightInd w:val="0"/>
        <w:spacing w:after="0" w:line="240" w:lineRule="auto"/>
        <w:ind w:left="1418" w:hanging="1418"/>
        <w:jc w:val="both"/>
        <w:rPr>
          <w:rFonts w:ascii="Bookman Old Style" w:hAnsi="Bookman Old Style" w:cs="Times New Roman"/>
          <w:sz w:val="24"/>
          <w:szCs w:val="24"/>
        </w:rPr>
      </w:pPr>
      <w:r w:rsidRPr="00CA196C">
        <w:rPr>
          <w:rFonts w:ascii="Bookman Old Style" w:hAnsi="Bookman Old Style" w:cs="Times New Roman"/>
          <w:sz w:val="24"/>
          <w:szCs w:val="24"/>
        </w:rPr>
        <w:t>PNSADRIM </w:t>
      </w:r>
      <w:r w:rsidRPr="00CA196C">
        <w:rPr>
          <w:rFonts w:ascii="Bookman Old Style" w:hAnsi="Bookman Old Style" w:cs="Times New Roman"/>
          <w:sz w:val="24"/>
          <w:szCs w:val="24"/>
        </w:rPr>
        <w:tab/>
        <w:t xml:space="preserve">: Programme National pour la Sécurité Alimentaire et le Développement </w:t>
      </w:r>
      <w:r w:rsidR="00D55429"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Rural de l’Imbo et du Moso</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bCs/>
          <w:sz w:val="24"/>
          <w:szCs w:val="24"/>
        </w:rPr>
        <w:t>PNSEB</w:t>
      </w:r>
      <w:r w:rsidRPr="00CA196C">
        <w:rPr>
          <w:rFonts w:ascii="Bookman Old Style" w:hAnsi="Bookman Old Style" w:cs="Times New Roman"/>
          <w:bCs/>
          <w:sz w:val="24"/>
          <w:szCs w:val="24"/>
        </w:rPr>
        <w:tab/>
        <w:t xml:space="preserve">: </w:t>
      </w:r>
      <w:r w:rsidR="00D55429" w:rsidRPr="00CA196C">
        <w:rPr>
          <w:rFonts w:ascii="Bookman Old Style" w:hAnsi="Bookman Old Style" w:cs="Times New Roman"/>
          <w:sz w:val="24"/>
          <w:szCs w:val="24"/>
        </w:rPr>
        <w:t>Programme N</w:t>
      </w:r>
      <w:r w:rsidRPr="00CA196C">
        <w:rPr>
          <w:rFonts w:ascii="Bookman Old Style" w:hAnsi="Bookman Old Style" w:cs="Times New Roman"/>
          <w:sz w:val="24"/>
          <w:szCs w:val="24"/>
        </w:rPr>
        <w:t>ational de Subvention des Engrais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PPCDR</w:t>
      </w:r>
      <w:r w:rsidRPr="00CA196C">
        <w:rPr>
          <w:rFonts w:ascii="Bookman Old Style" w:hAnsi="Bookman Old Style" w:cs="Times New Roman"/>
          <w:sz w:val="24"/>
          <w:szCs w:val="24"/>
        </w:rPr>
        <w:tab/>
        <w:t>: Programme Post-Conflit de Développement Rural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PPIA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Plan Provinciaux d’Investissement Agricole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PPP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Partenariat Public Privé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PRODEMA</w:t>
      </w:r>
      <w:r w:rsidRPr="00CA196C">
        <w:rPr>
          <w:rFonts w:ascii="Bookman Old Style" w:hAnsi="Bookman Old Style" w:cs="Times New Roman"/>
          <w:sz w:val="24"/>
          <w:szCs w:val="24"/>
        </w:rPr>
        <w:tab/>
        <w:t>:</w:t>
      </w:r>
      <w:r w:rsidRPr="00CA196C">
        <w:rPr>
          <w:rFonts w:ascii="Bookman Old Style" w:eastAsiaTheme="majorEastAsia" w:hAnsi="Bookman Old Style" w:cs="Times New Roman"/>
          <w:b/>
          <w:bCs/>
          <w:sz w:val="24"/>
          <w:szCs w:val="24"/>
        </w:rPr>
        <w:t xml:space="preserve"> </w:t>
      </w:r>
      <w:r w:rsidRPr="00CA196C">
        <w:rPr>
          <w:rFonts w:ascii="Bookman Old Style" w:hAnsi="Bookman Old Style" w:cs="Times New Roman"/>
          <w:sz w:val="24"/>
          <w:szCs w:val="24"/>
        </w:rPr>
        <w:t>Projet de Productivité et de Développement des Marchés Agricoles</w:t>
      </w:r>
    </w:p>
    <w:p w:rsidR="00DE3A23" w:rsidRPr="00CA196C" w:rsidRDefault="00610235" w:rsidP="00E92676">
      <w:pPr>
        <w:autoSpaceDE w:val="0"/>
        <w:autoSpaceDN w:val="0"/>
        <w:adjustRightInd w:val="0"/>
        <w:spacing w:after="0" w:line="240" w:lineRule="auto"/>
        <w:jc w:val="both"/>
        <w:rPr>
          <w:rFonts w:ascii="Bookman Old Style" w:hAnsi="Bookman Old Style" w:cs="Times New Roman"/>
          <w:sz w:val="24"/>
          <w:szCs w:val="24"/>
        </w:rPr>
      </w:pPr>
      <w:r>
        <w:rPr>
          <w:rFonts w:ascii="Bookman Old Style" w:hAnsi="Bookman Old Style" w:cs="Times New Roman"/>
          <w:sz w:val="24"/>
          <w:szCs w:val="24"/>
        </w:rPr>
        <w:t>PROSANUT </w:t>
      </w:r>
      <w:r w:rsidR="00DE3A23" w:rsidRPr="00CA196C">
        <w:rPr>
          <w:rFonts w:ascii="Bookman Old Style" w:hAnsi="Bookman Old Style" w:cs="Times New Roman"/>
          <w:sz w:val="24"/>
          <w:szCs w:val="24"/>
        </w:rPr>
        <w:t>: Programme pour la Sécurité Alimentaire et Nutritionnel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PROTHEM</w:t>
      </w:r>
      <w:r w:rsidRPr="00CA196C">
        <w:rPr>
          <w:rFonts w:ascii="Bookman Old Style" w:hAnsi="Bookman Old Style" w:cs="Times New Roman"/>
          <w:sz w:val="24"/>
          <w:szCs w:val="24"/>
        </w:rPr>
        <w:tab/>
        <w:t>: Promotion de Thé de Mwaro</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PTA</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Plan de Travail Annuel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PTF</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Partenaire technique et Financier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PTME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Protection de la Transmission Mère Enfant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RAC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Revue Annuel Conjointe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RADDEX</w:t>
      </w:r>
      <w:r w:rsidRPr="00CA196C">
        <w:rPr>
          <w:rFonts w:ascii="Bookman Old Style" w:hAnsi="Bookman Old Style" w:cs="Times New Roman"/>
          <w:sz w:val="24"/>
          <w:szCs w:val="24"/>
        </w:rPr>
        <w:tab/>
        <w:t xml:space="preserve">: Revenue Authority Digital Data Exchange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RDC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République Démocratique du Congo</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REFES</w:t>
      </w:r>
      <w:r w:rsidRPr="00CA196C">
        <w:rPr>
          <w:rFonts w:ascii="Bookman Old Style" w:hAnsi="Bookman Old Style" w:cs="Times New Roman"/>
          <w:sz w:val="24"/>
          <w:szCs w:val="24"/>
        </w:rPr>
        <w:tab/>
        <w:t>: Réformes Economiques et Sociales</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REGIDESO </w:t>
      </w:r>
      <w:r w:rsidRPr="00CA196C">
        <w:rPr>
          <w:rFonts w:ascii="Bookman Old Style" w:hAnsi="Bookman Old Style" w:cs="Times New Roman"/>
          <w:sz w:val="24"/>
          <w:szCs w:val="24"/>
        </w:rPr>
        <w:tab/>
        <w:t xml:space="preserve">: Régie de production et de Distribution d’Eau et d’Electricité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RESEN</w:t>
      </w:r>
      <w:r w:rsidRPr="00CA196C">
        <w:rPr>
          <w:rFonts w:ascii="Bookman Old Style" w:hAnsi="Bookman Old Style" w:cs="Times New Roman"/>
          <w:sz w:val="24"/>
          <w:szCs w:val="24"/>
        </w:rPr>
        <w:tab/>
        <w:t>: Rapport d’Etat du Système de l’Education national</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RTNB</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Radio Télévision Nationale du Burundi</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SADEC</w:t>
      </w:r>
      <w:r w:rsidRPr="00CA196C">
        <w:rPr>
          <w:rFonts w:ascii="Bookman Old Style" w:hAnsi="Bookman Old Style" w:cs="Times New Roman"/>
          <w:sz w:val="24"/>
          <w:szCs w:val="24"/>
        </w:rPr>
        <w:tab/>
        <w:t xml:space="preserve">: </w:t>
      </w:r>
      <w:r w:rsidRPr="00CA196C">
        <w:rPr>
          <w:rFonts w:ascii="Bookman Old Style" w:hAnsi="Bookman Old Style" w:cs="Times New Roman"/>
          <w:bCs/>
          <w:sz w:val="24"/>
          <w:szCs w:val="24"/>
        </w:rPr>
        <w:t>Southern African Development Community</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SIS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Système d’I</w:t>
      </w:r>
      <w:r w:rsidR="00DE3A23" w:rsidRPr="00CA196C">
        <w:rPr>
          <w:rFonts w:ascii="Bookman Old Style" w:hAnsi="Bookman Old Style" w:cs="Times New Roman"/>
          <w:sz w:val="24"/>
          <w:szCs w:val="24"/>
        </w:rPr>
        <w:t xml:space="preserve">nformation </w:t>
      </w:r>
      <w:r w:rsidRPr="00CA196C">
        <w:rPr>
          <w:rFonts w:ascii="Bookman Old Style" w:hAnsi="Bookman Old Style" w:cs="Times New Roman"/>
          <w:sz w:val="24"/>
          <w:szCs w:val="24"/>
        </w:rPr>
        <w:t>S</w:t>
      </w:r>
      <w:r w:rsidR="00DE3A23" w:rsidRPr="00CA196C">
        <w:rPr>
          <w:rFonts w:ascii="Bookman Old Style" w:hAnsi="Bookman Old Style" w:cs="Times New Roman"/>
          <w:sz w:val="24"/>
          <w:szCs w:val="24"/>
        </w:rPr>
        <w:t xml:space="preserve">anitaire </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SNDS</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Stratégie Nationale de D</w:t>
      </w:r>
      <w:r w:rsidR="00DE3A23" w:rsidRPr="00CA196C">
        <w:rPr>
          <w:rFonts w:ascii="Bookman Old Style" w:hAnsi="Bookman Old Style" w:cs="Times New Roman"/>
          <w:sz w:val="24"/>
          <w:szCs w:val="24"/>
        </w:rPr>
        <w:t xml:space="preserve">éveloppement de la Statistique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SOLIS</w:t>
      </w:r>
      <w:r w:rsidRPr="00CA196C">
        <w:rPr>
          <w:rFonts w:ascii="Bookman Old Style" w:hAnsi="Bookman Old Style" w:cs="Times New Roman"/>
          <w:sz w:val="24"/>
          <w:szCs w:val="24"/>
        </w:rPr>
        <w:tab/>
        <w:t>:</w:t>
      </w:r>
      <w:r w:rsidRPr="00CA196C">
        <w:rPr>
          <w:rFonts w:ascii="Bookman Old Style" w:eastAsiaTheme="majorEastAsia" w:hAnsi="Bookman Old Style" w:cs="Times New Roman"/>
          <w:b/>
          <w:bCs/>
          <w:sz w:val="24"/>
          <w:szCs w:val="24"/>
        </w:rPr>
        <w:t xml:space="preserve"> </w:t>
      </w:r>
      <w:r w:rsidRPr="00CA196C">
        <w:rPr>
          <w:rFonts w:ascii="Bookman Old Style" w:hAnsi="Bookman Old Style" w:cs="Times New Roman"/>
          <w:sz w:val="24"/>
          <w:szCs w:val="24"/>
        </w:rPr>
        <w:t>Mutualité Solidarité pour la Santé</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SONAVIE</w:t>
      </w:r>
      <w:r w:rsidRPr="00CA196C">
        <w:rPr>
          <w:rFonts w:ascii="Bookman Old Style" w:hAnsi="Bookman Old Style" w:cs="Times New Roman"/>
          <w:sz w:val="24"/>
          <w:szCs w:val="24"/>
        </w:rPr>
        <w:tab/>
        <w:t>: Société Nouvelle d'A</w:t>
      </w:r>
      <w:r w:rsidR="00DE3A23" w:rsidRPr="00CA196C">
        <w:rPr>
          <w:rFonts w:ascii="Bookman Old Style" w:hAnsi="Bookman Old Style" w:cs="Times New Roman"/>
          <w:sz w:val="24"/>
          <w:szCs w:val="24"/>
        </w:rPr>
        <w:t>ssurance Vie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SOS </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Save Our Souls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SP</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Secrétariat Permanent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SPAT</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Schéma Provincial d’Aménagement du Territoire </w:t>
      </w:r>
    </w:p>
    <w:p w:rsidR="00DE3A23" w:rsidRPr="00CA196C" w:rsidRDefault="00D55429"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SSN</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Système S</w:t>
      </w:r>
      <w:r w:rsidR="00DE3A23" w:rsidRPr="00CA196C">
        <w:rPr>
          <w:rFonts w:ascii="Bookman Old Style" w:hAnsi="Bookman Old Style" w:cs="Times New Roman"/>
          <w:sz w:val="24"/>
          <w:szCs w:val="24"/>
        </w:rPr>
        <w:t xml:space="preserve">tatistique National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TIC</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Technologie de l’Information et de la Communication</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TICAD</w:t>
      </w:r>
      <w:r w:rsidRPr="00CA196C">
        <w:rPr>
          <w:rFonts w:ascii="Bookman Old Style" w:hAnsi="Bookman Old Style" w:cs="Times New Roman"/>
          <w:sz w:val="24"/>
          <w:szCs w:val="24"/>
          <w:lang w:val="en-US"/>
        </w:rPr>
        <w:tab/>
        <w:t xml:space="preserve">: </w:t>
      </w:r>
      <w:hyperlink r:id="rId19" w:history="1">
        <w:r w:rsidRPr="00CA196C">
          <w:rPr>
            <w:rFonts w:ascii="Bookman Old Style" w:hAnsi="Bookman Old Style" w:cs="Times New Roman"/>
            <w:sz w:val="24"/>
            <w:szCs w:val="24"/>
            <w:lang w:val="en-US"/>
          </w:rPr>
          <w:t>Tokyo International Conference of Africa's Development</w:t>
        </w:r>
      </w:hyperlink>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lastRenderedPageBreak/>
        <w:t>TICE</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Technologie de l’Information et de la Communication dans l’Enseignement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UNFPA</w:t>
      </w:r>
      <w:r w:rsidRPr="00CA196C">
        <w:rPr>
          <w:rFonts w:ascii="Bookman Old Style" w:hAnsi="Bookman Old Style" w:cs="Times New Roman"/>
          <w:sz w:val="24"/>
          <w:szCs w:val="24"/>
          <w:lang w:val="en-US"/>
        </w:rPr>
        <w:tab/>
        <w:t xml:space="preserve">: United Nations Fund for Population Agency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UNICEF</w:t>
      </w:r>
      <w:r w:rsidRPr="00CA196C">
        <w:rPr>
          <w:rFonts w:ascii="Bookman Old Style" w:hAnsi="Bookman Old Style" w:cs="Times New Roman"/>
          <w:sz w:val="24"/>
          <w:szCs w:val="24"/>
          <w:lang w:val="en-US"/>
        </w:rPr>
        <w:tab/>
        <w:t xml:space="preserve">: United Nations Children’s Fund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 xml:space="preserve">USA </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xml:space="preserve">: United Sates of America </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VBG</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Violence</w:t>
      </w:r>
      <w:r w:rsidR="00D55429" w:rsidRPr="00CA196C">
        <w:rPr>
          <w:rFonts w:ascii="Bookman Old Style" w:hAnsi="Bookman Old Style" w:cs="Times New Roman"/>
          <w:sz w:val="24"/>
          <w:szCs w:val="24"/>
        </w:rPr>
        <w:t>s</w:t>
      </w:r>
      <w:r w:rsidRPr="00CA196C">
        <w:rPr>
          <w:rFonts w:ascii="Bookman Old Style" w:hAnsi="Bookman Old Style" w:cs="Times New Roman"/>
          <w:sz w:val="24"/>
          <w:szCs w:val="24"/>
        </w:rPr>
        <w:t xml:space="preserve"> Basée</w:t>
      </w:r>
      <w:r w:rsidR="00D55429" w:rsidRPr="00CA196C">
        <w:rPr>
          <w:rFonts w:ascii="Bookman Old Style" w:hAnsi="Bookman Old Style" w:cs="Times New Roman"/>
          <w:sz w:val="24"/>
          <w:szCs w:val="24"/>
        </w:rPr>
        <w:t>s</w:t>
      </w:r>
      <w:r w:rsidRPr="00CA196C">
        <w:rPr>
          <w:rFonts w:ascii="Bookman Old Style" w:hAnsi="Bookman Old Style" w:cs="Times New Roman"/>
          <w:sz w:val="24"/>
          <w:szCs w:val="24"/>
        </w:rPr>
        <w:t xml:space="preserve"> sur le Genre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VIH</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xml:space="preserve">: Virus de </w:t>
      </w:r>
      <w:r w:rsidR="00D55429" w:rsidRPr="00CA196C">
        <w:rPr>
          <w:rFonts w:ascii="Bookman Old Style" w:hAnsi="Bookman Old Style" w:cs="Times New Roman"/>
          <w:sz w:val="24"/>
          <w:szCs w:val="24"/>
        </w:rPr>
        <w:t>l'Immunodéficience H</w:t>
      </w:r>
      <w:r w:rsidRPr="00CA196C">
        <w:rPr>
          <w:rFonts w:ascii="Bookman Old Style" w:hAnsi="Bookman Old Style" w:cs="Times New Roman"/>
          <w:sz w:val="24"/>
          <w:szCs w:val="24"/>
        </w:rPr>
        <w:t>umaine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VSBG</w:t>
      </w:r>
      <w:r w:rsidRPr="00CA196C">
        <w:rPr>
          <w:rFonts w:ascii="Bookman Old Style" w:hAnsi="Bookman Old Style" w:cs="Times New Roman"/>
          <w:sz w:val="24"/>
          <w:szCs w:val="24"/>
        </w:rPr>
        <w:tab/>
      </w:r>
      <w:r w:rsidRPr="00CA196C">
        <w:rPr>
          <w:rFonts w:ascii="Bookman Old Style" w:hAnsi="Bookman Old Style" w:cs="Times New Roman"/>
          <w:sz w:val="24"/>
          <w:szCs w:val="24"/>
        </w:rPr>
        <w:tab/>
        <w:t>: Violences Sexuelles et Basées sur le Genre</w:t>
      </w:r>
    </w:p>
    <w:p w:rsidR="00DE3A23" w:rsidRPr="00CA196C" w:rsidRDefault="00DE3A23" w:rsidP="00E92676">
      <w:pPr>
        <w:autoSpaceDE w:val="0"/>
        <w:autoSpaceDN w:val="0"/>
        <w:adjustRightInd w:val="0"/>
        <w:spacing w:after="0" w:line="240" w:lineRule="auto"/>
        <w:jc w:val="both"/>
        <w:rPr>
          <w:rFonts w:ascii="Bookman Old Style" w:hAnsi="Bookman Old Style" w:cs="Times New Roman"/>
          <w:sz w:val="24"/>
          <w:szCs w:val="24"/>
          <w:lang w:val="en-US"/>
        </w:rPr>
      </w:pPr>
      <w:r w:rsidRPr="00CA196C">
        <w:rPr>
          <w:rFonts w:ascii="Bookman Old Style" w:hAnsi="Bookman Old Style" w:cs="Times New Roman"/>
          <w:sz w:val="24"/>
          <w:szCs w:val="24"/>
          <w:lang w:val="en-US"/>
        </w:rPr>
        <w:t>WIFI</w:t>
      </w:r>
      <w:r w:rsidRPr="00CA196C">
        <w:rPr>
          <w:rFonts w:ascii="Bookman Old Style" w:hAnsi="Bookman Old Style" w:cs="Times New Roman"/>
          <w:sz w:val="24"/>
          <w:szCs w:val="24"/>
          <w:lang w:val="en-US"/>
        </w:rPr>
        <w:tab/>
      </w:r>
      <w:r w:rsidRPr="00CA196C">
        <w:rPr>
          <w:rFonts w:ascii="Bookman Old Style" w:hAnsi="Bookman Old Style" w:cs="Times New Roman"/>
          <w:sz w:val="24"/>
          <w:szCs w:val="24"/>
          <w:lang w:val="en-US"/>
        </w:rPr>
        <w:tab/>
        <w:t>: Wireless Fidelity</w:t>
      </w: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sz w:val="24"/>
          <w:szCs w:val="24"/>
          <w:lang w:val="en-US"/>
        </w:rPr>
      </w:pPr>
    </w:p>
    <w:p w:rsidR="00DE3A23" w:rsidRPr="00CA196C" w:rsidRDefault="00DE3A23" w:rsidP="00E92676">
      <w:pPr>
        <w:spacing w:before="160" w:after="120" w:line="240" w:lineRule="auto"/>
        <w:jc w:val="both"/>
        <w:rPr>
          <w:rFonts w:ascii="Bookman Old Style" w:hAnsi="Bookman Old Style" w:cs="Times New Roman"/>
          <w:b/>
          <w:bCs/>
          <w:sz w:val="24"/>
          <w:szCs w:val="24"/>
          <w:lang w:val="en-US"/>
        </w:rPr>
        <w:sectPr w:rsidR="00DE3A23" w:rsidRPr="00CA196C" w:rsidSect="00DE3A23">
          <w:headerReference w:type="even" r:id="rId20"/>
          <w:headerReference w:type="default" r:id="rId21"/>
          <w:footerReference w:type="even" r:id="rId22"/>
          <w:footerReference w:type="default" r:id="rId23"/>
          <w:headerReference w:type="first" r:id="rId24"/>
          <w:pgSz w:w="11906" w:h="16838"/>
          <w:pgMar w:top="1418" w:right="1134" w:bottom="1418" w:left="1134" w:header="709" w:footer="709" w:gutter="0"/>
          <w:pgNumType w:fmt="lowerRoman"/>
          <w:cols w:space="708"/>
          <w:docGrid w:linePitch="360"/>
        </w:sectPr>
      </w:pPr>
    </w:p>
    <w:p w:rsidR="00DE3A23" w:rsidRPr="00CA196C" w:rsidRDefault="00DE3A23" w:rsidP="005D43FC">
      <w:pPr>
        <w:pStyle w:val="Titre1"/>
      </w:pPr>
      <w:bookmarkStart w:id="10" w:name="_Toc500667054"/>
      <w:bookmarkStart w:id="11" w:name="_Toc500673493"/>
      <w:bookmarkStart w:id="12" w:name="_Toc500828086"/>
      <w:bookmarkStart w:id="13" w:name="_Toc511081522"/>
      <w:bookmarkStart w:id="14" w:name="_Toc499223450"/>
      <w:bookmarkStart w:id="15" w:name="_Toc500667055"/>
      <w:r w:rsidRPr="00CA196C">
        <w:lastRenderedPageBreak/>
        <w:t>RESUME EXECUTIF</w:t>
      </w:r>
      <w:bookmarkEnd w:id="10"/>
      <w:bookmarkEnd w:id="11"/>
      <w:bookmarkEnd w:id="12"/>
      <w:bookmarkEnd w:id="13"/>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Le document du PND Burundi 2018-2027 s’articule autour de huit principales parties. La première partie qui est constituée de l’introduction décrit le contexte socio-économique dans lequel est élaboré le PND, montre son utilité et l’approche méthodologique qui a été suivie pour son élaboration. </w:t>
      </w:r>
    </w:p>
    <w:p w:rsidR="00DE3A23" w:rsidRPr="00CA196C" w:rsidRDefault="00DE3A23" w:rsidP="00E92676">
      <w:pPr>
        <w:suppressAutoHyphens/>
        <w:autoSpaceDN w:val="0"/>
        <w:spacing w:before="160" w:after="120" w:line="240" w:lineRule="auto"/>
        <w:ind w:left="360"/>
        <w:contextualSpacing/>
        <w:jc w:val="both"/>
        <w:textAlignment w:val="baseline"/>
        <w:rPr>
          <w:rFonts w:ascii="Bookman Old Style" w:eastAsia="Times New Roman" w:hAnsi="Bookman Old Style" w:cs="Times New Roman"/>
          <w:sz w:val="24"/>
          <w:szCs w:val="24"/>
        </w:rPr>
      </w:pPr>
    </w:p>
    <w:p w:rsidR="003E7116"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deuxième partie développe la  vision et le  fondement, l’objectif global et le processus de transformation structurelle de l’économie. Elle montre que le PND est l’émanation du programme du Président de la République visant à promouvoir le développement du monde rural et faire du Burundi une puissance régionale émergente à l’horizon 2027 à travers la transformation structurelle de son économie. </w:t>
      </w:r>
    </w:p>
    <w:p w:rsidR="00014DC9" w:rsidRDefault="00014DC9" w:rsidP="00014DC9">
      <w:pPr>
        <w:suppressAutoHyphens/>
        <w:autoSpaceDN w:val="0"/>
        <w:spacing w:before="160" w:after="120" w:line="240" w:lineRule="auto"/>
        <w:ind w:left="360"/>
        <w:contextualSpacing/>
        <w:jc w:val="both"/>
        <w:textAlignment w:val="baseline"/>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troisième  partie parle du diagnostic socio-économique du Burundi à la veille du Plan National de Développement 2018-2027. Elle analyse les progrès réalisés par les différents secteurs de la vie socio-économique du pays </w:t>
      </w:r>
      <w:r w:rsidR="000920EC" w:rsidRPr="00CA196C">
        <w:rPr>
          <w:rFonts w:ascii="Bookman Old Style" w:eastAsia="Times New Roman" w:hAnsi="Bookman Old Style" w:cs="Times New Roman"/>
          <w:sz w:val="24"/>
          <w:szCs w:val="24"/>
        </w:rPr>
        <w:t xml:space="preserve">jusque fin 2016 </w:t>
      </w:r>
      <w:r w:rsidRPr="00CA196C">
        <w:rPr>
          <w:rFonts w:ascii="Bookman Old Style" w:eastAsia="Times New Roman" w:hAnsi="Bookman Old Style" w:cs="Times New Roman"/>
          <w:sz w:val="24"/>
          <w:szCs w:val="24"/>
        </w:rPr>
        <w:t xml:space="preserve">et met en évidence les défis à </w:t>
      </w:r>
      <w:r w:rsidR="007E46C5" w:rsidRPr="00CA196C">
        <w:rPr>
          <w:rFonts w:ascii="Bookman Old Style" w:eastAsia="Times New Roman" w:hAnsi="Bookman Old Style" w:cs="Times New Roman"/>
          <w:sz w:val="24"/>
          <w:szCs w:val="24"/>
        </w:rPr>
        <w:t>re</w:t>
      </w:r>
      <w:r w:rsidRPr="00CA196C">
        <w:rPr>
          <w:rFonts w:ascii="Bookman Old Style" w:eastAsia="Times New Roman" w:hAnsi="Bookman Old Style" w:cs="Times New Roman"/>
          <w:sz w:val="24"/>
          <w:szCs w:val="24"/>
        </w:rPr>
        <w:t>lever pour cheminer vers un développement durable et inclusif.</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La quatrième partie est consacrée aux orientations stratégiques relatives à dix  thématiques qui ont été retenues pour l’élaboration du Plan National de Développement du Burundi et qui constituent les perspectives de développement économique et social. Ces thématiques ont été regroupées en cinq </w:t>
      </w:r>
      <w:r w:rsidR="007E46C5" w:rsidRPr="00CA196C">
        <w:rPr>
          <w:rFonts w:ascii="Bookman Old Style" w:eastAsia="Times New Roman" w:hAnsi="Bookman Old Style" w:cs="Times New Roman"/>
          <w:sz w:val="24"/>
          <w:szCs w:val="24"/>
        </w:rPr>
        <w:t>orientations</w:t>
      </w:r>
      <w:r w:rsidRPr="00CA196C">
        <w:rPr>
          <w:rFonts w:ascii="Bookman Old Style" w:eastAsia="Times New Roman" w:hAnsi="Bookman Old Style" w:cs="Times New Roman"/>
          <w:sz w:val="24"/>
          <w:szCs w:val="24"/>
        </w:rPr>
        <w:t xml:space="preserve"> stratégiques suivant</w:t>
      </w:r>
      <w:r w:rsidR="007E46C5" w:rsidRPr="00CA196C">
        <w:rPr>
          <w:rFonts w:ascii="Bookman Old Style" w:eastAsia="Times New Roman" w:hAnsi="Bookman Old Style" w:cs="Times New Roman"/>
          <w:sz w:val="24"/>
          <w:szCs w:val="24"/>
        </w:rPr>
        <w:t>e</w:t>
      </w:r>
      <w:r w:rsidRPr="00CA196C">
        <w:rPr>
          <w:rFonts w:ascii="Bookman Old Style" w:eastAsia="Times New Roman" w:hAnsi="Bookman Old Style" w:cs="Times New Roman"/>
          <w:sz w:val="24"/>
          <w:szCs w:val="24"/>
        </w:rPr>
        <w:t xml:space="preserve">s : (1) </w:t>
      </w:r>
      <w:r w:rsidR="007E46C5" w:rsidRPr="00CA196C">
        <w:rPr>
          <w:rFonts w:ascii="Bookman Old Style" w:eastAsia="Times New Roman" w:hAnsi="Bookman Old Style" w:cs="Times New Roman"/>
          <w:sz w:val="24"/>
          <w:szCs w:val="24"/>
        </w:rPr>
        <w:t xml:space="preserve"> </w:t>
      </w:r>
      <w:r w:rsidR="006F50C2" w:rsidRPr="006F50C2">
        <w:rPr>
          <w:rFonts w:ascii="Bookman Old Style" w:eastAsia="Times New Roman" w:hAnsi="Bookman Old Style" w:cs="Times New Roman"/>
          <w:sz w:val="24"/>
          <w:szCs w:val="24"/>
        </w:rPr>
        <w:t>développer les secteurs porteurs de croissance pour la transforma</w:t>
      </w:r>
      <w:r w:rsidR="00610235">
        <w:rPr>
          <w:rFonts w:ascii="Bookman Old Style" w:eastAsia="Times New Roman" w:hAnsi="Bookman Old Style" w:cs="Times New Roman"/>
          <w:sz w:val="24"/>
          <w:szCs w:val="24"/>
        </w:rPr>
        <w:t xml:space="preserve">tion structurelle de l’économie </w:t>
      </w:r>
      <w:r w:rsidR="006F50C2" w:rsidRPr="006F50C2">
        <w:rPr>
          <w:rFonts w:ascii="Bookman Old Style" w:eastAsia="Times New Roman" w:hAnsi="Bookman Old Style" w:cs="Times New Roman"/>
          <w:sz w:val="24"/>
          <w:szCs w:val="24"/>
        </w:rPr>
        <w:t>;</w:t>
      </w:r>
      <w:r w:rsidR="006F50C2">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sz w:val="24"/>
          <w:szCs w:val="24"/>
        </w:rPr>
        <w:t>(</w:t>
      </w:r>
      <w:r w:rsidR="006F50C2">
        <w:rPr>
          <w:rFonts w:ascii="Bookman Old Style" w:eastAsia="Times New Roman" w:hAnsi="Bookman Old Style" w:cs="Times New Roman"/>
          <w:sz w:val="24"/>
          <w:szCs w:val="24"/>
        </w:rPr>
        <w:t>2</w:t>
      </w:r>
      <w:r w:rsidRPr="00CA196C">
        <w:rPr>
          <w:rFonts w:ascii="Bookman Old Style" w:eastAsia="Times New Roman" w:hAnsi="Bookman Old Style" w:cs="Times New Roman"/>
          <w:sz w:val="24"/>
          <w:szCs w:val="24"/>
        </w:rPr>
        <w:t>) développe</w:t>
      </w:r>
      <w:r w:rsidR="007E46C5" w:rsidRPr="00CA196C">
        <w:rPr>
          <w:rFonts w:ascii="Bookman Old Style" w:eastAsia="Times New Roman" w:hAnsi="Bookman Old Style" w:cs="Times New Roman"/>
          <w:sz w:val="24"/>
          <w:szCs w:val="24"/>
        </w:rPr>
        <w:t>r le c</w:t>
      </w:r>
      <w:r w:rsidRPr="00CA196C">
        <w:rPr>
          <w:rFonts w:ascii="Bookman Old Style" w:eastAsia="Times New Roman" w:hAnsi="Bookman Old Style" w:cs="Times New Roman"/>
          <w:sz w:val="24"/>
          <w:szCs w:val="24"/>
        </w:rPr>
        <w:t>apital humain ; (</w:t>
      </w:r>
      <w:r w:rsidR="006F50C2">
        <w:rPr>
          <w:rFonts w:ascii="Bookman Old Style" w:eastAsia="Times New Roman" w:hAnsi="Bookman Old Style" w:cs="Times New Roman"/>
          <w:sz w:val="24"/>
          <w:szCs w:val="24"/>
        </w:rPr>
        <w:t>3</w:t>
      </w:r>
      <w:r w:rsidR="007E46C5"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w:t>
      </w:r>
      <w:r w:rsidR="007E46C5" w:rsidRPr="00CA196C">
        <w:rPr>
          <w:rFonts w:ascii="Bookman Old Style" w:eastAsia="Times New Roman" w:hAnsi="Bookman Old Style"/>
          <w:bCs/>
          <w:color w:val="000000" w:themeColor="text1"/>
          <w:sz w:val="24"/>
          <w:szCs w:val="24"/>
          <w:u w:color="000000"/>
          <w:bdr w:val="nil"/>
        </w:rPr>
        <w:t>as</w:t>
      </w:r>
      <w:r w:rsidR="00610235">
        <w:rPr>
          <w:rFonts w:ascii="Bookman Old Style" w:eastAsia="Times New Roman" w:hAnsi="Bookman Old Style"/>
          <w:bCs/>
          <w:color w:val="000000" w:themeColor="text1"/>
          <w:sz w:val="24"/>
          <w:szCs w:val="24"/>
          <w:u w:color="000000"/>
          <w:bdr w:val="nil"/>
        </w:rPr>
        <w:t xml:space="preserve">surer la </w:t>
      </w:r>
      <w:r w:rsidR="007E46C5" w:rsidRPr="00CA196C">
        <w:rPr>
          <w:rFonts w:ascii="Bookman Old Style" w:eastAsia="Times New Roman" w:hAnsi="Bookman Old Style"/>
          <w:bCs/>
          <w:color w:val="000000" w:themeColor="text1"/>
          <w:sz w:val="24"/>
          <w:szCs w:val="24"/>
          <w:u w:color="000000"/>
          <w:bdr w:val="nil"/>
        </w:rPr>
        <w:t>gestion durable de l'environnement, atténuer changements climatiques et améliorer l’aménagement du territoire</w:t>
      </w:r>
      <w:r w:rsidR="006F50C2">
        <w:rPr>
          <w:rFonts w:ascii="Bookman Old Style" w:eastAsia="Times New Roman" w:hAnsi="Bookman Old Style"/>
          <w:bCs/>
          <w:color w:val="000000" w:themeColor="text1"/>
          <w:sz w:val="24"/>
          <w:szCs w:val="24"/>
          <w:u w:color="000000"/>
          <w:bdr w:val="nil"/>
        </w:rPr>
        <w:t xml:space="preserve"> (4</w:t>
      </w:r>
      <w:r w:rsidR="006F50C2" w:rsidRPr="006F50C2">
        <w:rPr>
          <w:rFonts w:ascii="Bookman Old Style" w:eastAsia="Times New Roman" w:hAnsi="Bookman Old Style"/>
          <w:bCs/>
          <w:color w:val="000000" w:themeColor="text1"/>
          <w:sz w:val="24"/>
          <w:szCs w:val="24"/>
          <w:u w:color="000000"/>
          <w:bdr w:val="nil"/>
        </w:rPr>
        <w:t>) renforcer la gouvernance, la sécurité et la sauvegarde de</w:t>
      </w:r>
      <w:r w:rsidR="006F50C2">
        <w:rPr>
          <w:rFonts w:ascii="Bookman Old Style" w:eastAsia="Times New Roman" w:hAnsi="Bookman Old Style"/>
          <w:bCs/>
          <w:color w:val="000000" w:themeColor="text1"/>
          <w:sz w:val="24"/>
          <w:szCs w:val="24"/>
          <w:u w:color="000000"/>
          <w:bdr w:val="nil"/>
        </w:rPr>
        <w:t xml:space="preserve"> la souveraineté nationale</w:t>
      </w:r>
      <w:r w:rsidR="006F50C2" w:rsidRPr="006F50C2">
        <w:rPr>
          <w:rFonts w:ascii="Bookman Old Style" w:eastAsia="Times New Roman" w:hAnsi="Bookman Old Style"/>
          <w:bCs/>
          <w:color w:val="000000" w:themeColor="text1"/>
          <w:sz w:val="24"/>
          <w:szCs w:val="24"/>
          <w:u w:color="000000"/>
          <w:bdr w:val="nil"/>
        </w:rPr>
        <w:t xml:space="preserve"> </w:t>
      </w:r>
      <w:r w:rsidR="007E46C5" w:rsidRPr="00CA196C">
        <w:rPr>
          <w:rFonts w:ascii="Bookman Old Style" w:eastAsia="Times New Roman" w:hAnsi="Bookman Old Style" w:cs="Times New Roman"/>
          <w:color w:val="000000" w:themeColor="text1"/>
          <w:sz w:val="24"/>
          <w:szCs w:val="24"/>
        </w:rPr>
        <w:t xml:space="preserve"> </w:t>
      </w:r>
      <w:r w:rsidRPr="00CA196C">
        <w:rPr>
          <w:rFonts w:ascii="Bookman Old Style" w:eastAsia="Times New Roman" w:hAnsi="Bookman Old Style" w:cs="Times New Roman"/>
          <w:color w:val="000000" w:themeColor="text1"/>
          <w:sz w:val="24"/>
          <w:szCs w:val="24"/>
        </w:rPr>
        <w:t xml:space="preserve">et  (5) </w:t>
      </w:r>
      <w:r w:rsidR="007E46C5" w:rsidRPr="00CA196C">
        <w:rPr>
          <w:rFonts w:ascii="Bookman Old Style" w:eastAsia="Times New Roman" w:hAnsi="Bookman Old Style"/>
          <w:bCs/>
          <w:color w:val="000000" w:themeColor="text1"/>
          <w:sz w:val="24"/>
          <w:szCs w:val="24"/>
          <w:u w:color="000000"/>
          <w:bdr w:val="nil"/>
        </w:rPr>
        <w:t>mobiliser les ressources, améliorer la gestion des dépenses publiques et développer la  coopération régionale et internationale</w:t>
      </w:r>
      <w:r w:rsidRPr="00CA196C">
        <w:rPr>
          <w:rFonts w:ascii="Bookman Old Style" w:eastAsia="Times New Roman" w:hAnsi="Bookman Old Style" w:cs="Times New Roman"/>
          <w:color w:val="000000" w:themeColor="text1"/>
          <w:sz w:val="24"/>
          <w:szCs w:val="24"/>
        </w:rPr>
        <w:t>.</w:t>
      </w:r>
    </w:p>
    <w:p w:rsidR="00DE3A23" w:rsidRPr="00CA196C" w:rsidRDefault="00DE3A23" w:rsidP="00E92676">
      <w:pPr>
        <w:suppressAutoHyphens/>
        <w:autoSpaceDN w:val="0"/>
        <w:spacing w:before="160" w:after="120" w:line="240" w:lineRule="auto"/>
        <w:ind w:left="360"/>
        <w:contextualSpacing/>
        <w:jc w:val="both"/>
        <w:textAlignment w:val="baseline"/>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Ces </w:t>
      </w:r>
      <w:r w:rsidR="007D2902" w:rsidRPr="00CA196C">
        <w:rPr>
          <w:rFonts w:ascii="Bookman Old Style" w:eastAsia="Times New Roman" w:hAnsi="Bookman Old Style" w:cs="Times New Roman"/>
          <w:sz w:val="24"/>
          <w:szCs w:val="24"/>
        </w:rPr>
        <w:t>orientations</w:t>
      </w:r>
      <w:r w:rsidRPr="00CA196C">
        <w:rPr>
          <w:rFonts w:ascii="Bookman Old Style" w:eastAsia="Times New Roman" w:hAnsi="Bookman Old Style" w:cs="Times New Roman"/>
          <w:sz w:val="24"/>
          <w:szCs w:val="24"/>
        </w:rPr>
        <w:t xml:space="preserve"> stratégiques sont traduit</w:t>
      </w:r>
      <w:r w:rsidR="007D2902" w:rsidRPr="00CA196C">
        <w:rPr>
          <w:rFonts w:ascii="Bookman Old Style" w:eastAsia="Times New Roman" w:hAnsi="Bookman Old Style" w:cs="Times New Roman"/>
          <w:sz w:val="24"/>
          <w:szCs w:val="24"/>
        </w:rPr>
        <w:t>e</w:t>
      </w:r>
      <w:r w:rsidRPr="00CA196C">
        <w:rPr>
          <w:rFonts w:ascii="Bookman Old Style" w:eastAsia="Times New Roman" w:hAnsi="Bookman Old Style" w:cs="Times New Roman"/>
          <w:sz w:val="24"/>
          <w:szCs w:val="24"/>
        </w:rPr>
        <w:t xml:space="preserve">s en objectifs stratégiques et </w:t>
      </w:r>
      <w:r w:rsidR="00610235">
        <w:rPr>
          <w:rFonts w:ascii="Bookman Old Style" w:eastAsia="Times New Roman" w:hAnsi="Bookman Old Style" w:cs="Times New Roman"/>
          <w:sz w:val="24"/>
          <w:szCs w:val="24"/>
        </w:rPr>
        <w:t xml:space="preserve">actions </w:t>
      </w:r>
      <w:r w:rsidRPr="00CA196C">
        <w:rPr>
          <w:rFonts w:ascii="Bookman Old Style" w:eastAsia="Times New Roman" w:hAnsi="Bookman Old Style" w:cs="Times New Roman"/>
          <w:sz w:val="24"/>
          <w:szCs w:val="24"/>
        </w:rPr>
        <w:t xml:space="preserve">prioritaires de développement qui répondent aux défis majeurs constatés tant au </w:t>
      </w:r>
      <w:r w:rsidRPr="00E8577A">
        <w:rPr>
          <w:rFonts w:ascii="Bookman Old Style" w:eastAsia="Times New Roman" w:hAnsi="Bookman Old Style" w:cs="Times New Roman"/>
          <w:sz w:val="24"/>
          <w:szCs w:val="24"/>
        </w:rPr>
        <w:t>niveau national que communautaire</w:t>
      </w:r>
      <w:r w:rsidRPr="00CA196C">
        <w:rPr>
          <w:rFonts w:ascii="Bookman Old Style" w:eastAsia="Times New Roman" w:hAnsi="Bookman Old Style" w:cs="Times New Roman"/>
          <w:sz w:val="24"/>
          <w:szCs w:val="24"/>
        </w:rPr>
        <w:t>. Ces défis sont principalement en rapport avec l’augmentation de la production agricole et d’élevage; la sécurité alimentaire; les infrastructures d’appui à la production; la mise en valeur du potentiel minier; le développement de l’industrie, du commerce et de l’artisanat; l’éducation, la santé, la protection sociale et la démographie, la réduction des inégalités; la gestion de l’environnement, les changements climatiques et l’aménagement du territoire; la gouvernance, l’état de droit ; la mobilisation des ressources financières ainsi que la consolidation du partenariat</w:t>
      </w:r>
      <w:r w:rsidR="007D2902"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de la coopération et de l’intégration régionale.</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cinquième partie parle du cadrage macroéconomique et budgétaire du PND. Il met en exergue les perspectives macroéconomiques, les sources </w:t>
      </w:r>
      <w:r w:rsidRPr="00CA196C">
        <w:rPr>
          <w:rFonts w:ascii="Bookman Old Style" w:eastAsia="Times New Roman" w:hAnsi="Bookman Old Style" w:cs="Times New Roman"/>
          <w:sz w:val="24"/>
          <w:szCs w:val="24"/>
        </w:rPr>
        <w:lastRenderedPageBreak/>
        <w:t xml:space="preserve">de croissance sur lesquelles elles se fondent ainsi que leurs implications sur les finances publiques, la balance des paiements et le secteur monétaire. Quant au cadrage budgétaire, cette partie décrit la façon dont les ressources devront être allouées pour réaliser avec efficacité et efficience  les programmes et projets qui seront mis en œuvre dans le cadre du PND.   </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007652">
        <w:rPr>
          <w:rFonts w:ascii="Bookman Old Style" w:eastAsia="Times New Roman" w:hAnsi="Bookman Old Style" w:cs="Times New Roman"/>
          <w:sz w:val="24"/>
          <w:szCs w:val="24"/>
        </w:rPr>
        <w:t>La sixième  partie est relative au mécanisme de suivi et évaluation du PND Burundi 2018-2027.</w:t>
      </w:r>
      <w:r w:rsidRPr="00CA196C">
        <w:rPr>
          <w:rFonts w:ascii="Bookman Old Style" w:eastAsia="Times New Roman" w:hAnsi="Bookman Old Style" w:cs="Times New Roman"/>
          <w:sz w:val="24"/>
          <w:szCs w:val="24"/>
        </w:rPr>
        <w:t xml:space="preserve"> Celui-ci détermine l’organisation institutionnelle du suivi-évaluation des programmes et projets de développement inscrits dans le Plan National de Développement du Burundi 2018-2027. Il décrit également la hiérarchie du processus du suivi ainsi que les systèmes de rapportage.</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septième partie </w:t>
      </w:r>
      <w:r w:rsidR="005D5F98">
        <w:rPr>
          <w:rFonts w:ascii="Bookman Old Style" w:eastAsia="Times New Roman" w:hAnsi="Bookman Old Style" w:cs="Times New Roman"/>
          <w:sz w:val="24"/>
          <w:szCs w:val="24"/>
        </w:rPr>
        <w:t>fournit une</w:t>
      </w:r>
      <w:r w:rsidRPr="00CA196C">
        <w:rPr>
          <w:rFonts w:ascii="Bookman Old Style" w:eastAsia="Times New Roman" w:hAnsi="Bookman Old Style" w:cs="Times New Roman"/>
          <w:sz w:val="24"/>
          <w:szCs w:val="24"/>
        </w:rPr>
        <w:t xml:space="preserve"> conclusion. Elle constitue </w:t>
      </w:r>
      <w:r w:rsidR="0079425E">
        <w:rPr>
          <w:rFonts w:ascii="Bookman Old Style" w:eastAsia="Times New Roman" w:hAnsi="Bookman Old Style" w:cs="Times New Roman"/>
          <w:sz w:val="24"/>
          <w:szCs w:val="24"/>
        </w:rPr>
        <w:t>un</w:t>
      </w:r>
      <w:r w:rsidRPr="00CA196C">
        <w:rPr>
          <w:rFonts w:ascii="Bookman Old Style" w:eastAsia="Times New Roman" w:hAnsi="Bookman Old Style" w:cs="Times New Roman"/>
          <w:sz w:val="24"/>
          <w:szCs w:val="24"/>
        </w:rPr>
        <w:t xml:space="preserve"> résumé des parties précédentes </w:t>
      </w:r>
      <w:r w:rsidR="005D5F98">
        <w:rPr>
          <w:rFonts w:ascii="Bookman Old Style" w:eastAsia="Times New Roman" w:hAnsi="Bookman Old Style" w:cs="Times New Roman"/>
          <w:sz w:val="24"/>
          <w:szCs w:val="24"/>
        </w:rPr>
        <w:t xml:space="preserve">en </w:t>
      </w:r>
      <w:r w:rsidRPr="00CA196C">
        <w:rPr>
          <w:rFonts w:ascii="Bookman Old Style" w:eastAsia="Times New Roman" w:hAnsi="Bookman Old Style" w:cs="Times New Roman"/>
          <w:sz w:val="24"/>
          <w:szCs w:val="24"/>
        </w:rPr>
        <w:t>insist</w:t>
      </w:r>
      <w:r w:rsidR="005D5F98">
        <w:rPr>
          <w:rFonts w:ascii="Bookman Old Style" w:eastAsia="Times New Roman" w:hAnsi="Bookman Old Style" w:cs="Times New Roman"/>
          <w:sz w:val="24"/>
          <w:szCs w:val="24"/>
        </w:rPr>
        <w:t>ant,</w:t>
      </w:r>
      <w:r w:rsidRPr="00CA196C">
        <w:rPr>
          <w:rFonts w:ascii="Bookman Old Style" w:eastAsia="Times New Roman" w:hAnsi="Bookman Old Style" w:cs="Times New Roman"/>
          <w:sz w:val="24"/>
          <w:szCs w:val="24"/>
        </w:rPr>
        <w:t xml:space="preserve"> particulièrement</w:t>
      </w:r>
      <w:r w:rsidR="005D5F98">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sur la dynamique de la croissance, la mobilisation des ressources, l’élaboration des statistiques fiables et l’appropriation du Plan National de Développement par  les différents acteurs de développement</w:t>
      </w:r>
      <w:r w:rsidR="0079425E">
        <w:rPr>
          <w:rFonts w:ascii="Bookman Old Style" w:eastAsia="Times New Roman" w:hAnsi="Bookman Old Style" w:cs="Times New Roman"/>
          <w:sz w:val="24"/>
          <w:szCs w:val="24"/>
        </w:rPr>
        <w:t xml:space="preserve"> du pays</w:t>
      </w:r>
      <w:r w:rsidRPr="00CA196C">
        <w:rPr>
          <w:rFonts w:ascii="Bookman Old Style" w:eastAsia="Times New Roman" w:hAnsi="Bookman Old Style" w:cs="Times New Roman"/>
          <w:sz w:val="24"/>
          <w:szCs w:val="24"/>
        </w:rPr>
        <w:t>.</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rPr>
      </w:pPr>
    </w:p>
    <w:p w:rsidR="00DE3A23" w:rsidRPr="00CA196C" w:rsidRDefault="00DE3A23" w:rsidP="00CD26FF">
      <w:pPr>
        <w:numPr>
          <w:ilvl w:val="0"/>
          <w:numId w:val="4"/>
        </w:numPr>
        <w:suppressAutoHyphens/>
        <w:autoSpaceDN w:val="0"/>
        <w:spacing w:before="160" w:after="120" w:line="240" w:lineRule="auto"/>
        <w:contextualSpacing/>
        <w:jc w:val="both"/>
        <w:textAlignment w:val="baseline"/>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La  huitième  partie est constituée par les annexes qui font parties intégrantes au </w:t>
      </w:r>
      <w:r w:rsidR="005D5F98">
        <w:rPr>
          <w:rFonts w:ascii="Bookman Old Style" w:eastAsia="Times New Roman" w:hAnsi="Bookman Old Style" w:cs="Times New Roman"/>
          <w:sz w:val="24"/>
          <w:szCs w:val="24"/>
        </w:rPr>
        <w:t>P</w:t>
      </w:r>
      <w:r w:rsidRPr="00CA196C">
        <w:rPr>
          <w:rFonts w:ascii="Bookman Old Style" w:eastAsia="Times New Roman" w:hAnsi="Bookman Old Style" w:cs="Times New Roman"/>
          <w:sz w:val="24"/>
          <w:szCs w:val="24"/>
        </w:rPr>
        <w:t>lan</w:t>
      </w:r>
      <w:r w:rsidR="005D5F98">
        <w:rPr>
          <w:rFonts w:ascii="Bookman Old Style" w:eastAsia="Times New Roman" w:hAnsi="Bookman Old Style" w:cs="Times New Roman"/>
          <w:sz w:val="24"/>
          <w:szCs w:val="24"/>
        </w:rPr>
        <w:t xml:space="preserve"> National de Développement 2018-2027 </w:t>
      </w:r>
      <w:r w:rsidRPr="00CA196C">
        <w:rPr>
          <w:rFonts w:ascii="Bookman Old Style" w:eastAsia="Times New Roman" w:hAnsi="Bookman Old Style" w:cs="Times New Roman"/>
          <w:sz w:val="24"/>
          <w:szCs w:val="24"/>
        </w:rPr>
        <w:t xml:space="preserve"> entre autres  le Plan d’Actions Prioritaires (PAP) et le Cadre des Dépenses à Moyens Termes (CDMT Sectoriel et Central). Le PAP décline les programmes prioritaires de développement économique et social assortis des indicateurs de suivi et les prévisions en dépenses pour leur mise en œuvre.</w:t>
      </w:r>
    </w:p>
    <w:p w:rsidR="001F0F96"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014DC9" w:rsidRDefault="00014DC9"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1F0F96" w:rsidRPr="00CA196C" w:rsidRDefault="001F0F9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014DC9" w:rsidRDefault="00014DC9">
      <w:pPr>
        <w:rPr>
          <w:rFonts w:ascii="Bookman Old Style" w:eastAsiaTheme="majorEastAsia" w:hAnsi="Bookman Old Style" w:cs="Times New Roman"/>
          <w:b/>
          <w:bCs/>
          <w:sz w:val="24"/>
          <w:szCs w:val="24"/>
        </w:rPr>
      </w:pPr>
      <w:r>
        <w:rPr>
          <w:rFonts w:ascii="Bookman Old Style" w:eastAsiaTheme="majorEastAsia" w:hAnsi="Bookman Old Style" w:cs="Times New Roman"/>
          <w:b/>
          <w:bCs/>
          <w:sz w:val="24"/>
          <w:szCs w:val="24"/>
        </w:rPr>
        <w:br w:type="page"/>
      </w:r>
    </w:p>
    <w:p w:rsidR="00DE3A23" w:rsidRPr="00CA196C" w:rsidRDefault="009E6A0A" w:rsidP="005D43FC">
      <w:pPr>
        <w:pStyle w:val="Titre1"/>
      </w:pPr>
      <w:bookmarkStart w:id="16" w:name="_Toc511081523"/>
      <w:r w:rsidRPr="00CA196C">
        <w:lastRenderedPageBreak/>
        <w:t xml:space="preserve">I. </w:t>
      </w:r>
      <w:r w:rsidR="00DE3A23" w:rsidRPr="00CA196C">
        <w:t>INTRODUCTION</w:t>
      </w:r>
      <w:bookmarkEnd w:id="14"/>
      <w:bookmarkEnd w:id="15"/>
      <w:bookmarkEnd w:id="16"/>
      <w:r w:rsidR="00DE3A23" w:rsidRPr="00CA196C">
        <w:t xml:space="preserve"> </w:t>
      </w:r>
    </w:p>
    <w:p w:rsidR="00DE3A23" w:rsidRPr="00CA196C" w:rsidRDefault="00DE3A23" w:rsidP="00E92676">
      <w:pPr>
        <w:keepNext/>
        <w:keepLines/>
        <w:spacing w:before="160" w:after="120" w:line="240" w:lineRule="auto"/>
        <w:ind w:left="360"/>
        <w:contextualSpacing/>
        <w:jc w:val="both"/>
        <w:outlineLvl w:val="0"/>
        <w:rPr>
          <w:rFonts w:ascii="Bookman Old Style" w:eastAsiaTheme="majorEastAsia" w:hAnsi="Bookman Old Style" w:cs="Times New Roman"/>
          <w:b/>
          <w:bCs/>
          <w:sz w:val="24"/>
          <w:szCs w:val="24"/>
        </w:rPr>
      </w:pPr>
    </w:p>
    <w:p w:rsidR="00DE3A23" w:rsidRPr="00CA196C"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E8577A">
        <w:rPr>
          <w:rFonts w:ascii="Bookman Old Style" w:hAnsi="Bookman Old Style" w:cs="Times New Roman"/>
          <w:sz w:val="24"/>
          <w:szCs w:val="24"/>
        </w:rPr>
        <w:t xml:space="preserve">Le Burundi connait de grandes mutations dans </w:t>
      </w:r>
      <w:r w:rsidR="00F66DB8">
        <w:rPr>
          <w:rFonts w:ascii="Bookman Old Style" w:hAnsi="Bookman Old Style" w:cs="Times New Roman"/>
          <w:sz w:val="24"/>
          <w:szCs w:val="24"/>
        </w:rPr>
        <w:t xml:space="preserve">les domaines de la gouvernance </w:t>
      </w:r>
      <w:r w:rsidRPr="00E8577A">
        <w:rPr>
          <w:rFonts w:ascii="Bookman Old Style" w:hAnsi="Bookman Old Style" w:cs="Times New Roman"/>
          <w:sz w:val="24"/>
          <w:szCs w:val="24"/>
        </w:rPr>
        <w:t>administrative, et économique</w:t>
      </w:r>
      <w:r w:rsidR="00F66DB8">
        <w:rPr>
          <w:rFonts w:ascii="Bookman Old Style" w:hAnsi="Bookman Old Style" w:cs="Times New Roman"/>
          <w:sz w:val="24"/>
          <w:szCs w:val="24"/>
        </w:rPr>
        <w:t xml:space="preserve">. Le </w:t>
      </w:r>
      <w:r w:rsidR="00F66DB8">
        <w:rPr>
          <w:rStyle w:val="Accentuation"/>
          <w:rFonts w:ascii="Bookman Old Style" w:hAnsi="Bookman Old Style" w:cs="Times New Roman"/>
          <w:sz w:val="24"/>
          <w:szCs w:val="24"/>
        </w:rPr>
        <w:t>défi</w:t>
      </w:r>
      <w:r w:rsidR="00F66DB8">
        <w:rPr>
          <w:rStyle w:val="st"/>
          <w:rFonts w:ascii="Bookman Old Style" w:hAnsi="Bookman Old Style" w:cs="Times New Roman"/>
          <w:sz w:val="24"/>
          <w:szCs w:val="24"/>
        </w:rPr>
        <w:t xml:space="preserve"> majeur est</w:t>
      </w:r>
      <w:r w:rsidR="00DA1A99" w:rsidRPr="00CA196C">
        <w:rPr>
          <w:rStyle w:val="st"/>
          <w:rFonts w:ascii="Bookman Old Style" w:hAnsi="Bookman Old Style" w:cs="Times New Roman"/>
          <w:sz w:val="24"/>
          <w:szCs w:val="24"/>
        </w:rPr>
        <w:t xml:space="preserve"> lié à la </w:t>
      </w:r>
      <w:r w:rsidR="00F66DB8">
        <w:rPr>
          <w:rStyle w:val="st"/>
          <w:rFonts w:ascii="Bookman Old Style" w:hAnsi="Bookman Old Style" w:cs="Times New Roman"/>
          <w:sz w:val="24"/>
          <w:szCs w:val="24"/>
        </w:rPr>
        <w:t>transformation structurelle de l’</w:t>
      </w:r>
      <w:r w:rsidR="00DA1A99" w:rsidRPr="00CA196C">
        <w:rPr>
          <w:rStyle w:val="Accentuation"/>
          <w:rFonts w:ascii="Bookman Old Style" w:hAnsi="Bookman Old Style" w:cs="Times New Roman"/>
          <w:sz w:val="24"/>
          <w:szCs w:val="24"/>
        </w:rPr>
        <w:t>économie</w:t>
      </w:r>
      <w:r w:rsidR="00DA1A99" w:rsidRPr="00CA196C">
        <w:rPr>
          <w:rStyle w:val="st"/>
          <w:rFonts w:ascii="Bookman Old Style" w:hAnsi="Bookman Old Style" w:cs="Times New Roman"/>
          <w:sz w:val="24"/>
          <w:szCs w:val="24"/>
        </w:rPr>
        <w:t xml:space="preserve"> nationale</w:t>
      </w:r>
      <w:r w:rsidRPr="00CA196C">
        <w:rPr>
          <w:rFonts w:ascii="Bookman Old Style" w:hAnsi="Bookman Old Style" w:cs="Times New Roman"/>
          <w:sz w:val="24"/>
          <w:szCs w:val="24"/>
        </w:rPr>
        <w:t>. Le Plan National de Développement</w:t>
      </w:r>
      <w:r w:rsidR="007D2902" w:rsidRPr="00CA196C">
        <w:rPr>
          <w:rFonts w:ascii="Bookman Old Style" w:hAnsi="Bookman Old Style" w:cs="Times New Roman"/>
          <w:sz w:val="24"/>
          <w:szCs w:val="24"/>
        </w:rPr>
        <w:t xml:space="preserve"> du</w:t>
      </w:r>
      <w:r w:rsidRPr="00CA196C">
        <w:rPr>
          <w:rFonts w:ascii="Bookman Old Style" w:hAnsi="Bookman Old Style" w:cs="Times New Roman"/>
          <w:sz w:val="24"/>
          <w:szCs w:val="24"/>
        </w:rPr>
        <w:t xml:space="preserve"> Burundi</w:t>
      </w:r>
      <w:r w:rsidR="00E92676" w:rsidRPr="00CA196C">
        <w:rPr>
          <w:rFonts w:ascii="Bookman Old Style" w:hAnsi="Bookman Old Style" w:cs="Times New Roman"/>
          <w:sz w:val="24"/>
          <w:szCs w:val="24"/>
        </w:rPr>
        <w:t xml:space="preserve"> sur la décennie 2018-2027  (PND </w:t>
      </w:r>
      <w:r w:rsidR="000920EC" w:rsidRPr="00CA196C">
        <w:rPr>
          <w:rFonts w:ascii="Bookman Old Style" w:hAnsi="Bookman Old Style" w:cs="Times New Roman"/>
          <w:sz w:val="24"/>
          <w:szCs w:val="24"/>
        </w:rPr>
        <w:t xml:space="preserve">Burundi </w:t>
      </w:r>
      <w:r w:rsidRPr="00CA196C">
        <w:rPr>
          <w:rFonts w:ascii="Bookman Old Style" w:hAnsi="Bookman Old Style" w:cs="Times New Roman"/>
          <w:sz w:val="24"/>
          <w:szCs w:val="24"/>
        </w:rPr>
        <w:t>2018-2027</w:t>
      </w:r>
      <w:r w:rsidR="00E92676"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vient répondre aux défis qui persistent encore dans les domaines du développement économique et social du pays. </w:t>
      </w:r>
      <w:r w:rsidR="007D2902" w:rsidRPr="00CA196C">
        <w:rPr>
          <w:rFonts w:ascii="Bookman Old Style" w:eastAsia="Calibri" w:hAnsi="Bookman Old Style" w:cs="Times New Roman"/>
          <w:sz w:val="24"/>
          <w:szCs w:val="24"/>
          <w:u w:color="000000"/>
          <w:bdr w:val="nil"/>
        </w:rPr>
        <w:t>Il</w:t>
      </w:r>
      <w:r w:rsidRPr="00CA196C">
        <w:rPr>
          <w:rFonts w:ascii="Bookman Old Style" w:eastAsia="Calibri" w:hAnsi="Bookman Old Style" w:cs="Times New Roman"/>
          <w:sz w:val="24"/>
          <w:szCs w:val="24"/>
          <w:u w:color="000000"/>
          <w:bdr w:val="nil"/>
        </w:rPr>
        <w:t xml:space="preserve"> s'inscrit dans un schéma de développement axé sur une nouvelle dynamique de transformation des structures économiques, démographiques et sociales, générant des effets multiplicateurs et durables sur l'</w:t>
      </w:r>
      <w:r w:rsidR="005D5F98">
        <w:rPr>
          <w:rFonts w:ascii="Bookman Old Style" w:eastAsia="Calibri" w:hAnsi="Bookman Old Style" w:cs="Times New Roman"/>
          <w:sz w:val="24"/>
          <w:szCs w:val="24"/>
          <w:u w:color="000000"/>
          <w:bdr w:val="nil"/>
        </w:rPr>
        <w:t>augmentation</w:t>
      </w:r>
      <w:r w:rsidRPr="00CA196C">
        <w:rPr>
          <w:rFonts w:ascii="Bookman Old Style" w:eastAsia="Calibri" w:hAnsi="Bookman Old Style" w:cs="Times New Roman"/>
          <w:sz w:val="24"/>
          <w:szCs w:val="24"/>
          <w:u w:color="000000"/>
          <w:bdr w:val="nil"/>
        </w:rPr>
        <w:t xml:space="preserve"> de la croissance</w:t>
      </w:r>
      <w:r w:rsidR="002A0678" w:rsidRPr="00CA196C">
        <w:rPr>
          <w:rFonts w:ascii="Bookman Old Style" w:eastAsia="Calibri" w:hAnsi="Bookman Old Style" w:cs="Times New Roman"/>
          <w:sz w:val="24"/>
          <w:szCs w:val="24"/>
          <w:u w:color="000000"/>
          <w:bdr w:val="nil"/>
        </w:rPr>
        <w:t xml:space="preserve"> économique et</w:t>
      </w:r>
      <w:r w:rsidRPr="00CA196C">
        <w:rPr>
          <w:rFonts w:ascii="Bookman Old Style" w:eastAsia="Calibri" w:hAnsi="Bookman Old Style" w:cs="Times New Roman"/>
          <w:sz w:val="24"/>
          <w:szCs w:val="24"/>
          <w:u w:color="000000"/>
          <w:bdr w:val="nil"/>
        </w:rPr>
        <w:t xml:space="preserve"> du revenu moyen par habitant et permettant</w:t>
      </w:r>
      <w:r w:rsidR="002A0678" w:rsidRPr="00CA196C">
        <w:rPr>
          <w:rFonts w:ascii="Bookman Old Style" w:eastAsia="Calibri" w:hAnsi="Bookman Old Style" w:cs="Times New Roman"/>
          <w:sz w:val="24"/>
          <w:szCs w:val="24"/>
          <w:u w:color="000000"/>
          <w:bdr w:val="nil"/>
        </w:rPr>
        <w:t xml:space="preserve"> </w:t>
      </w:r>
      <w:r w:rsidRPr="00CA196C">
        <w:rPr>
          <w:rFonts w:ascii="Bookman Old Style" w:eastAsia="Calibri" w:hAnsi="Bookman Old Style" w:cs="Times New Roman"/>
          <w:sz w:val="24"/>
          <w:szCs w:val="24"/>
          <w:u w:color="000000"/>
          <w:bdr w:val="nil"/>
        </w:rPr>
        <w:t>la satisfaction des besoins fondamentaux</w:t>
      </w:r>
      <w:r w:rsidR="00A5508B">
        <w:rPr>
          <w:rFonts w:ascii="Bookman Old Style" w:eastAsia="Calibri" w:hAnsi="Bookman Old Style" w:cs="Times New Roman"/>
          <w:sz w:val="24"/>
          <w:szCs w:val="24"/>
          <w:u w:color="000000"/>
          <w:bdr w:val="nil"/>
        </w:rPr>
        <w:t xml:space="preserve"> de la population</w:t>
      </w:r>
      <w:r w:rsidRPr="00CA196C">
        <w:rPr>
          <w:rFonts w:ascii="Bookman Old Style" w:eastAsia="Calibri" w:hAnsi="Bookman Old Style" w:cs="Times New Roman"/>
          <w:sz w:val="24"/>
          <w:szCs w:val="24"/>
          <w:u w:color="000000"/>
          <w:bdr w:val="nil"/>
        </w:rPr>
        <w:t xml:space="preserve">, la réduction de la pauvreté, le développement du capital humain, la viabilité environnementale et l'équité sociale. </w:t>
      </w:r>
    </w:p>
    <w:p w:rsidR="00DE3A23" w:rsidRPr="00CA196C" w:rsidRDefault="00DE3A23" w:rsidP="00E92676">
      <w:pPr>
        <w:spacing w:before="160" w:after="120" w:line="240" w:lineRule="auto"/>
        <w:ind w:left="360"/>
        <w:contextualSpacing/>
        <w:jc w:val="both"/>
        <w:rPr>
          <w:rFonts w:ascii="Bookman Old Style" w:eastAsia="Calibri" w:hAnsi="Bookman Old Style" w:cs="Times New Roman"/>
          <w:sz w:val="24"/>
          <w:szCs w:val="24"/>
          <w:u w:color="000000"/>
          <w:bdr w:val="nil"/>
        </w:rPr>
      </w:pPr>
    </w:p>
    <w:p w:rsidR="00DE3A23" w:rsidRPr="00CA196C" w:rsidRDefault="00E92676"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 xml:space="preserve">Le </w:t>
      </w:r>
      <w:r w:rsidR="000920EC" w:rsidRPr="00CA196C">
        <w:rPr>
          <w:rFonts w:ascii="Bookman Old Style" w:eastAsia="Calibri" w:hAnsi="Bookman Old Style" w:cs="Times New Roman"/>
          <w:sz w:val="24"/>
          <w:szCs w:val="24"/>
          <w:u w:color="000000"/>
          <w:bdr w:val="nil"/>
        </w:rPr>
        <w:t>PND BURUNDI 2018-2027</w:t>
      </w:r>
      <w:r w:rsidRPr="00CA196C">
        <w:rPr>
          <w:rFonts w:ascii="Bookman Old Style" w:eastAsia="Calibri" w:hAnsi="Bookman Old Style" w:cs="Times New Roman"/>
          <w:sz w:val="24"/>
          <w:szCs w:val="24"/>
          <w:u w:color="000000"/>
          <w:bdr w:val="nil"/>
        </w:rPr>
        <w:t xml:space="preserve"> </w:t>
      </w:r>
      <w:r w:rsidR="00DE3A23" w:rsidRPr="00CA196C">
        <w:rPr>
          <w:rFonts w:ascii="Bookman Old Style" w:hAnsi="Bookman Old Style" w:cs="Times New Roman"/>
          <w:sz w:val="24"/>
          <w:szCs w:val="24"/>
        </w:rPr>
        <w:t>c</w:t>
      </w:r>
      <w:r w:rsidRPr="00CA196C">
        <w:rPr>
          <w:rFonts w:ascii="Bookman Old Style" w:hAnsi="Bookman Old Style" w:cs="Times New Roman"/>
          <w:sz w:val="24"/>
          <w:szCs w:val="24"/>
        </w:rPr>
        <w:t>onstitue un outil d’orientation</w:t>
      </w:r>
      <w:r w:rsidR="00DE3A23" w:rsidRPr="00CA196C">
        <w:rPr>
          <w:rFonts w:ascii="Bookman Old Style" w:hAnsi="Bookman Old Style" w:cs="Times New Roman"/>
          <w:sz w:val="24"/>
          <w:szCs w:val="24"/>
        </w:rPr>
        <w:t xml:space="preserve"> stratégique sur base duquel les secteurs devront construire leurs politiques et plans d’actions </w:t>
      </w:r>
      <w:r w:rsidR="007565B5">
        <w:rPr>
          <w:rFonts w:ascii="Bookman Old Style" w:hAnsi="Bookman Old Style" w:cs="Times New Roman"/>
          <w:sz w:val="24"/>
          <w:szCs w:val="24"/>
        </w:rPr>
        <w:t>pour</w:t>
      </w:r>
      <w:r w:rsidR="005D5F98">
        <w:rPr>
          <w:rFonts w:ascii="Bookman Old Style" w:hAnsi="Bookman Old Style" w:cs="Times New Roman"/>
          <w:sz w:val="24"/>
          <w:szCs w:val="24"/>
        </w:rPr>
        <w:t xml:space="preserve"> </w:t>
      </w:r>
      <w:r w:rsidR="00DE3A23" w:rsidRPr="00CA196C">
        <w:rPr>
          <w:rFonts w:ascii="Bookman Old Style" w:hAnsi="Bookman Old Style" w:cs="Times New Roman"/>
          <w:sz w:val="24"/>
          <w:szCs w:val="24"/>
        </w:rPr>
        <w:t>contribuer positivement à l’augmentation</w:t>
      </w:r>
      <w:r w:rsidR="007565B5">
        <w:rPr>
          <w:rFonts w:ascii="Bookman Old Style" w:hAnsi="Bookman Old Style" w:cs="Times New Roman"/>
          <w:sz w:val="24"/>
          <w:szCs w:val="24"/>
        </w:rPr>
        <w:t xml:space="preserve"> du P</w:t>
      </w:r>
      <w:r w:rsidR="00DE3A23" w:rsidRPr="00CA196C">
        <w:rPr>
          <w:rFonts w:ascii="Bookman Old Style" w:hAnsi="Bookman Old Style" w:cs="Times New Roman"/>
          <w:sz w:val="24"/>
          <w:szCs w:val="24"/>
        </w:rPr>
        <w:t xml:space="preserve">roduit </w:t>
      </w:r>
      <w:r w:rsidR="007565B5">
        <w:rPr>
          <w:rFonts w:ascii="Bookman Old Style" w:hAnsi="Bookman Old Style" w:cs="Times New Roman"/>
          <w:sz w:val="24"/>
          <w:szCs w:val="24"/>
        </w:rPr>
        <w:t>Intérieur B</w:t>
      </w:r>
      <w:r w:rsidR="00DE3A23" w:rsidRPr="00CA196C">
        <w:rPr>
          <w:rFonts w:ascii="Bookman Old Style" w:hAnsi="Bookman Old Style" w:cs="Times New Roman"/>
          <w:sz w:val="24"/>
          <w:szCs w:val="24"/>
        </w:rPr>
        <w:t xml:space="preserve">rut (PIB). </w:t>
      </w:r>
      <w:r w:rsidR="007D2902" w:rsidRPr="00CA196C">
        <w:rPr>
          <w:rFonts w:ascii="Bookman Old Style" w:hAnsi="Bookman Old Style" w:cs="Times New Roman"/>
          <w:sz w:val="24"/>
          <w:szCs w:val="24"/>
        </w:rPr>
        <w:t>Il</w:t>
      </w:r>
      <w:r w:rsidRPr="00CA196C">
        <w:rPr>
          <w:rFonts w:ascii="Bookman Old Style" w:eastAsia="Calibri" w:hAnsi="Bookman Old Style" w:cs="Times New Roman"/>
          <w:sz w:val="24"/>
          <w:szCs w:val="24"/>
          <w:u w:color="000000"/>
          <w:bdr w:val="nil"/>
        </w:rPr>
        <w:t xml:space="preserve"> </w:t>
      </w:r>
      <w:r w:rsidR="00DE3A23" w:rsidRPr="00CA196C">
        <w:rPr>
          <w:rFonts w:ascii="Bookman Old Style" w:hAnsi="Bookman Old Style" w:cs="Times New Roman"/>
          <w:sz w:val="24"/>
          <w:szCs w:val="24"/>
        </w:rPr>
        <w:t xml:space="preserve"> est élaboré dans un environnement politique, économique et social caractérisé par l’ouverture au dialogue et à la concertation entre le </w:t>
      </w:r>
      <w:r w:rsidR="00D71F7F" w:rsidRPr="00CA196C">
        <w:rPr>
          <w:rFonts w:ascii="Bookman Old Style" w:hAnsi="Bookman Old Style" w:cs="Times New Roman"/>
          <w:sz w:val="24"/>
          <w:szCs w:val="24"/>
        </w:rPr>
        <w:t>Gouvernement</w:t>
      </w:r>
      <w:r w:rsidR="00DE3A23" w:rsidRPr="00CA196C">
        <w:rPr>
          <w:rFonts w:ascii="Bookman Old Style" w:hAnsi="Bookman Old Style" w:cs="Times New Roman"/>
          <w:sz w:val="24"/>
          <w:szCs w:val="24"/>
        </w:rPr>
        <w:t xml:space="preserve"> et les partenaires des partis politiques, de la société civile, des confessions religieuses et de la jeunesse qui sont des acteurs </w:t>
      </w:r>
      <w:r w:rsidR="009728D4">
        <w:rPr>
          <w:rFonts w:ascii="Bookman Old Style" w:hAnsi="Bookman Old Style" w:cs="Times New Roman"/>
          <w:sz w:val="24"/>
          <w:szCs w:val="24"/>
        </w:rPr>
        <w:t>incontournable</w:t>
      </w:r>
      <w:r w:rsidR="007565B5">
        <w:rPr>
          <w:rFonts w:ascii="Bookman Old Style" w:hAnsi="Bookman Old Style" w:cs="Times New Roman"/>
          <w:sz w:val="24"/>
          <w:szCs w:val="24"/>
        </w:rPr>
        <w:t>s</w:t>
      </w:r>
      <w:r w:rsidR="00DE3A23" w:rsidRPr="00CA196C">
        <w:rPr>
          <w:rFonts w:ascii="Bookman Old Style" w:hAnsi="Bookman Old Style" w:cs="Times New Roman"/>
          <w:sz w:val="24"/>
          <w:szCs w:val="24"/>
        </w:rPr>
        <w:t xml:space="preserve"> du développement.</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hAnsi="Bookman Old Style" w:cs="Times New Roman"/>
          <w:sz w:val="24"/>
          <w:szCs w:val="24"/>
        </w:rPr>
        <w:t>Ce plan se veut être le fondement d’une croissance forte et inclusive dès l’année 2018 afin de pe</w:t>
      </w:r>
      <w:r w:rsidR="00F161A9" w:rsidRPr="00CA196C">
        <w:rPr>
          <w:rFonts w:ascii="Bookman Old Style" w:hAnsi="Bookman Old Style" w:cs="Times New Roman"/>
          <w:sz w:val="24"/>
          <w:szCs w:val="24"/>
        </w:rPr>
        <w:t>rmettre au</w:t>
      </w:r>
      <w:r w:rsidRPr="00CA196C">
        <w:rPr>
          <w:rFonts w:ascii="Bookman Old Style" w:hAnsi="Bookman Old Style" w:cs="Times New Roman"/>
          <w:sz w:val="24"/>
          <w:szCs w:val="24"/>
        </w:rPr>
        <w:t xml:space="preserve"> Burundi</w:t>
      </w:r>
      <w:r w:rsidR="007B56DA"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d’atteindre</w:t>
      </w:r>
      <w:r w:rsidR="007B56DA" w:rsidRPr="00CA196C">
        <w:rPr>
          <w:rFonts w:ascii="Bookman Old Style" w:hAnsi="Bookman Old Style" w:cs="Times New Roman"/>
          <w:sz w:val="24"/>
          <w:szCs w:val="24"/>
        </w:rPr>
        <w:t xml:space="preserve">, à l’horizon 2027, </w:t>
      </w:r>
      <w:r w:rsidRPr="00CA196C">
        <w:rPr>
          <w:rFonts w:ascii="Bookman Old Style" w:hAnsi="Bookman Old Style" w:cs="Times New Roman"/>
          <w:sz w:val="24"/>
          <w:szCs w:val="24"/>
        </w:rPr>
        <w:t xml:space="preserve">le niveau des pays émergents. L’enjeu du </w:t>
      </w:r>
      <w:r w:rsidR="000920EC" w:rsidRPr="00CA196C">
        <w:rPr>
          <w:rFonts w:ascii="Bookman Old Style" w:hAnsi="Bookman Old Style" w:cs="Times New Roman"/>
          <w:sz w:val="24"/>
          <w:szCs w:val="24"/>
        </w:rPr>
        <w:t>PND BURUNDI 2018-2027</w:t>
      </w:r>
      <w:r w:rsidR="007B56DA" w:rsidRPr="00CA196C">
        <w:rPr>
          <w:rFonts w:ascii="Bookman Old Style" w:eastAsia="Calibri" w:hAnsi="Bookman Old Style" w:cs="Times New Roman"/>
          <w:sz w:val="24"/>
          <w:szCs w:val="24"/>
          <w:u w:color="000000"/>
          <w:bdr w:val="nil"/>
        </w:rPr>
        <w:t xml:space="preserve"> </w:t>
      </w:r>
      <w:r w:rsidRPr="00CA196C">
        <w:rPr>
          <w:rFonts w:ascii="Bookman Old Style" w:hAnsi="Bookman Old Style" w:cs="Times New Roman"/>
          <w:sz w:val="24"/>
          <w:szCs w:val="24"/>
        </w:rPr>
        <w:t xml:space="preserve"> est </w:t>
      </w:r>
      <w:r w:rsidR="007B56DA" w:rsidRPr="00CA196C">
        <w:rPr>
          <w:rFonts w:ascii="Bookman Old Style" w:hAnsi="Bookman Old Style" w:cs="Times New Roman"/>
          <w:sz w:val="24"/>
          <w:szCs w:val="24"/>
        </w:rPr>
        <w:t xml:space="preserve">donc </w:t>
      </w:r>
      <w:r w:rsidRPr="00CA196C">
        <w:rPr>
          <w:rFonts w:ascii="Bookman Old Style" w:hAnsi="Bookman Old Style" w:cs="Times New Roman"/>
          <w:sz w:val="24"/>
          <w:szCs w:val="24"/>
        </w:rPr>
        <w:t xml:space="preserve">de créer les conditions nécessaires à une paix et une stabilité durables pour </w:t>
      </w:r>
      <w:r w:rsidR="0079425E">
        <w:rPr>
          <w:rFonts w:ascii="Bookman Old Style" w:hAnsi="Bookman Old Style" w:cs="Times New Roman"/>
          <w:sz w:val="24"/>
          <w:szCs w:val="24"/>
        </w:rPr>
        <w:t>la</w:t>
      </w:r>
      <w:r w:rsidRPr="00CA196C">
        <w:rPr>
          <w:rFonts w:ascii="Bookman Old Style" w:hAnsi="Bookman Old Style" w:cs="Times New Roman"/>
          <w:sz w:val="24"/>
          <w:szCs w:val="24"/>
        </w:rPr>
        <w:t xml:space="preserve"> transformation structurelle de l’économie à long terme caractérisée par une croissance à deux chiffres, durable et équitable. La mise en œuvre d</w:t>
      </w:r>
      <w:r w:rsidR="007B56DA" w:rsidRPr="00CA196C">
        <w:rPr>
          <w:rFonts w:ascii="Bookman Old Style" w:hAnsi="Bookman Old Style" w:cs="Times New Roman"/>
          <w:sz w:val="24"/>
          <w:szCs w:val="24"/>
        </w:rPr>
        <w:t>e ce</w:t>
      </w:r>
      <w:r w:rsidRPr="00CA196C">
        <w:rPr>
          <w:rFonts w:ascii="Bookman Old Style" w:hAnsi="Bookman Old Style" w:cs="Times New Roman"/>
          <w:sz w:val="24"/>
          <w:szCs w:val="24"/>
        </w:rPr>
        <w:t xml:space="preserve"> PND permettra de capitaliser </w:t>
      </w:r>
      <w:r w:rsidR="00AB6A9B">
        <w:rPr>
          <w:rFonts w:ascii="Bookman Old Style" w:hAnsi="Bookman Old Style" w:cs="Times New Roman"/>
          <w:sz w:val="24"/>
          <w:szCs w:val="24"/>
        </w:rPr>
        <w:t xml:space="preserve">sur </w:t>
      </w:r>
      <w:r w:rsidR="007565B5">
        <w:rPr>
          <w:rFonts w:ascii="Bookman Old Style" w:hAnsi="Bookman Old Style" w:cs="Times New Roman"/>
          <w:sz w:val="24"/>
          <w:szCs w:val="24"/>
        </w:rPr>
        <w:t xml:space="preserve">les </w:t>
      </w:r>
      <w:r w:rsidR="00AB6A9B">
        <w:rPr>
          <w:rFonts w:ascii="Bookman Old Style" w:hAnsi="Bookman Old Style" w:cs="Times New Roman"/>
          <w:sz w:val="24"/>
          <w:szCs w:val="24"/>
        </w:rPr>
        <w:t>acquis de la démocratie et</w:t>
      </w:r>
      <w:r w:rsidRPr="00CA196C">
        <w:rPr>
          <w:rFonts w:ascii="Bookman Old Style" w:hAnsi="Bookman Old Style" w:cs="Times New Roman"/>
          <w:sz w:val="24"/>
          <w:szCs w:val="24"/>
        </w:rPr>
        <w:t xml:space="preserve"> de la gouvernance, </w:t>
      </w:r>
      <w:r w:rsidR="00AB6A9B">
        <w:rPr>
          <w:rFonts w:ascii="Bookman Old Style" w:hAnsi="Bookman Old Style" w:cs="Times New Roman"/>
          <w:sz w:val="24"/>
          <w:szCs w:val="24"/>
        </w:rPr>
        <w:t xml:space="preserve">afin </w:t>
      </w:r>
      <w:r w:rsidRPr="00CA196C">
        <w:rPr>
          <w:rFonts w:ascii="Bookman Old Style" w:hAnsi="Bookman Old Style" w:cs="Times New Roman"/>
          <w:sz w:val="24"/>
          <w:szCs w:val="24"/>
        </w:rPr>
        <w:t>d’accroître la production agricole</w:t>
      </w:r>
      <w:r w:rsidR="00AB6A9B">
        <w:rPr>
          <w:rFonts w:ascii="Bookman Old Style" w:hAnsi="Bookman Old Style" w:cs="Times New Roman"/>
          <w:sz w:val="24"/>
          <w:szCs w:val="24"/>
        </w:rPr>
        <w:t xml:space="preserve"> à travers la promotion des exploitations familiale</w:t>
      </w:r>
      <w:r w:rsidR="007565B5">
        <w:rPr>
          <w:rFonts w:ascii="Bookman Old Style" w:hAnsi="Bookman Old Style" w:cs="Times New Roman"/>
          <w:sz w:val="24"/>
          <w:szCs w:val="24"/>
        </w:rPr>
        <w:t>s</w:t>
      </w:r>
      <w:r w:rsidR="00AB6A9B">
        <w:rPr>
          <w:rFonts w:ascii="Bookman Old Style" w:hAnsi="Bookman Old Style" w:cs="Times New Roman"/>
          <w:sz w:val="24"/>
          <w:szCs w:val="24"/>
        </w:rPr>
        <w:t xml:space="preserve"> intégrées</w:t>
      </w:r>
      <w:r w:rsidRPr="00CA196C">
        <w:rPr>
          <w:rFonts w:ascii="Bookman Old Style" w:hAnsi="Bookman Old Style" w:cs="Times New Roman"/>
          <w:sz w:val="24"/>
          <w:szCs w:val="24"/>
        </w:rPr>
        <w:t>, de construire des infrastructures de base de l’économie et de développer le tissu industriel en privilégiant une approche de Partenariat Public Privé</w:t>
      </w:r>
      <w:r w:rsidR="007B56DA" w:rsidRPr="00CA196C">
        <w:rPr>
          <w:rFonts w:ascii="Bookman Old Style" w:hAnsi="Bookman Old Style" w:cs="Times New Roman"/>
          <w:sz w:val="24"/>
          <w:szCs w:val="24"/>
        </w:rPr>
        <w:t xml:space="preserve"> (PPP)</w:t>
      </w:r>
      <w:r w:rsidRPr="00CA196C">
        <w:rPr>
          <w:rFonts w:ascii="Bookman Old Style" w:hAnsi="Bookman Old Style" w:cs="Times New Roman"/>
          <w:sz w:val="24"/>
          <w:szCs w:val="24"/>
        </w:rPr>
        <w:t xml:space="preserve"> et plus généralement le développement du secteur privé.</w:t>
      </w:r>
      <w:r w:rsidR="00AB6A9B">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 </w:t>
      </w:r>
    </w:p>
    <w:p w:rsidR="00DE3A23" w:rsidRPr="00CA196C" w:rsidRDefault="00DE3A23" w:rsidP="00E92676">
      <w:pPr>
        <w:spacing w:line="240" w:lineRule="auto"/>
        <w:ind w:left="720"/>
        <w:contextualSpacing/>
        <w:rPr>
          <w:rFonts w:ascii="Bookman Old Style" w:eastAsia="Calibri" w:hAnsi="Bookman Old Style" w:cs="Times New Roman"/>
          <w:sz w:val="24"/>
          <w:szCs w:val="24"/>
          <w:u w:color="000000"/>
          <w:bdr w:val="nil"/>
        </w:rPr>
      </w:pPr>
    </w:p>
    <w:p w:rsidR="00DE3A23" w:rsidRPr="00CA196C"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 xml:space="preserve">Ce faisant, </w:t>
      </w:r>
      <w:r w:rsidR="007B56DA" w:rsidRPr="00CA196C">
        <w:rPr>
          <w:rFonts w:ascii="Bookman Old Style" w:eastAsia="Calibri" w:hAnsi="Bookman Old Style" w:cs="Times New Roman"/>
          <w:sz w:val="24"/>
          <w:szCs w:val="24"/>
          <w:u w:color="000000"/>
          <w:bdr w:val="nil"/>
        </w:rPr>
        <w:t xml:space="preserve">le </w:t>
      </w:r>
      <w:r w:rsidR="000920EC" w:rsidRPr="00CA196C">
        <w:rPr>
          <w:rFonts w:ascii="Bookman Old Style" w:hAnsi="Bookman Old Style" w:cs="Times New Roman"/>
          <w:sz w:val="24"/>
          <w:szCs w:val="24"/>
        </w:rPr>
        <w:t>PND BURUNDI 2018-2027</w:t>
      </w:r>
      <w:r w:rsidR="007B56DA" w:rsidRPr="00CA196C">
        <w:rPr>
          <w:rFonts w:ascii="Bookman Old Style" w:hAnsi="Bookman Old Style" w:cs="Times New Roman"/>
          <w:sz w:val="24"/>
          <w:szCs w:val="24"/>
        </w:rPr>
        <w:t xml:space="preserve"> </w:t>
      </w:r>
      <w:r w:rsidRPr="00CA196C">
        <w:rPr>
          <w:rFonts w:ascii="Bookman Old Style" w:eastAsia="Calibri" w:hAnsi="Bookman Old Style" w:cs="Times New Roman"/>
          <w:sz w:val="24"/>
          <w:szCs w:val="24"/>
          <w:u w:color="000000"/>
          <w:bdr w:val="nil"/>
        </w:rPr>
        <w:t xml:space="preserve">tient compte des enseignements tirés de la mise en œuvre des référentiels antérieurs </w:t>
      </w:r>
      <w:r w:rsidR="00073412" w:rsidRPr="00CA196C">
        <w:rPr>
          <w:rFonts w:ascii="Bookman Old Style" w:eastAsia="Calibri" w:hAnsi="Bookman Old Style" w:cs="Times New Roman"/>
          <w:sz w:val="24"/>
          <w:szCs w:val="24"/>
          <w:u w:color="000000"/>
          <w:bdr w:val="nil"/>
        </w:rPr>
        <w:t>de la planification du</w:t>
      </w:r>
      <w:r w:rsidRPr="00CA196C">
        <w:rPr>
          <w:rFonts w:ascii="Bookman Old Style" w:eastAsia="Calibri" w:hAnsi="Bookman Old Style" w:cs="Times New Roman"/>
          <w:sz w:val="24"/>
          <w:szCs w:val="24"/>
          <w:u w:color="000000"/>
          <w:bdr w:val="nil"/>
        </w:rPr>
        <w:t xml:space="preserve"> développement économique</w:t>
      </w:r>
      <w:r w:rsidR="00DA1A99" w:rsidRPr="00CA196C">
        <w:rPr>
          <w:rFonts w:ascii="Bookman Old Style" w:eastAsia="Calibri" w:hAnsi="Bookman Old Style" w:cs="Times New Roman"/>
          <w:sz w:val="24"/>
          <w:szCs w:val="24"/>
          <w:u w:color="000000"/>
          <w:bdr w:val="nil"/>
        </w:rPr>
        <w:t xml:space="preserve"> et social du Burundi : </w:t>
      </w:r>
      <w:r w:rsidR="007D2902" w:rsidRPr="00CA196C">
        <w:rPr>
          <w:rFonts w:ascii="Bookman Old Style" w:eastAsia="Calibri" w:hAnsi="Bookman Old Style" w:cs="Times New Roman"/>
          <w:sz w:val="24"/>
          <w:szCs w:val="24"/>
          <w:u w:color="000000"/>
          <w:bdr w:val="nil"/>
        </w:rPr>
        <w:t xml:space="preserve">les </w:t>
      </w:r>
      <w:r w:rsidRPr="00CA196C">
        <w:rPr>
          <w:rFonts w:ascii="Bookman Old Style" w:eastAsia="Calibri" w:hAnsi="Bookman Old Style" w:cs="Times New Roman"/>
          <w:sz w:val="24"/>
          <w:szCs w:val="24"/>
          <w:u w:color="000000"/>
          <w:bdr w:val="nil"/>
        </w:rPr>
        <w:t>plans quinquennaux</w:t>
      </w:r>
      <w:r w:rsidR="00073412" w:rsidRPr="00CA196C">
        <w:rPr>
          <w:rFonts w:ascii="Bookman Old Style" w:eastAsia="Calibri" w:hAnsi="Bookman Old Style" w:cs="Times New Roman"/>
          <w:sz w:val="24"/>
          <w:szCs w:val="24"/>
          <w:u w:color="000000"/>
          <w:bdr w:val="nil"/>
        </w:rPr>
        <w:t>,</w:t>
      </w:r>
      <w:r w:rsidR="0079425E">
        <w:rPr>
          <w:rFonts w:ascii="Bookman Old Style" w:eastAsia="Calibri" w:hAnsi="Bookman Old Style" w:cs="Times New Roman"/>
          <w:sz w:val="24"/>
          <w:szCs w:val="24"/>
          <w:u w:color="000000"/>
          <w:bdr w:val="nil"/>
        </w:rPr>
        <w:t xml:space="preserve"> les Programmes d'Ajustement S</w:t>
      </w:r>
      <w:r w:rsidRPr="00CA196C">
        <w:rPr>
          <w:rFonts w:ascii="Bookman Old Style" w:eastAsia="Calibri" w:hAnsi="Bookman Old Style" w:cs="Times New Roman"/>
          <w:sz w:val="24"/>
          <w:szCs w:val="24"/>
          <w:u w:color="000000"/>
          <w:bdr w:val="nil"/>
        </w:rPr>
        <w:t>truc</w:t>
      </w:r>
      <w:r w:rsidR="0079425E">
        <w:rPr>
          <w:rFonts w:ascii="Bookman Old Style" w:eastAsia="Calibri" w:hAnsi="Bookman Old Style" w:cs="Times New Roman"/>
          <w:sz w:val="24"/>
          <w:szCs w:val="24"/>
          <w:u w:color="000000"/>
          <w:bdr w:val="nil"/>
        </w:rPr>
        <w:t>turel (PAS) et les Cadres S</w:t>
      </w:r>
      <w:r w:rsidRPr="00CA196C">
        <w:rPr>
          <w:rFonts w:ascii="Bookman Old Style" w:eastAsia="Calibri" w:hAnsi="Bookman Old Style" w:cs="Times New Roman"/>
          <w:sz w:val="24"/>
          <w:szCs w:val="24"/>
          <w:u w:color="000000"/>
          <w:bdr w:val="nil"/>
        </w:rPr>
        <w:t>tratégique</w:t>
      </w:r>
      <w:r w:rsidR="00073412" w:rsidRPr="00CA196C">
        <w:rPr>
          <w:rFonts w:ascii="Bookman Old Style" w:eastAsia="Calibri" w:hAnsi="Bookman Old Style" w:cs="Times New Roman"/>
          <w:sz w:val="24"/>
          <w:szCs w:val="24"/>
          <w:u w:color="000000"/>
          <w:bdr w:val="nil"/>
        </w:rPr>
        <w:t>s</w:t>
      </w:r>
      <w:r w:rsidR="0079425E">
        <w:rPr>
          <w:rFonts w:ascii="Bookman Old Style" w:eastAsia="Calibri" w:hAnsi="Bookman Old Style" w:cs="Times New Roman"/>
          <w:sz w:val="24"/>
          <w:szCs w:val="24"/>
          <w:u w:color="000000"/>
          <w:bdr w:val="nil"/>
        </w:rPr>
        <w:t xml:space="preserve"> de Lutte contre la P</w:t>
      </w:r>
      <w:r w:rsidRPr="00CA196C">
        <w:rPr>
          <w:rFonts w:ascii="Bookman Old Style" w:eastAsia="Calibri" w:hAnsi="Bookman Old Style" w:cs="Times New Roman"/>
          <w:sz w:val="24"/>
          <w:szCs w:val="24"/>
          <w:u w:color="000000"/>
          <w:bdr w:val="nil"/>
        </w:rPr>
        <w:t>auvreté</w:t>
      </w:r>
      <w:r w:rsidR="00DA1A99" w:rsidRPr="00CA196C">
        <w:rPr>
          <w:rFonts w:ascii="Bookman Old Style" w:eastAsia="Calibri" w:hAnsi="Bookman Old Style" w:cs="Times New Roman"/>
          <w:sz w:val="24"/>
          <w:szCs w:val="24"/>
          <w:u w:color="000000"/>
          <w:bdr w:val="nil"/>
        </w:rPr>
        <w:t>. De par ces référentiels, l</w:t>
      </w:r>
      <w:r w:rsidRPr="00CA196C">
        <w:rPr>
          <w:rFonts w:ascii="Bookman Old Style" w:eastAsia="Calibri" w:hAnsi="Bookman Old Style" w:cs="Times New Roman"/>
          <w:sz w:val="24"/>
          <w:szCs w:val="24"/>
          <w:u w:color="000000"/>
          <w:bdr w:val="nil"/>
        </w:rPr>
        <w:t>es résultats obtenus par rapport aux attentes impose</w:t>
      </w:r>
      <w:r w:rsidR="007D2902" w:rsidRPr="00CA196C">
        <w:rPr>
          <w:rFonts w:ascii="Bookman Old Style" w:eastAsia="Calibri" w:hAnsi="Bookman Old Style" w:cs="Times New Roman"/>
          <w:sz w:val="24"/>
          <w:szCs w:val="24"/>
          <w:u w:color="000000"/>
          <w:bdr w:val="nil"/>
        </w:rPr>
        <w:t>nt</w:t>
      </w:r>
      <w:r w:rsidRPr="00CA196C">
        <w:rPr>
          <w:rFonts w:ascii="Bookman Old Style" w:eastAsia="Calibri" w:hAnsi="Bookman Old Style" w:cs="Times New Roman"/>
          <w:sz w:val="24"/>
          <w:szCs w:val="24"/>
          <w:u w:color="000000"/>
          <w:bdr w:val="nil"/>
        </w:rPr>
        <w:t xml:space="preserve"> au PND le choix d'une approche audacieuse et réaliste favorisant la prise en compte des agendas</w:t>
      </w:r>
      <w:r w:rsidR="00073412" w:rsidRPr="00CA196C">
        <w:rPr>
          <w:rFonts w:ascii="Bookman Old Style" w:eastAsia="Calibri" w:hAnsi="Bookman Old Style" w:cs="Times New Roman"/>
          <w:sz w:val="24"/>
          <w:szCs w:val="24"/>
          <w:u w:color="000000"/>
          <w:bdr w:val="nil"/>
        </w:rPr>
        <w:t xml:space="preserve"> multidimensionnels</w:t>
      </w:r>
      <w:r w:rsidRPr="00CA196C">
        <w:rPr>
          <w:rFonts w:ascii="Bookman Old Style" w:eastAsia="Calibri" w:hAnsi="Bookman Old Style" w:cs="Times New Roman"/>
          <w:sz w:val="24"/>
          <w:szCs w:val="24"/>
          <w:u w:color="000000"/>
          <w:bdr w:val="nil"/>
        </w:rPr>
        <w:t xml:space="preserve">: international (Objectifs du Développement Durable ODD </w:t>
      </w:r>
      <w:r w:rsidRPr="00CA196C">
        <w:rPr>
          <w:rFonts w:ascii="Bookman Old Style" w:eastAsia="Calibri" w:hAnsi="Bookman Old Style" w:cs="Times New Roman"/>
          <w:i/>
          <w:sz w:val="24"/>
          <w:szCs w:val="24"/>
          <w:u w:color="000000"/>
          <w:bdr w:val="nil"/>
        </w:rPr>
        <w:t>« ne laisse personne pour compte</w:t>
      </w:r>
      <w:r w:rsidR="00DA1A99" w:rsidRPr="00CA196C">
        <w:rPr>
          <w:rFonts w:ascii="Bookman Old Style" w:eastAsia="Calibri" w:hAnsi="Bookman Old Style" w:cs="Times New Roman"/>
          <w:sz w:val="24"/>
          <w:szCs w:val="24"/>
          <w:u w:color="000000"/>
          <w:bdr w:val="nil"/>
        </w:rPr>
        <w:t> »), régional (</w:t>
      </w:r>
      <w:r w:rsidR="00073412" w:rsidRPr="00CA196C">
        <w:rPr>
          <w:rFonts w:ascii="Bookman Old Style" w:eastAsia="Calibri" w:hAnsi="Bookman Old Style" w:cs="Times New Roman"/>
          <w:sz w:val="24"/>
          <w:szCs w:val="24"/>
          <w:u w:color="000000"/>
          <w:bdr w:val="nil"/>
        </w:rPr>
        <w:t>A</w:t>
      </w:r>
      <w:r w:rsidRPr="00CA196C">
        <w:rPr>
          <w:rFonts w:ascii="Bookman Old Style" w:eastAsia="Calibri" w:hAnsi="Bookman Old Style" w:cs="Times New Roman"/>
          <w:sz w:val="24"/>
          <w:szCs w:val="24"/>
          <w:u w:color="000000"/>
          <w:bdr w:val="nil"/>
        </w:rPr>
        <w:t>genda Africain 2063 : « </w:t>
      </w:r>
      <w:r w:rsidRPr="00CA196C">
        <w:rPr>
          <w:rFonts w:ascii="Bookman Old Style" w:eastAsia="Calibri" w:hAnsi="Bookman Old Style" w:cs="Times New Roman"/>
          <w:i/>
          <w:sz w:val="24"/>
          <w:szCs w:val="24"/>
          <w:u w:color="000000"/>
          <w:bdr w:val="nil"/>
        </w:rPr>
        <w:t>Afrique que nous voulons</w:t>
      </w:r>
      <w:r w:rsidRPr="00CA196C">
        <w:rPr>
          <w:rFonts w:ascii="Bookman Old Style" w:eastAsia="Calibri" w:hAnsi="Bookman Old Style" w:cs="Times New Roman"/>
          <w:sz w:val="24"/>
          <w:szCs w:val="24"/>
          <w:u w:color="000000"/>
          <w:bdr w:val="nil"/>
        </w:rPr>
        <w:t> », sous régional </w:t>
      </w:r>
      <w:r w:rsidR="00073412" w:rsidRPr="00CA196C">
        <w:rPr>
          <w:rFonts w:ascii="Bookman Old Style" w:eastAsia="Calibri" w:hAnsi="Bookman Old Style" w:cs="Times New Roman"/>
          <w:sz w:val="24"/>
          <w:szCs w:val="24"/>
          <w:u w:color="000000"/>
          <w:bdr w:val="nil"/>
        </w:rPr>
        <w:t>(V</w:t>
      </w:r>
      <w:r w:rsidRPr="00CA196C">
        <w:rPr>
          <w:rFonts w:ascii="Bookman Old Style" w:eastAsia="Calibri" w:hAnsi="Bookman Old Style" w:cs="Times New Roman"/>
          <w:sz w:val="24"/>
          <w:szCs w:val="24"/>
          <w:u w:color="000000"/>
          <w:bdr w:val="nil"/>
        </w:rPr>
        <w:t xml:space="preserve">ision 2050 de </w:t>
      </w:r>
      <w:r w:rsidRPr="00CA196C">
        <w:rPr>
          <w:rFonts w:ascii="Bookman Old Style" w:eastAsia="Calibri" w:hAnsi="Bookman Old Style" w:cs="Times New Roman"/>
          <w:sz w:val="24"/>
          <w:szCs w:val="24"/>
          <w:u w:color="000000"/>
          <w:bdr w:val="nil"/>
        </w:rPr>
        <w:lastRenderedPageBreak/>
        <w:t xml:space="preserve">la </w:t>
      </w:r>
      <w:r w:rsidR="00073412" w:rsidRPr="00CA196C">
        <w:rPr>
          <w:rFonts w:ascii="Bookman Old Style" w:eastAsia="Calibri" w:hAnsi="Bookman Old Style" w:cs="Times New Roman"/>
          <w:sz w:val="24"/>
          <w:szCs w:val="24"/>
          <w:u w:color="000000"/>
          <w:bdr w:val="nil"/>
        </w:rPr>
        <w:t>C</w:t>
      </w:r>
      <w:r w:rsidRPr="00CA196C">
        <w:rPr>
          <w:rFonts w:ascii="Bookman Old Style" w:eastAsia="Calibri" w:hAnsi="Bookman Old Style" w:cs="Times New Roman"/>
          <w:sz w:val="24"/>
          <w:szCs w:val="24"/>
          <w:u w:color="000000"/>
          <w:bdr w:val="nil"/>
        </w:rPr>
        <w:t xml:space="preserve">ommunauté </w:t>
      </w:r>
      <w:r w:rsidR="00073412" w:rsidRPr="00CA196C">
        <w:rPr>
          <w:rFonts w:ascii="Bookman Old Style" w:eastAsia="Calibri" w:hAnsi="Bookman Old Style" w:cs="Times New Roman"/>
          <w:sz w:val="24"/>
          <w:szCs w:val="24"/>
          <w:u w:color="000000"/>
          <w:bdr w:val="nil"/>
        </w:rPr>
        <w:t>d’Afrique de l’Est</w:t>
      </w:r>
      <w:r w:rsidRPr="00CA196C">
        <w:rPr>
          <w:rFonts w:ascii="Bookman Old Style" w:eastAsia="Calibri" w:hAnsi="Bookman Old Style" w:cs="Times New Roman"/>
          <w:sz w:val="24"/>
          <w:szCs w:val="24"/>
          <w:u w:color="000000"/>
          <w:bdr w:val="nil"/>
        </w:rPr>
        <w:t>) et national (</w:t>
      </w:r>
      <w:r w:rsidR="00073412" w:rsidRPr="00CA196C">
        <w:rPr>
          <w:rFonts w:ascii="Bookman Old Style" w:eastAsia="Calibri" w:hAnsi="Bookman Old Style" w:cs="Times New Roman"/>
          <w:sz w:val="24"/>
          <w:szCs w:val="24"/>
          <w:u w:color="000000"/>
          <w:bdr w:val="nil"/>
        </w:rPr>
        <w:t>V</w:t>
      </w:r>
      <w:r w:rsidRPr="00CA196C">
        <w:rPr>
          <w:rFonts w:ascii="Bookman Old Style" w:eastAsia="Calibri" w:hAnsi="Bookman Old Style" w:cs="Times New Roman"/>
          <w:sz w:val="24"/>
          <w:szCs w:val="24"/>
          <w:u w:color="000000"/>
          <w:bdr w:val="nil"/>
        </w:rPr>
        <w:t>ision « Burundi 2025 »</w:t>
      </w:r>
      <w:r w:rsidR="00073412" w:rsidRPr="00CA196C">
        <w:rPr>
          <w:rFonts w:ascii="Bookman Old Style" w:eastAsia="Calibri" w:hAnsi="Bookman Old Style" w:cs="Times New Roman"/>
          <w:sz w:val="24"/>
          <w:szCs w:val="24"/>
          <w:u w:color="000000"/>
          <w:bdr w:val="nil"/>
        </w:rPr>
        <w:t> :</w:t>
      </w:r>
      <w:r w:rsidRPr="00CA196C">
        <w:rPr>
          <w:rFonts w:ascii="Bookman Old Style" w:eastAsia="Calibri" w:hAnsi="Bookman Old Style" w:cs="Times New Roman"/>
          <w:sz w:val="24"/>
          <w:szCs w:val="24"/>
          <w:u w:color="000000"/>
          <w:bdr w:val="nil"/>
        </w:rPr>
        <w:t xml:space="preserve"> </w:t>
      </w:r>
      <w:r w:rsidRPr="00CA196C">
        <w:rPr>
          <w:rFonts w:ascii="Bookman Old Style" w:eastAsia="Calibri" w:hAnsi="Bookman Old Style" w:cs="Times New Roman"/>
          <w:i/>
          <w:sz w:val="24"/>
          <w:szCs w:val="24"/>
          <w:u w:color="000000"/>
          <w:bdr w:val="nil"/>
        </w:rPr>
        <w:t>le Burundi de lait et de miel</w:t>
      </w:r>
      <w:r w:rsidRPr="00CA196C">
        <w:rPr>
          <w:rFonts w:ascii="Bookman Old Style" w:eastAsia="Calibri" w:hAnsi="Bookman Old Style" w:cs="Times New Roman"/>
          <w:sz w:val="24"/>
          <w:szCs w:val="24"/>
          <w:u w:color="000000"/>
          <w:bdr w:val="nil"/>
        </w:rPr>
        <w:t>)</w:t>
      </w:r>
      <w:r w:rsidR="00073412" w:rsidRPr="00CA196C">
        <w:rPr>
          <w:rFonts w:ascii="Bookman Old Style" w:eastAsia="Calibri" w:hAnsi="Bookman Old Style" w:cs="Times New Roman"/>
          <w:sz w:val="24"/>
          <w:szCs w:val="24"/>
          <w:u w:color="000000"/>
          <w:bdr w:val="nil"/>
        </w:rPr>
        <w:t>.</w:t>
      </w:r>
    </w:p>
    <w:p w:rsidR="00DE3A23" w:rsidRPr="00CA196C" w:rsidRDefault="00DE3A23" w:rsidP="00E92676">
      <w:pPr>
        <w:spacing w:line="240" w:lineRule="auto"/>
        <w:ind w:left="720"/>
        <w:contextualSpacing/>
        <w:rPr>
          <w:rFonts w:ascii="Bookman Old Style" w:eastAsia="Calibri" w:hAnsi="Bookman Old Style" w:cs="Times New Roman"/>
          <w:sz w:val="24"/>
          <w:szCs w:val="24"/>
          <w:u w:color="000000"/>
          <w:bdr w:val="nil"/>
        </w:rPr>
      </w:pPr>
    </w:p>
    <w:p w:rsidR="0057352C" w:rsidRDefault="00EC1A1B" w:rsidP="007A5FD3">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57352C">
        <w:rPr>
          <w:rFonts w:ascii="Bookman Old Style" w:eastAsia="Calibri" w:hAnsi="Bookman Old Style" w:cs="Times New Roman"/>
          <w:sz w:val="24"/>
          <w:szCs w:val="24"/>
          <w:u w:color="000000"/>
          <w:bdr w:val="nil"/>
        </w:rPr>
        <w:t xml:space="preserve">Aussi, </w:t>
      </w:r>
      <w:r w:rsidR="00DA1A99" w:rsidRPr="0057352C">
        <w:rPr>
          <w:rFonts w:ascii="Bookman Old Style" w:eastAsia="Calibri" w:hAnsi="Bookman Old Style" w:cs="Times New Roman"/>
          <w:sz w:val="24"/>
          <w:szCs w:val="24"/>
          <w:u w:color="000000"/>
          <w:bdr w:val="nil"/>
        </w:rPr>
        <w:t>l</w:t>
      </w:r>
      <w:r w:rsidR="00DE3A23" w:rsidRPr="0057352C">
        <w:rPr>
          <w:rFonts w:ascii="Bookman Old Style" w:eastAsia="Calibri" w:hAnsi="Bookman Old Style" w:cs="Times New Roman"/>
          <w:sz w:val="24"/>
          <w:szCs w:val="24"/>
          <w:u w:color="000000"/>
          <w:bdr w:val="nil"/>
        </w:rPr>
        <w:t xml:space="preserve">'élaboration du </w:t>
      </w:r>
      <w:r w:rsidR="000920EC" w:rsidRPr="0057352C">
        <w:rPr>
          <w:rFonts w:ascii="Bookman Old Style" w:eastAsia="Calibri" w:hAnsi="Bookman Old Style" w:cs="Times New Roman"/>
          <w:sz w:val="24"/>
          <w:szCs w:val="24"/>
          <w:u w:color="000000"/>
          <w:bdr w:val="nil"/>
        </w:rPr>
        <w:t>PND BURUNDI 2018-2027</w:t>
      </w:r>
      <w:r w:rsidR="00014A1C" w:rsidRPr="0057352C">
        <w:rPr>
          <w:rFonts w:ascii="Bookman Old Style" w:eastAsia="Calibri" w:hAnsi="Bookman Old Style" w:cs="Times New Roman"/>
          <w:sz w:val="24"/>
          <w:szCs w:val="24"/>
          <w:u w:color="000000"/>
          <w:bdr w:val="nil"/>
        </w:rPr>
        <w:t xml:space="preserve"> s’</w:t>
      </w:r>
      <w:r w:rsidR="00DE3A23" w:rsidRPr="0057352C">
        <w:rPr>
          <w:rFonts w:ascii="Bookman Old Style" w:eastAsia="Calibri" w:hAnsi="Bookman Old Style" w:cs="Times New Roman"/>
          <w:sz w:val="24"/>
          <w:szCs w:val="24"/>
          <w:u w:color="000000"/>
          <w:bdr w:val="nil"/>
        </w:rPr>
        <w:t>est imprégnée de la conjoncture sociopolitique</w:t>
      </w:r>
      <w:r w:rsidR="007614BF" w:rsidRPr="0057352C">
        <w:rPr>
          <w:rFonts w:ascii="Bookman Old Style" w:eastAsia="Calibri" w:hAnsi="Bookman Old Style" w:cs="Times New Roman"/>
          <w:sz w:val="24"/>
          <w:szCs w:val="24"/>
          <w:u w:color="000000"/>
          <w:bdr w:val="nil"/>
        </w:rPr>
        <w:t xml:space="preserve"> qui</w:t>
      </w:r>
      <w:r w:rsidR="00DE3A23" w:rsidRPr="0057352C">
        <w:rPr>
          <w:rFonts w:ascii="Bookman Old Style" w:eastAsia="Calibri" w:hAnsi="Bookman Old Style" w:cs="Times New Roman"/>
          <w:sz w:val="24"/>
          <w:szCs w:val="24"/>
          <w:u w:color="000000"/>
          <w:bdr w:val="nil"/>
        </w:rPr>
        <w:t xml:space="preserve"> met en lumière la forte demande sociale en matière de renforcement de sécurité, d'accès à l'emploi, à des infrastructures d’appui à la production capable</w:t>
      </w:r>
      <w:r w:rsidRPr="0057352C">
        <w:rPr>
          <w:rFonts w:ascii="Bookman Old Style" w:eastAsia="Calibri" w:hAnsi="Bookman Old Style" w:cs="Times New Roman"/>
          <w:sz w:val="24"/>
          <w:szCs w:val="24"/>
          <w:u w:color="000000"/>
          <w:bdr w:val="nil"/>
        </w:rPr>
        <w:t>s</w:t>
      </w:r>
      <w:r w:rsidR="00DE3A23" w:rsidRPr="0057352C">
        <w:rPr>
          <w:rFonts w:ascii="Bookman Old Style" w:eastAsia="Calibri" w:hAnsi="Bookman Old Style" w:cs="Times New Roman"/>
          <w:sz w:val="24"/>
          <w:szCs w:val="24"/>
          <w:u w:color="000000"/>
          <w:bdr w:val="nil"/>
        </w:rPr>
        <w:t xml:space="preserve"> de booster la croissance économique </w:t>
      </w:r>
      <w:r w:rsidR="0079425E">
        <w:rPr>
          <w:rFonts w:ascii="Bookman Old Style" w:eastAsia="Calibri" w:hAnsi="Bookman Old Style" w:cs="Times New Roman"/>
          <w:sz w:val="24"/>
          <w:szCs w:val="24"/>
          <w:u w:color="000000"/>
          <w:bdr w:val="nil"/>
        </w:rPr>
        <w:t>vers un niveau de</w:t>
      </w:r>
      <w:r w:rsidR="00DE3A23" w:rsidRPr="0057352C">
        <w:rPr>
          <w:rFonts w:ascii="Bookman Old Style" w:eastAsia="Calibri" w:hAnsi="Bookman Old Style" w:cs="Times New Roman"/>
          <w:sz w:val="24"/>
          <w:szCs w:val="24"/>
          <w:u w:color="000000"/>
          <w:bdr w:val="nil"/>
        </w:rPr>
        <w:t xml:space="preserve"> pays émergent, des services sociaux de qualité et la réduction des inégalités, des mesures adapté</w:t>
      </w:r>
      <w:r w:rsidR="007614BF" w:rsidRPr="0057352C">
        <w:rPr>
          <w:rFonts w:ascii="Bookman Old Style" w:eastAsia="Calibri" w:hAnsi="Bookman Old Style" w:cs="Times New Roman"/>
          <w:sz w:val="24"/>
          <w:szCs w:val="24"/>
          <w:u w:color="000000"/>
          <w:bdr w:val="nil"/>
        </w:rPr>
        <w:t>e</w:t>
      </w:r>
      <w:r w:rsidRPr="0057352C">
        <w:rPr>
          <w:rFonts w:ascii="Bookman Old Style" w:eastAsia="Calibri" w:hAnsi="Bookman Old Style" w:cs="Times New Roman"/>
          <w:sz w:val="24"/>
          <w:szCs w:val="24"/>
          <w:u w:color="000000"/>
          <w:bdr w:val="nil"/>
        </w:rPr>
        <w:t>s à la résilienc</w:t>
      </w:r>
      <w:r w:rsidR="00DE3A23" w:rsidRPr="0057352C">
        <w:rPr>
          <w:rFonts w:ascii="Bookman Old Style" w:eastAsia="Calibri" w:hAnsi="Bookman Old Style" w:cs="Times New Roman"/>
          <w:sz w:val="24"/>
          <w:szCs w:val="24"/>
          <w:u w:color="000000"/>
          <w:bdr w:val="nil"/>
        </w:rPr>
        <w:t>e au changement climatique</w:t>
      </w:r>
      <w:r w:rsidR="007614BF" w:rsidRPr="0057352C">
        <w:rPr>
          <w:rFonts w:ascii="Bookman Old Style" w:eastAsia="Calibri" w:hAnsi="Bookman Old Style" w:cs="Times New Roman"/>
          <w:sz w:val="24"/>
          <w:szCs w:val="24"/>
          <w:u w:color="000000"/>
          <w:bdr w:val="nil"/>
        </w:rPr>
        <w:t xml:space="preserve"> d’une part et aux chocs économiques d’autre part</w:t>
      </w:r>
      <w:r w:rsidR="00DE3A23" w:rsidRPr="0057352C">
        <w:rPr>
          <w:rFonts w:ascii="Bookman Old Style" w:eastAsia="Calibri" w:hAnsi="Bookman Old Style" w:cs="Times New Roman"/>
          <w:sz w:val="24"/>
          <w:szCs w:val="24"/>
          <w:u w:color="000000"/>
          <w:bdr w:val="nil"/>
        </w:rPr>
        <w:t>. Les orientations de l</w:t>
      </w:r>
      <w:r w:rsidR="007565B5">
        <w:rPr>
          <w:rFonts w:ascii="Bookman Old Style" w:eastAsia="Calibri" w:hAnsi="Bookman Old Style" w:cs="Times New Roman"/>
          <w:sz w:val="24"/>
          <w:szCs w:val="24"/>
          <w:u w:color="000000"/>
          <w:bdr w:val="nil"/>
        </w:rPr>
        <w:t>a vision «  Burundi 2025 », du p</w:t>
      </w:r>
      <w:r w:rsidR="00DE3A23" w:rsidRPr="0057352C">
        <w:rPr>
          <w:rFonts w:ascii="Bookman Old Style" w:eastAsia="Calibri" w:hAnsi="Bookman Old Style" w:cs="Times New Roman"/>
          <w:sz w:val="24"/>
          <w:szCs w:val="24"/>
          <w:u w:color="000000"/>
          <w:bdr w:val="nil"/>
        </w:rPr>
        <w:t xml:space="preserve">rogramme de développement durable à l'horizon 2030 des Nations unies, contenant les ODD, de l'Agenda 2063 de l'Union Africaine et de la vision de la </w:t>
      </w:r>
      <w:r w:rsidR="007614BF" w:rsidRPr="0057352C">
        <w:rPr>
          <w:rFonts w:ascii="Bookman Old Style" w:eastAsia="Calibri" w:hAnsi="Bookman Old Style" w:cs="Times New Roman"/>
          <w:sz w:val="24"/>
          <w:szCs w:val="24"/>
          <w:u w:color="000000"/>
          <w:bdr w:val="nil"/>
        </w:rPr>
        <w:t>C</w:t>
      </w:r>
      <w:r w:rsidR="00DE3A23" w:rsidRPr="0057352C">
        <w:rPr>
          <w:rFonts w:ascii="Bookman Old Style" w:eastAsia="Calibri" w:hAnsi="Bookman Old Style" w:cs="Times New Roman"/>
          <w:sz w:val="24"/>
          <w:szCs w:val="24"/>
          <w:u w:color="000000"/>
          <w:bdr w:val="nil"/>
        </w:rPr>
        <w:t xml:space="preserve">ommunauté </w:t>
      </w:r>
      <w:r w:rsidR="007614BF" w:rsidRPr="0057352C">
        <w:rPr>
          <w:rFonts w:ascii="Bookman Old Style" w:eastAsia="Calibri" w:hAnsi="Bookman Old Style" w:cs="Times New Roman"/>
          <w:sz w:val="24"/>
          <w:szCs w:val="24"/>
          <w:u w:color="000000"/>
          <w:bdr w:val="nil"/>
        </w:rPr>
        <w:t xml:space="preserve">d’Afrique de l’Est </w:t>
      </w:r>
      <w:r w:rsidR="00DE3A23" w:rsidRPr="0057352C">
        <w:rPr>
          <w:rFonts w:ascii="Bookman Old Style" w:eastAsia="Calibri" w:hAnsi="Bookman Old Style" w:cs="Times New Roman"/>
          <w:sz w:val="24"/>
          <w:szCs w:val="24"/>
          <w:u w:color="000000"/>
          <w:bdr w:val="nil"/>
        </w:rPr>
        <w:t>2050 et de la  stratégique pour la  mise en œuvre de la vision 2050 de l’EAC, constituent d</w:t>
      </w:r>
      <w:r w:rsidR="0079425E">
        <w:rPr>
          <w:rFonts w:ascii="Bookman Old Style" w:eastAsia="Calibri" w:hAnsi="Bookman Old Style" w:cs="Times New Roman"/>
          <w:sz w:val="24"/>
          <w:szCs w:val="24"/>
          <w:u w:color="000000"/>
          <w:bdr w:val="nil"/>
        </w:rPr>
        <w:t>es</w:t>
      </w:r>
      <w:r w:rsidR="00DE3A23" w:rsidRPr="0057352C">
        <w:rPr>
          <w:rFonts w:ascii="Bookman Old Style" w:eastAsia="Calibri" w:hAnsi="Bookman Old Style" w:cs="Times New Roman"/>
          <w:sz w:val="24"/>
          <w:szCs w:val="24"/>
          <w:u w:color="000000"/>
          <w:bdr w:val="nil"/>
        </w:rPr>
        <w:t xml:space="preserve"> </w:t>
      </w:r>
      <w:r w:rsidR="007614BF" w:rsidRPr="0057352C">
        <w:rPr>
          <w:rFonts w:ascii="Bookman Old Style" w:eastAsia="Calibri" w:hAnsi="Bookman Old Style" w:cs="Times New Roman"/>
          <w:sz w:val="24"/>
          <w:szCs w:val="24"/>
          <w:u w:color="000000"/>
          <w:bdr w:val="nil"/>
        </w:rPr>
        <w:t xml:space="preserve"> référentiels utilisés</w:t>
      </w:r>
      <w:r w:rsidR="00DE3A23" w:rsidRPr="0057352C">
        <w:rPr>
          <w:rFonts w:ascii="Bookman Old Style" w:eastAsia="Calibri" w:hAnsi="Bookman Old Style" w:cs="Times New Roman"/>
          <w:sz w:val="24"/>
          <w:szCs w:val="24"/>
          <w:u w:color="000000"/>
          <w:bdr w:val="nil"/>
        </w:rPr>
        <w:t xml:space="preserve"> dans la formulation du </w:t>
      </w:r>
      <w:r w:rsidR="000920EC" w:rsidRPr="0057352C">
        <w:rPr>
          <w:rFonts w:ascii="Bookman Old Style" w:eastAsia="Calibri" w:hAnsi="Bookman Old Style" w:cs="Times New Roman"/>
          <w:sz w:val="24"/>
          <w:szCs w:val="24"/>
          <w:u w:color="000000"/>
          <w:bdr w:val="nil"/>
        </w:rPr>
        <w:t>PND BURUNDI 2018-2027</w:t>
      </w:r>
      <w:r w:rsidR="00DE3A23" w:rsidRPr="0057352C">
        <w:rPr>
          <w:rFonts w:ascii="Bookman Old Style" w:eastAsia="Calibri" w:hAnsi="Bookman Old Style" w:cs="Times New Roman"/>
          <w:sz w:val="24"/>
          <w:szCs w:val="24"/>
          <w:u w:color="000000"/>
          <w:bdr w:val="nil"/>
        </w:rPr>
        <w:t xml:space="preserve">. Le processus d'élaboration </w:t>
      </w:r>
      <w:r w:rsidR="00E52767" w:rsidRPr="0057352C">
        <w:rPr>
          <w:rFonts w:ascii="Bookman Old Style" w:eastAsia="Calibri" w:hAnsi="Bookman Old Style" w:cs="Times New Roman"/>
          <w:sz w:val="24"/>
          <w:szCs w:val="24"/>
          <w:u w:color="000000"/>
          <w:bdr w:val="nil"/>
        </w:rPr>
        <w:t>de ce PND</w:t>
      </w:r>
      <w:r w:rsidR="00DE3A23" w:rsidRPr="0057352C">
        <w:rPr>
          <w:rFonts w:ascii="Bookman Old Style" w:eastAsia="Calibri" w:hAnsi="Bookman Old Style" w:cs="Times New Roman"/>
          <w:sz w:val="24"/>
          <w:szCs w:val="24"/>
          <w:u w:color="000000"/>
          <w:bdr w:val="nil"/>
        </w:rPr>
        <w:t xml:space="preserve"> a bénéficié également </w:t>
      </w:r>
      <w:r w:rsidR="00E52767" w:rsidRPr="0057352C">
        <w:rPr>
          <w:rFonts w:ascii="Bookman Old Style" w:eastAsia="Calibri" w:hAnsi="Bookman Old Style" w:cs="Times New Roman"/>
          <w:sz w:val="24"/>
          <w:szCs w:val="24"/>
          <w:u w:color="000000"/>
          <w:bdr w:val="nil"/>
        </w:rPr>
        <w:t xml:space="preserve">des éléments du </w:t>
      </w:r>
      <w:r w:rsidR="00DE3A23" w:rsidRPr="0057352C">
        <w:rPr>
          <w:rFonts w:ascii="Bookman Old Style" w:eastAsia="Calibri" w:hAnsi="Bookman Old Style" w:cs="Times New Roman"/>
          <w:sz w:val="24"/>
          <w:szCs w:val="24"/>
          <w:u w:color="000000"/>
          <w:bdr w:val="nil"/>
        </w:rPr>
        <w:t>rapport de priorisation des cibles des ODD</w:t>
      </w:r>
      <w:r w:rsidR="00E52767" w:rsidRPr="0057352C">
        <w:rPr>
          <w:rFonts w:ascii="Bookman Old Style" w:eastAsia="Calibri" w:hAnsi="Bookman Old Style" w:cs="Times New Roman"/>
          <w:sz w:val="24"/>
          <w:szCs w:val="24"/>
          <w:u w:color="000000"/>
          <w:bdr w:val="nil"/>
        </w:rPr>
        <w:t xml:space="preserve"> du Burundi</w:t>
      </w:r>
      <w:r w:rsidR="00DE3A23" w:rsidRPr="0057352C">
        <w:rPr>
          <w:rFonts w:ascii="Bookman Old Style" w:eastAsia="Calibri" w:hAnsi="Bookman Old Style" w:cs="Times New Roman"/>
          <w:sz w:val="24"/>
          <w:szCs w:val="24"/>
          <w:u w:color="000000"/>
          <w:bdr w:val="nil"/>
        </w:rPr>
        <w:t>.</w:t>
      </w:r>
      <w:r w:rsidR="00DA1A99" w:rsidRPr="0057352C">
        <w:rPr>
          <w:rFonts w:ascii="Bookman Old Style" w:eastAsia="Calibri" w:hAnsi="Bookman Old Style" w:cs="Times New Roman"/>
          <w:sz w:val="24"/>
          <w:szCs w:val="24"/>
          <w:u w:color="000000"/>
          <w:bdr w:val="nil"/>
        </w:rPr>
        <w:t xml:space="preserve"> </w:t>
      </w:r>
    </w:p>
    <w:p w:rsidR="0057352C" w:rsidRDefault="0057352C" w:rsidP="007565B5">
      <w:pPr>
        <w:pStyle w:val="Paragraphedeliste"/>
        <w:spacing w:after="0"/>
        <w:rPr>
          <w:rFonts w:ascii="Bookman Old Style" w:hAnsi="Bookman Old Style" w:cs="Times New Roman"/>
          <w:sz w:val="24"/>
          <w:szCs w:val="24"/>
        </w:rPr>
      </w:pPr>
    </w:p>
    <w:p w:rsidR="00DE3A23" w:rsidRPr="0057352C" w:rsidRDefault="00DE3A23" w:rsidP="007565B5">
      <w:pPr>
        <w:numPr>
          <w:ilvl w:val="0"/>
          <w:numId w:val="5"/>
        </w:numPr>
        <w:spacing w:after="120" w:line="240" w:lineRule="auto"/>
        <w:contextualSpacing/>
        <w:jc w:val="both"/>
        <w:rPr>
          <w:rFonts w:ascii="Bookman Old Style" w:eastAsia="Calibri" w:hAnsi="Bookman Old Style" w:cs="Times New Roman"/>
          <w:sz w:val="24"/>
          <w:szCs w:val="24"/>
          <w:u w:color="000000"/>
          <w:bdr w:val="nil"/>
        </w:rPr>
      </w:pPr>
      <w:r w:rsidRPr="0057352C">
        <w:rPr>
          <w:rFonts w:ascii="Bookman Old Style" w:hAnsi="Bookman Old Style" w:cs="Times New Roman"/>
          <w:sz w:val="24"/>
          <w:szCs w:val="24"/>
        </w:rPr>
        <w:t xml:space="preserve">Au niveau de l’approche méthodologique, l’élaboration du </w:t>
      </w:r>
      <w:r w:rsidR="000920EC" w:rsidRPr="0057352C">
        <w:rPr>
          <w:rFonts w:ascii="Bookman Old Style" w:hAnsi="Bookman Old Style" w:cs="Times New Roman"/>
          <w:sz w:val="24"/>
          <w:szCs w:val="24"/>
        </w:rPr>
        <w:t>PND BURUNDI 2018-2027</w:t>
      </w:r>
      <w:r w:rsidRPr="0057352C">
        <w:rPr>
          <w:rFonts w:ascii="Bookman Old Style" w:hAnsi="Bookman Old Style" w:cs="Times New Roman"/>
          <w:sz w:val="24"/>
          <w:szCs w:val="24"/>
        </w:rPr>
        <w:t xml:space="preserve"> a suivi un processus participa</w:t>
      </w:r>
      <w:r w:rsidR="00F9247F" w:rsidRPr="0057352C">
        <w:rPr>
          <w:rFonts w:ascii="Bookman Old Style" w:hAnsi="Bookman Old Style" w:cs="Times New Roman"/>
          <w:sz w:val="24"/>
          <w:szCs w:val="24"/>
        </w:rPr>
        <w:t xml:space="preserve">tif et inclusif regroupant les institutions et </w:t>
      </w:r>
      <w:r w:rsidRPr="0057352C">
        <w:rPr>
          <w:rFonts w:ascii="Bookman Old Style" w:hAnsi="Bookman Old Style" w:cs="Times New Roman"/>
          <w:sz w:val="24"/>
          <w:szCs w:val="24"/>
        </w:rPr>
        <w:t xml:space="preserve">les Ministères. </w:t>
      </w:r>
      <w:r w:rsidRPr="0057352C">
        <w:rPr>
          <w:rFonts w:ascii="Bookman Old Style" w:eastAsia="Calibri" w:hAnsi="Bookman Old Style" w:cs="Times New Roman"/>
          <w:sz w:val="24"/>
          <w:szCs w:val="24"/>
          <w:u w:color="000000"/>
          <w:bdr w:val="nil"/>
        </w:rPr>
        <w:t xml:space="preserve">Un comité national de </w:t>
      </w:r>
      <w:r w:rsidR="00D864AD" w:rsidRPr="0057352C">
        <w:rPr>
          <w:rFonts w:ascii="Bookman Old Style" w:eastAsia="Calibri" w:hAnsi="Bookman Old Style" w:cs="Times New Roman"/>
          <w:sz w:val="24"/>
          <w:szCs w:val="24"/>
          <w:u w:color="000000"/>
          <w:bdr w:val="nil"/>
        </w:rPr>
        <w:t xml:space="preserve">pilotage (CNP) </w:t>
      </w:r>
      <w:r w:rsidRPr="0057352C">
        <w:rPr>
          <w:rFonts w:ascii="Bookman Old Style" w:eastAsia="Calibri" w:hAnsi="Bookman Old Style" w:cs="Times New Roman"/>
          <w:sz w:val="24"/>
          <w:szCs w:val="24"/>
          <w:u w:color="000000"/>
          <w:bdr w:val="nil"/>
        </w:rPr>
        <w:t>chargé de la coordination et du pilotage de l’élaboration du PND a été mis en place par le Décret Présidentiel </w:t>
      </w:r>
      <w:r w:rsidR="00F9247F" w:rsidRPr="0057352C">
        <w:rPr>
          <w:rFonts w:ascii="Bookman Old Style" w:hAnsi="Bookman Old Style" w:cs="Times New Roman"/>
          <w:sz w:val="24"/>
          <w:szCs w:val="24"/>
        </w:rPr>
        <w:t xml:space="preserve"> N°</w:t>
      </w:r>
      <w:r w:rsidRPr="0057352C">
        <w:rPr>
          <w:rFonts w:ascii="Bookman Old Style" w:hAnsi="Bookman Old Style" w:cs="Times New Roman"/>
          <w:sz w:val="24"/>
          <w:szCs w:val="24"/>
        </w:rPr>
        <w:t xml:space="preserve"> 100/118 du 31 mai 2017. Ce comité </w:t>
      </w:r>
      <w:r w:rsidRPr="0057352C">
        <w:rPr>
          <w:rFonts w:ascii="Bookman Old Style" w:eastAsia="Calibri" w:hAnsi="Bookman Old Style" w:cs="Times New Roman"/>
          <w:sz w:val="24"/>
          <w:szCs w:val="24"/>
          <w:u w:color="000000"/>
          <w:bdr w:val="nil"/>
        </w:rPr>
        <w:t>a formalisé ce processus par la désignation d’un comité technique subdivisé en dix sous commissions et appuyé par un secrétariat technique chargé de la compilation des rapports des sous commissions. Le Comité National de Pilotage, présidé par le Chef du Cabinet Civil du Président de la République</w:t>
      </w:r>
      <w:r w:rsidR="00F1166F" w:rsidRPr="0057352C">
        <w:rPr>
          <w:rFonts w:ascii="Bookman Old Style" w:eastAsia="Calibri" w:hAnsi="Bookman Old Style" w:cs="Times New Roman"/>
          <w:sz w:val="24"/>
          <w:szCs w:val="24"/>
          <w:u w:color="000000"/>
          <w:bdr w:val="nil"/>
        </w:rPr>
        <w:t xml:space="preserve">, </w:t>
      </w:r>
      <w:r w:rsidRPr="0057352C">
        <w:rPr>
          <w:rFonts w:ascii="Bookman Old Style" w:eastAsia="Calibri" w:hAnsi="Bookman Old Style" w:cs="Times New Roman"/>
          <w:sz w:val="24"/>
          <w:szCs w:val="24"/>
          <w:u w:color="000000"/>
          <w:bdr w:val="nil"/>
        </w:rPr>
        <w:t xml:space="preserve">comprend les représentants du </w:t>
      </w:r>
      <w:r w:rsidR="00D71F7F" w:rsidRPr="0057352C">
        <w:rPr>
          <w:rFonts w:ascii="Bookman Old Style" w:eastAsia="Calibri" w:hAnsi="Bookman Old Style" w:cs="Times New Roman"/>
          <w:sz w:val="24"/>
          <w:szCs w:val="24"/>
          <w:u w:color="000000"/>
          <w:bdr w:val="nil"/>
        </w:rPr>
        <w:t>Gouvernement</w:t>
      </w:r>
      <w:r w:rsidRPr="0057352C">
        <w:rPr>
          <w:rFonts w:ascii="Bookman Old Style" w:eastAsia="Calibri" w:hAnsi="Bookman Old Style" w:cs="Times New Roman"/>
          <w:sz w:val="24"/>
          <w:szCs w:val="24"/>
          <w:u w:color="000000"/>
          <w:bdr w:val="nil"/>
        </w:rPr>
        <w:t xml:space="preserve"> à savoir : </w:t>
      </w:r>
      <w:r w:rsidR="00F1166F" w:rsidRPr="0057352C">
        <w:rPr>
          <w:rFonts w:ascii="Bookman Old Style" w:eastAsia="Calibri" w:hAnsi="Bookman Old Style" w:cs="Times New Roman"/>
          <w:sz w:val="24"/>
          <w:szCs w:val="24"/>
          <w:u w:color="000000"/>
          <w:bdr w:val="nil"/>
        </w:rPr>
        <w:t>(1)</w:t>
      </w:r>
      <w:r w:rsidRPr="0057352C">
        <w:rPr>
          <w:rFonts w:ascii="Bookman Old Style" w:eastAsia="Calibri" w:hAnsi="Bookman Old Style" w:cs="Times New Roman"/>
          <w:sz w:val="24"/>
          <w:szCs w:val="24"/>
          <w:u w:color="000000"/>
          <w:bdr w:val="nil"/>
        </w:rPr>
        <w:t xml:space="preserve">le Ministre des Finances, du Budget et de la Privatisation, </w:t>
      </w:r>
      <w:r w:rsidR="00F1166F" w:rsidRPr="0057352C">
        <w:rPr>
          <w:rFonts w:ascii="Bookman Old Style" w:eastAsia="Calibri" w:hAnsi="Bookman Old Style" w:cs="Times New Roman"/>
          <w:sz w:val="24"/>
          <w:szCs w:val="24"/>
          <w:u w:color="000000"/>
          <w:bdr w:val="nil"/>
        </w:rPr>
        <w:t xml:space="preserve">(2) </w:t>
      </w:r>
      <w:r w:rsidRPr="0057352C">
        <w:rPr>
          <w:rFonts w:ascii="Bookman Old Style" w:eastAsia="Calibri" w:hAnsi="Bookman Old Style" w:cs="Times New Roman"/>
          <w:sz w:val="24"/>
          <w:szCs w:val="24"/>
          <w:u w:color="000000"/>
          <w:bdr w:val="nil"/>
        </w:rPr>
        <w:t xml:space="preserve">le Ministre des Relations Extérieures et de la Coopération Internationale, </w:t>
      </w:r>
      <w:r w:rsidR="00F1166F" w:rsidRPr="0057352C">
        <w:rPr>
          <w:rFonts w:ascii="Bookman Old Style" w:eastAsia="Calibri" w:hAnsi="Bookman Old Style" w:cs="Times New Roman"/>
          <w:sz w:val="24"/>
          <w:szCs w:val="24"/>
          <w:u w:color="000000"/>
          <w:bdr w:val="nil"/>
        </w:rPr>
        <w:t>(3)</w:t>
      </w:r>
      <w:r w:rsidR="00F9247F" w:rsidRPr="0057352C">
        <w:rPr>
          <w:rFonts w:ascii="Bookman Old Style" w:eastAsia="Calibri" w:hAnsi="Bookman Old Style" w:cs="Times New Roman"/>
          <w:sz w:val="24"/>
          <w:szCs w:val="24"/>
          <w:u w:color="000000"/>
          <w:bdr w:val="nil"/>
        </w:rPr>
        <w:t xml:space="preserve"> </w:t>
      </w:r>
      <w:r w:rsidRPr="0057352C">
        <w:rPr>
          <w:rFonts w:ascii="Bookman Old Style" w:eastAsia="Calibri" w:hAnsi="Bookman Old Style" w:cs="Times New Roman"/>
          <w:sz w:val="24"/>
          <w:szCs w:val="24"/>
          <w:u w:color="000000"/>
          <w:bdr w:val="nil"/>
        </w:rPr>
        <w:t xml:space="preserve">le Ministre à la Présidence chargé de la Bonne Gouvernance et du Plan, </w:t>
      </w:r>
      <w:r w:rsidR="00F1166F" w:rsidRPr="0057352C">
        <w:rPr>
          <w:rFonts w:ascii="Bookman Old Style" w:eastAsia="Calibri" w:hAnsi="Bookman Old Style" w:cs="Times New Roman"/>
          <w:sz w:val="24"/>
          <w:szCs w:val="24"/>
          <w:u w:color="000000"/>
          <w:bdr w:val="nil"/>
        </w:rPr>
        <w:t xml:space="preserve">(4) </w:t>
      </w:r>
      <w:r w:rsidRPr="0057352C">
        <w:rPr>
          <w:rFonts w:ascii="Bookman Old Style" w:eastAsia="Calibri" w:hAnsi="Bookman Old Style" w:cs="Times New Roman"/>
          <w:sz w:val="24"/>
          <w:szCs w:val="24"/>
          <w:u w:color="000000"/>
          <w:bdr w:val="nil"/>
        </w:rPr>
        <w:t>le Ministre de l’Agriculture et de l’</w:t>
      </w:r>
      <w:r w:rsidR="00F9247F" w:rsidRPr="0057352C">
        <w:rPr>
          <w:rFonts w:ascii="Bookman Old Style" w:eastAsia="Calibri" w:hAnsi="Bookman Old Style" w:cs="Times New Roman"/>
          <w:sz w:val="24"/>
          <w:szCs w:val="24"/>
          <w:u w:color="000000"/>
          <w:bdr w:val="nil"/>
        </w:rPr>
        <w:t>E</w:t>
      </w:r>
      <w:r w:rsidRPr="0057352C">
        <w:rPr>
          <w:rFonts w:ascii="Bookman Old Style" w:eastAsia="Calibri" w:hAnsi="Bookman Old Style" w:cs="Times New Roman"/>
          <w:sz w:val="24"/>
          <w:szCs w:val="24"/>
          <w:u w:color="000000"/>
          <w:bdr w:val="nil"/>
        </w:rPr>
        <w:t xml:space="preserve">levage, </w:t>
      </w:r>
      <w:r w:rsidR="00F1166F" w:rsidRPr="0057352C">
        <w:rPr>
          <w:rFonts w:ascii="Bookman Old Style" w:eastAsia="Calibri" w:hAnsi="Bookman Old Style" w:cs="Times New Roman"/>
          <w:sz w:val="24"/>
          <w:szCs w:val="24"/>
          <w:u w:color="000000"/>
          <w:bdr w:val="nil"/>
        </w:rPr>
        <w:t xml:space="preserve">(5) </w:t>
      </w:r>
      <w:r w:rsidRPr="0057352C">
        <w:rPr>
          <w:rFonts w:ascii="Bookman Old Style" w:eastAsia="Calibri" w:hAnsi="Bookman Old Style" w:cs="Times New Roman"/>
          <w:sz w:val="24"/>
          <w:szCs w:val="24"/>
          <w:u w:color="000000"/>
          <w:bdr w:val="nil"/>
        </w:rPr>
        <w:t xml:space="preserve">le Ministre des </w:t>
      </w:r>
      <w:r w:rsidR="00F9247F" w:rsidRPr="0057352C">
        <w:rPr>
          <w:rFonts w:ascii="Bookman Old Style" w:eastAsia="Calibri" w:hAnsi="Bookman Old Style" w:cs="Times New Roman"/>
          <w:sz w:val="24"/>
          <w:szCs w:val="24"/>
          <w:u w:color="000000"/>
          <w:bdr w:val="nil"/>
        </w:rPr>
        <w:t>D</w:t>
      </w:r>
      <w:r w:rsidRPr="0057352C">
        <w:rPr>
          <w:rFonts w:ascii="Bookman Old Style" w:eastAsia="Calibri" w:hAnsi="Bookman Old Style" w:cs="Times New Roman"/>
          <w:sz w:val="24"/>
          <w:szCs w:val="24"/>
          <w:u w:color="000000"/>
          <w:bdr w:val="nil"/>
        </w:rPr>
        <w:t xml:space="preserve">roits de la </w:t>
      </w:r>
      <w:r w:rsidR="00F9247F" w:rsidRPr="0057352C">
        <w:rPr>
          <w:rFonts w:ascii="Bookman Old Style" w:eastAsia="Calibri" w:hAnsi="Bookman Old Style" w:cs="Times New Roman"/>
          <w:sz w:val="24"/>
          <w:szCs w:val="24"/>
          <w:u w:color="000000"/>
          <w:bdr w:val="nil"/>
        </w:rPr>
        <w:t>P</w:t>
      </w:r>
      <w:r w:rsidRPr="0057352C">
        <w:rPr>
          <w:rFonts w:ascii="Bookman Old Style" w:eastAsia="Calibri" w:hAnsi="Bookman Old Style" w:cs="Times New Roman"/>
          <w:sz w:val="24"/>
          <w:szCs w:val="24"/>
          <w:u w:color="000000"/>
          <w:bdr w:val="nil"/>
        </w:rPr>
        <w:t xml:space="preserve">ersonne Humaine, des Affaires Sociales et du Genre, </w:t>
      </w:r>
      <w:r w:rsidR="00F1166F" w:rsidRPr="0057352C">
        <w:rPr>
          <w:rFonts w:ascii="Bookman Old Style" w:eastAsia="Calibri" w:hAnsi="Bookman Old Style" w:cs="Times New Roman"/>
          <w:sz w:val="24"/>
          <w:szCs w:val="24"/>
          <w:u w:color="000000"/>
          <w:bdr w:val="nil"/>
        </w:rPr>
        <w:t>(6)</w:t>
      </w:r>
      <w:r w:rsidRPr="0057352C">
        <w:rPr>
          <w:rFonts w:ascii="Bookman Old Style" w:hAnsi="Bookman Old Style" w:cs="Times New Roman"/>
          <w:sz w:val="24"/>
          <w:szCs w:val="24"/>
        </w:rPr>
        <w:t xml:space="preserve">le Conseiller Principal chargé des </w:t>
      </w:r>
      <w:r w:rsidR="00F1166F" w:rsidRPr="0057352C">
        <w:rPr>
          <w:rFonts w:ascii="Bookman Old Style" w:hAnsi="Bookman Old Style" w:cs="Times New Roman"/>
          <w:sz w:val="24"/>
          <w:szCs w:val="24"/>
        </w:rPr>
        <w:t>q</w:t>
      </w:r>
      <w:r w:rsidRPr="0057352C">
        <w:rPr>
          <w:rFonts w:ascii="Bookman Old Style" w:hAnsi="Bookman Old Style" w:cs="Times New Roman"/>
          <w:sz w:val="24"/>
          <w:szCs w:val="24"/>
        </w:rPr>
        <w:t xml:space="preserve">uestions  </w:t>
      </w:r>
      <w:r w:rsidR="00F1166F" w:rsidRPr="0057352C">
        <w:rPr>
          <w:rFonts w:ascii="Bookman Old Style" w:hAnsi="Bookman Old Style" w:cs="Times New Roman"/>
          <w:sz w:val="24"/>
          <w:szCs w:val="24"/>
        </w:rPr>
        <w:t>é</w:t>
      </w:r>
      <w:r w:rsidRPr="0057352C">
        <w:rPr>
          <w:rFonts w:ascii="Bookman Old Style" w:hAnsi="Bookman Old Style" w:cs="Times New Roman"/>
          <w:sz w:val="24"/>
          <w:szCs w:val="24"/>
        </w:rPr>
        <w:t>conomiques à la Présidence de la République ainsi que le Coordonnateur du Bureau d’Etudes Stratégiques et de Développement à la Présidence de la République.</w:t>
      </w:r>
      <w:r w:rsidRPr="0057352C">
        <w:rPr>
          <w:rFonts w:ascii="Bookman Old Style" w:eastAsia="Calibri" w:hAnsi="Bookman Old Style" w:cs="Times New Roman"/>
          <w:sz w:val="24"/>
          <w:szCs w:val="24"/>
          <w:u w:color="000000"/>
          <w:bdr w:val="nil"/>
        </w:rPr>
        <w:t xml:space="preserve"> Le CNP donne les directives nécessaires </w:t>
      </w:r>
      <w:r w:rsidR="00F9247F" w:rsidRPr="0057352C">
        <w:rPr>
          <w:rFonts w:ascii="Bookman Old Style" w:eastAsia="Calibri" w:hAnsi="Bookman Old Style" w:cs="Times New Roman"/>
          <w:sz w:val="24"/>
          <w:szCs w:val="24"/>
          <w:u w:color="000000"/>
          <w:bdr w:val="nil"/>
        </w:rPr>
        <w:t xml:space="preserve">au bon déroulement du processus et </w:t>
      </w:r>
      <w:r w:rsidRPr="0057352C">
        <w:rPr>
          <w:rFonts w:ascii="Bookman Old Style" w:eastAsia="Calibri" w:hAnsi="Bookman Old Style" w:cs="Times New Roman"/>
          <w:sz w:val="24"/>
          <w:szCs w:val="24"/>
          <w:u w:color="000000"/>
          <w:bdr w:val="nil"/>
        </w:rPr>
        <w:t>valide la démarche d'élaboration et le projet de document d</w:t>
      </w:r>
      <w:r w:rsidR="00F9247F" w:rsidRPr="0057352C">
        <w:rPr>
          <w:rFonts w:ascii="Bookman Old Style" w:eastAsia="Calibri" w:hAnsi="Bookman Old Style" w:cs="Times New Roman"/>
          <w:sz w:val="24"/>
          <w:szCs w:val="24"/>
          <w:u w:color="000000"/>
          <w:bdr w:val="nil"/>
        </w:rPr>
        <w:t>u</w:t>
      </w:r>
      <w:r w:rsidRPr="0057352C">
        <w:rPr>
          <w:rFonts w:ascii="Bookman Old Style" w:eastAsia="Calibri" w:hAnsi="Bookman Old Style" w:cs="Times New Roman"/>
          <w:sz w:val="24"/>
          <w:szCs w:val="24"/>
          <w:u w:color="000000"/>
          <w:bdr w:val="nil"/>
        </w:rPr>
        <w:t xml:space="preserve"> PND. </w:t>
      </w:r>
    </w:p>
    <w:p w:rsidR="00DE3A23" w:rsidRPr="00CA196C" w:rsidRDefault="00DE3A23" w:rsidP="00E92676">
      <w:pPr>
        <w:spacing w:before="160" w:after="120" w:line="240" w:lineRule="auto"/>
        <w:ind w:left="360"/>
        <w:contextualSpacing/>
        <w:jc w:val="both"/>
        <w:rPr>
          <w:rFonts w:ascii="Bookman Old Style" w:eastAsia="Calibri" w:hAnsi="Bookman Old Style" w:cs="Times New Roman"/>
          <w:sz w:val="24"/>
          <w:szCs w:val="24"/>
          <w:u w:color="000000"/>
          <w:bdr w:val="nil"/>
        </w:rPr>
      </w:pPr>
    </w:p>
    <w:p w:rsidR="00DE3A23" w:rsidRPr="00CA196C"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Les  sous commissions techniques</w:t>
      </w:r>
      <w:r w:rsidR="00F9247F" w:rsidRPr="00CA196C">
        <w:rPr>
          <w:rFonts w:ascii="Bookman Old Style" w:eastAsia="Calibri" w:hAnsi="Bookman Old Style" w:cs="Times New Roman"/>
          <w:sz w:val="24"/>
          <w:szCs w:val="24"/>
          <w:u w:color="000000"/>
          <w:bdr w:val="nil"/>
        </w:rPr>
        <w:t xml:space="preserve">, </w:t>
      </w:r>
      <w:r w:rsidRPr="00CA196C">
        <w:rPr>
          <w:rFonts w:ascii="Bookman Old Style" w:eastAsia="Calibri" w:hAnsi="Bookman Old Style" w:cs="Times New Roman"/>
          <w:sz w:val="24"/>
          <w:szCs w:val="24"/>
          <w:u w:color="000000"/>
          <w:bdr w:val="nil"/>
        </w:rPr>
        <w:t>constituées de l'ensemble des ministères,  ont été présidées par les chefs de files des thé</w:t>
      </w:r>
      <w:r w:rsidR="00BD2775" w:rsidRPr="00CA196C">
        <w:rPr>
          <w:rFonts w:ascii="Bookman Old Style" w:eastAsia="Calibri" w:hAnsi="Bookman Old Style" w:cs="Times New Roman"/>
          <w:sz w:val="24"/>
          <w:szCs w:val="24"/>
          <w:u w:color="000000"/>
          <w:bdr w:val="nil"/>
        </w:rPr>
        <w:t xml:space="preserve">matiques. Ces sous commissions </w:t>
      </w:r>
      <w:r w:rsidRPr="00CA196C">
        <w:rPr>
          <w:rFonts w:ascii="Bookman Old Style" w:eastAsia="Calibri" w:hAnsi="Bookman Old Style" w:cs="Times New Roman"/>
          <w:sz w:val="24"/>
          <w:szCs w:val="24"/>
          <w:u w:color="000000"/>
          <w:bdr w:val="nil"/>
        </w:rPr>
        <w:t>ont chacune produit un rapport de contribution au projet de document d</w:t>
      </w:r>
      <w:r w:rsidR="00F9247F" w:rsidRPr="00CA196C">
        <w:rPr>
          <w:rFonts w:ascii="Bookman Old Style" w:eastAsia="Calibri" w:hAnsi="Bookman Old Style" w:cs="Times New Roman"/>
          <w:sz w:val="24"/>
          <w:szCs w:val="24"/>
          <w:u w:color="000000"/>
          <w:bdr w:val="nil"/>
        </w:rPr>
        <w:t>u</w:t>
      </w:r>
      <w:r w:rsidRPr="00CA196C">
        <w:rPr>
          <w:rFonts w:ascii="Bookman Old Style" w:eastAsia="Calibri" w:hAnsi="Bookman Old Style" w:cs="Times New Roman"/>
          <w:sz w:val="24"/>
          <w:szCs w:val="24"/>
          <w:u w:color="000000"/>
          <w:bdr w:val="nil"/>
        </w:rPr>
        <w:t xml:space="preserve"> PND dont le contenu se résume comme sui</w:t>
      </w:r>
      <w:r w:rsidR="0044294D">
        <w:rPr>
          <w:rFonts w:ascii="Bookman Old Style" w:eastAsia="Calibri" w:hAnsi="Bookman Old Style" w:cs="Times New Roman"/>
          <w:sz w:val="24"/>
          <w:szCs w:val="24"/>
          <w:u w:color="000000"/>
          <w:bdr w:val="nil"/>
        </w:rPr>
        <w:t>t</w:t>
      </w:r>
      <w:r w:rsidRPr="00CA196C">
        <w:rPr>
          <w:rFonts w:ascii="Bookman Old Style" w:eastAsia="Calibri" w:hAnsi="Bookman Old Style" w:cs="Times New Roman"/>
          <w:sz w:val="24"/>
          <w:szCs w:val="24"/>
          <w:u w:color="000000"/>
          <w:bdr w:val="nil"/>
        </w:rPr>
        <w:t>: (i) une analyse de la situation nationale relative aux thématiques considérées</w:t>
      </w:r>
      <w:r w:rsidR="00F9247F" w:rsidRPr="00CA196C">
        <w:rPr>
          <w:rFonts w:ascii="Bookman Old Style" w:eastAsia="Calibri" w:hAnsi="Bookman Old Style" w:cs="Times New Roman"/>
          <w:sz w:val="24"/>
          <w:szCs w:val="24"/>
          <w:u w:color="000000"/>
          <w:bdr w:val="nil"/>
        </w:rPr>
        <w:t> ;</w:t>
      </w:r>
      <w:r w:rsidRPr="00CA196C">
        <w:rPr>
          <w:rFonts w:ascii="Bookman Old Style" w:eastAsia="Calibri" w:hAnsi="Bookman Old Style" w:cs="Times New Roman"/>
          <w:sz w:val="24"/>
          <w:szCs w:val="24"/>
          <w:u w:color="000000"/>
          <w:bdr w:val="nil"/>
        </w:rPr>
        <w:t xml:space="preserve"> (ii) la formulation de stratégies de réponses adaptées à la situation</w:t>
      </w:r>
      <w:r w:rsidR="00F9247F" w:rsidRPr="00CA196C">
        <w:rPr>
          <w:rFonts w:ascii="Bookman Old Style" w:eastAsia="Calibri" w:hAnsi="Bookman Old Style" w:cs="Times New Roman"/>
          <w:sz w:val="24"/>
          <w:szCs w:val="24"/>
          <w:u w:color="000000"/>
          <w:bdr w:val="nil"/>
        </w:rPr>
        <w:t xml:space="preserve"> et</w:t>
      </w:r>
      <w:r w:rsidRPr="00CA196C">
        <w:rPr>
          <w:rFonts w:ascii="Bookman Old Style" w:eastAsia="Calibri" w:hAnsi="Bookman Old Style" w:cs="Times New Roman"/>
          <w:sz w:val="24"/>
          <w:szCs w:val="24"/>
          <w:u w:color="000000"/>
          <w:bdr w:val="nil"/>
        </w:rPr>
        <w:t xml:space="preserve"> (iii) l'identification de domaines </w:t>
      </w:r>
      <w:r w:rsidRPr="00E8577A">
        <w:rPr>
          <w:rFonts w:ascii="Bookman Old Style" w:eastAsia="Calibri" w:hAnsi="Bookman Old Style" w:cs="Times New Roman"/>
          <w:sz w:val="24"/>
          <w:szCs w:val="24"/>
          <w:u w:color="000000"/>
          <w:bdr w:val="nil"/>
        </w:rPr>
        <w:t xml:space="preserve">de résultats </w:t>
      </w:r>
      <w:r w:rsidRPr="00CA196C">
        <w:rPr>
          <w:rFonts w:ascii="Bookman Old Style" w:eastAsia="Calibri" w:hAnsi="Bookman Old Style" w:cs="Times New Roman"/>
          <w:sz w:val="24"/>
          <w:szCs w:val="24"/>
          <w:u w:color="000000"/>
          <w:bdr w:val="nil"/>
        </w:rPr>
        <w:t>prioritaires du PND et la déclinaison de chacun de ces domaines en résultats  à atteindre d’ici 2027.</w:t>
      </w:r>
    </w:p>
    <w:p w:rsidR="00DE3A23" w:rsidRPr="00CA196C" w:rsidRDefault="00DE3A23" w:rsidP="00CD26FF">
      <w:pPr>
        <w:numPr>
          <w:ilvl w:val="0"/>
          <w:numId w:val="5"/>
        </w:numPr>
        <w:spacing w:before="160" w:after="120" w:line="240" w:lineRule="auto"/>
        <w:contextualSpacing/>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lastRenderedPageBreak/>
        <w:t xml:space="preserve">Le secrétariat technique a assuré le rôle de compilation des rapports des sous commissions et a fait la synthèse de ces derniers sous la supervision du Président et du vice-président du comité technique. Spécifiquement, il a exécuté les activités de secrétariat, rédigé le projet de démarche d'élaboration du PND, synthétisé les contributions des comités thématiques, facilité les travaux des groupes, animé le groupe de rédaction et assuré la communication sur le processus. Le groupe de rédaction est constitué par des chefs de file de chaque  thématique, des cadres des ministères sectoriels, des professeurs d'universités et des chercheurs. </w:t>
      </w:r>
      <w:r w:rsidR="00DA1A99" w:rsidRPr="00CA196C">
        <w:rPr>
          <w:rFonts w:ascii="Bookman Old Style" w:eastAsia="Calibri" w:hAnsi="Bookman Old Style" w:cs="Times New Roman"/>
          <w:sz w:val="24"/>
          <w:szCs w:val="24"/>
          <w:u w:color="000000"/>
          <w:bdr w:val="nil"/>
        </w:rPr>
        <w:t xml:space="preserve">Le </w:t>
      </w:r>
      <w:r w:rsidRPr="00CA196C">
        <w:rPr>
          <w:rFonts w:ascii="Bookman Old Style" w:eastAsia="Calibri" w:hAnsi="Bookman Old Style" w:cs="Times New Roman"/>
          <w:sz w:val="24"/>
          <w:szCs w:val="24"/>
          <w:u w:color="000000"/>
          <w:bdr w:val="nil"/>
        </w:rPr>
        <w:t xml:space="preserve">groupe technique chargé du </w:t>
      </w:r>
      <w:r w:rsidR="00D864AD" w:rsidRPr="00CA196C">
        <w:rPr>
          <w:rFonts w:ascii="Bookman Old Style" w:eastAsia="Calibri" w:hAnsi="Bookman Old Style" w:cs="Times New Roman"/>
          <w:sz w:val="24"/>
          <w:szCs w:val="24"/>
          <w:u w:color="000000"/>
          <w:bdr w:val="nil"/>
        </w:rPr>
        <w:t>« </w:t>
      </w:r>
      <w:r w:rsidRPr="00CA196C">
        <w:rPr>
          <w:rFonts w:ascii="Bookman Old Style" w:eastAsia="Calibri" w:hAnsi="Bookman Old Style" w:cs="Times New Roman"/>
          <w:i/>
          <w:iCs/>
          <w:sz w:val="24"/>
          <w:szCs w:val="24"/>
          <w:u w:color="000000"/>
          <w:bdr w:val="nil"/>
        </w:rPr>
        <w:t>cadrage macroéconomique</w:t>
      </w:r>
      <w:r w:rsidR="00D864AD" w:rsidRPr="00CA196C">
        <w:rPr>
          <w:rFonts w:ascii="Bookman Old Style" w:eastAsia="Calibri" w:hAnsi="Bookman Old Style" w:cs="Times New Roman"/>
          <w:i/>
          <w:iCs/>
          <w:sz w:val="24"/>
          <w:szCs w:val="24"/>
          <w:u w:color="000000"/>
          <w:bdr w:val="nil"/>
        </w:rPr>
        <w:t> »</w:t>
      </w:r>
      <w:r w:rsidRPr="00CA196C">
        <w:rPr>
          <w:rFonts w:ascii="Bookman Old Style" w:eastAsia="Calibri" w:hAnsi="Bookman Old Style" w:cs="Times New Roman"/>
          <w:i/>
          <w:iCs/>
          <w:sz w:val="24"/>
          <w:szCs w:val="24"/>
          <w:u w:color="000000"/>
          <w:bdr w:val="nil"/>
        </w:rPr>
        <w:t xml:space="preserve"> </w:t>
      </w:r>
      <w:r w:rsidRPr="00CA196C">
        <w:rPr>
          <w:rFonts w:ascii="Bookman Old Style" w:eastAsia="Calibri" w:hAnsi="Bookman Old Style" w:cs="Times New Roman"/>
          <w:sz w:val="24"/>
          <w:szCs w:val="24"/>
          <w:u w:color="000000"/>
          <w:bdr w:val="nil"/>
        </w:rPr>
        <w:t xml:space="preserve">était composé par les membres du comité permanent du cadrage macroéconomique. Ils ont produit un rapport de contribution au projet de document de PND relatif à leur thématique. </w:t>
      </w:r>
    </w:p>
    <w:p w:rsidR="00DE3A23" w:rsidRPr="00CC10D5" w:rsidRDefault="00DE3A23" w:rsidP="00CD26FF">
      <w:pPr>
        <w:pStyle w:val="Paragraphedeliste"/>
        <w:numPr>
          <w:ilvl w:val="0"/>
          <w:numId w:val="5"/>
        </w:numPr>
        <w:spacing w:before="160" w:after="120" w:line="240" w:lineRule="auto"/>
        <w:jc w:val="both"/>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t xml:space="preserve">Le document du </w:t>
      </w:r>
      <w:r w:rsidR="000920EC" w:rsidRPr="00CA196C">
        <w:rPr>
          <w:rFonts w:ascii="Bookman Old Style" w:eastAsia="Calibri" w:hAnsi="Bookman Old Style" w:cs="Times New Roman"/>
          <w:sz w:val="24"/>
          <w:szCs w:val="24"/>
          <w:u w:color="000000"/>
          <w:bdr w:val="nil"/>
        </w:rPr>
        <w:t>PND BURUNDI 2018-2027</w:t>
      </w:r>
      <w:r w:rsidRPr="00CA196C">
        <w:rPr>
          <w:rFonts w:ascii="Bookman Old Style" w:eastAsia="Calibri" w:hAnsi="Bookman Old Style" w:cs="Times New Roman"/>
          <w:sz w:val="24"/>
          <w:szCs w:val="24"/>
          <w:u w:color="000000"/>
          <w:bdr w:val="nil"/>
        </w:rPr>
        <w:t xml:space="preserve"> résulte de l'ensemble de ces travaux et est structuré en quatre parties principales à savoir: (i) le diagnostic socioéconomique du Burundi, (ii) </w:t>
      </w:r>
      <w:r w:rsidR="00F54146" w:rsidRPr="00CA196C">
        <w:rPr>
          <w:rFonts w:ascii="Bookman Old Style" w:eastAsia="Calibri" w:hAnsi="Bookman Old Style" w:cs="Times New Roman"/>
          <w:sz w:val="24"/>
          <w:szCs w:val="24"/>
          <w:u w:color="000000"/>
          <w:bdr w:val="nil"/>
        </w:rPr>
        <w:t>enjeux et</w:t>
      </w:r>
      <w:r w:rsidRPr="00CA196C">
        <w:rPr>
          <w:rFonts w:ascii="Bookman Old Style" w:eastAsia="Calibri" w:hAnsi="Bookman Old Style" w:cs="Times New Roman"/>
          <w:sz w:val="24"/>
          <w:szCs w:val="24"/>
          <w:u w:color="000000"/>
          <w:bdr w:val="nil"/>
        </w:rPr>
        <w:t xml:space="preserve"> orientations stratégiques, (iii) le cadre macroéconomique et budgétaire et (iv) </w:t>
      </w:r>
      <w:r w:rsidRPr="00CC10D5">
        <w:rPr>
          <w:rFonts w:ascii="Bookman Old Style" w:eastAsia="Calibri" w:hAnsi="Bookman Old Style" w:cs="Times New Roman"/>
          <w:sz w:val="24"/>
          <w:szCs w:val="24"/>
          <w:u w:color="000000"/>
          <w:bdr w:val="nil"/>
        </w:rPr>
        <w:t xml:space="preserve">le dispositif de mise en </w:t>
      </w:r>
      <w:r w:rsidR="00F54146" w:rsidRPr="00CC10D5">
        <w:rPr>
          <w:rFonts w:ascii="Bookman Old Style" w:eastAsia="Calibri" w:hAnsi="Bookman Old Style" w:cs="Times New Roman"/>
          <w:sz w:val="24"/>
          <w:szCs w:val="24"/>
          <w:u w:color="000000"/>
          <w:bdr w:val="nil"/>
        </w:rPr>
        <w:t>œuvre, de suivi et d'évaluation</w:t>
      </w:r>
      <w:r w:rsidR="00703730" w:rsidRPr="00CC10D5">
        <w:rPr>
          <w:rStyle w:val="Appelnotedebasdep"/>
          <w:rFonts w:ascii="Bookman Old Style" w:eastAsia="Calibri" w:hAnsi="Bookman Old Style" w:cs="Times New Roman"/>
          <w:sz w:val="24"/>
          <w:szCs w:val="24"/>
          <w:u w:color="000000"/>
          <w:bdr w:val="nil"/>
        </w:rPr>
        <w:footnoteReference w:id="1"/>
      </w:r>
      <w:r w:rsidRPr="00CC10D5">
        <w:rPr>
          <w:rFonts w:ascii="Bookman Old Style" w:eastAsia="Calibri" w:hAnsi="Bookman Old Style" w:cs="Times New Roman"/>
          <w:sz w:val="24"/>
          <w:szCs w:val="24"/>
          <w:u w:color="000000"/>
          <w:bdr w:val="nil"/>
        </w:rPr>
        <w:t>.</w:t>
      </w: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bookmarkStart w:id="17" w:name="_Toc500667056"/>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DE3A23" w:rsidRPr="00CA196C" w:rsidRDefault="00DE3A23" w:rsidP="00E92676">
      <w:pPr>
        <w:spacing w:before="160" w:after="120" w:line="240" w:lineRule="auto"/>
        <w:jc w:val="both"/>
        <w:rPr>
          <w:rFonts w:ascii="Bookman Old Style" w:eastAsia="Calibri" w:hAnsi="Bookman Old Style" w:cs="Times New Roman"/>
          <w:sz w:val="24"/>
          <w:szCs w:val="24"/>
          <w:u w:color="000000"/>
          <w:bdr w:val="nil"/>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jc w:val="both"/>
        <w:outlineLvl w:val="0"/>
        <w:rPr>
          <w:rFonts w:ascii="Bookman Old Style" w:eastAsiaTheme="majorEastAsia" w:hAnsi="Bookman Old Style" w:cs="Times New Roman"/>
          <w:b/>
          <w:bCs/>
          <w:sz w:val="24"/>
          <w:szCs w:val="24"/>
        </w:rPr>
      </w:pPr>
    </w:p>
    <w:p w:rsidR="00C2609A" w:rsidRPr="00CA196C" w:rsidRDefault="00C2609A" w:rsidP="00C2609A">
      <w:pPr>
        <w:keepNext/>
        <w:keepLines/>
        <w:spacing w:before="160" w:after="120" w:line="240" w:lineRule="auto"/>
        <w:ind w:left="142"/>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C2609A" w:rsidRPr="00CA196C" w:rsidRDefault="00C2609A" w:rsidP="00C2609A">
      <w:pPr>
        <w:pStyle w:val="Paragraphedeliste"/>
        <w:keepNext/>
        <w:keepLines/>
        <w:spacing w:before="160" w:after="120" w:line="240" w:lineRule="auto"/>
        <w:ind w:left="862"/>
        <w:jc w:val="both"/>
        <w:outlineLvl w:val="0"/>
        <w:rPr>
          <w:rFonts w:ascii="Bookman Old Style" w:eastAsiaTheme="majorEastAsia" w:hAnsi="Bookman Old Style" w:cs="Times New Roman"/>
          <w:b/>
          <w:bCs/>
          <w:sz w:val="24"/>
          <w:szCs w:val="24"/>
        </w:rPr>
      </w:pPr>
    </w:p>
    <w:p w:rsidR="00DE3A23" w:rsidRPr="00CA196C" w:rsidRDefault="00E61C44" w:rsidP="005D43FC">
      <w:pPr>
        <w:pStyle w:val="Titre1"/>
      </w:pPr>
      <w:bookmarkStart w:id="18" w:name="_Toc511081524"/>
      <w:r w:rsidRPr="00CA196C">
        <w:t>I</w:t>
      </w:r>
      <w:r w:rsidR="009E6A0A" w:rsidRPr="00CA196C">
        <w:t>I</w:t>
      </w:r>
      <w:r w:rsidRPr="00CA196C">
        <w:t xml:space="preserve">. </w:t>
      </w:r>
      <w:r w:rsidR="00DE3A23" w:rsidRPr="00CA196C">
        <w:t>VISION ET FONDEMENT, OBJECTIF GLOBAL ET PROCESSUS DE TRANSFORMATION STRUCTURELLE DE L’ECONOMIE</w:t>
      </w:r>
      <w:bookmarkEnd w:id="17"/>
      <w:bookmarkEnd w:id="18"/>
    </w:p>
    <w:p w:rsidR="00DE3A23" w:rsidRPr="00CA196C" w:rsidRDefault="00DE3A23" w:rsidP="00E92676">
      <w:pPr>
        <w:spacing w:line="240" w:lineRule="auto"/>
        <w:jc w:val="both"/>
        <w:rPr>
          <w:rFonts w:ascii="Bookman Old Style" w:eastAsia="Times New Roman" w:hAnsi="Bookman Old Style" w:cs="Times New Roman"/>
          <w:b/>
          <w:sz w:val="24"/>
          <w:szCs w:val="24"/>
          <w:u w:color="000000"/>
          <w:bdr w:val="nil"/>
        </w:rPr>
      </w:pPr>
      <w:r w:rsidRPr="00CA196C">
        <w:rPr>
          <w:rFonts w:ascii="Bookman Old Style" w:hAnsi="Bookman Old Style" w:cs="Times New Roman"/>
          <w:sz w:val="24"/>
          <w:szCs w:val="24"/>
        </w:rPr>
        <w:br w:type="page"/>
      </w:r>
    </w:p>
    <w:p w:rsidR="00DE3A23" w:rsidRPr="00CA196C" w:rsidRDefault="00DE3A23" w:rsidP="00ED27D9">
      <w:pPr>
        <w:pStyle w:val="Titre2"/>
      </w:pPr>
      <w:bookmarkStart w:id="19" w:name="_Toc511081525"/>
      <w:r w:rsidRPr="00CA196C">
        <w:lastRenderedPageBreak/>
        <w:t>2.1. Vision et fondement du Plan National de Développement</w:t>
      </w:r>
      <w:bookmarkEnd w:id="19"/>
    </w:p>
    <w:p w:rsidR="00DE3A23" w:rsidRPr="00CA196C" w:rsidRDefault="00DE3A23" w:rsidP="00E92676">
      <w:pPr>
        <w:spacing w:before="120" w:after="120" w:line="240" w:lineRule="auto"/>
        <w:ind w:left="426" w:hanging="426"/>
        <w:jc w:val="both"/>
        <w:outlineLvl w:val="1"/>
        <w:rPr>
          <w:rFonts w:ascii="Bookman Old Style" w:eastAsia="Times New Roman" w:hAnsi="Bookman Old Style" w:cs="Times New Roman"/>
          <w:b/>
          <w:sz w:val="24"/>
          <w:szCs w:val="24"/>
          <w:u w:color="000000"/>
          <w:bdr w:val="nil"/>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 programme du Président de la République  appelant à « promouvoir le développement du monde rural » et de faire du Burundi « une puissance régionale émergente à l’horizon 202</w:t>
      </w:r>
      <w:r w:rsidR="00A17BAC">
        <w:rPr>
          <w:rFonts w:ascii="Bookman Old Style" w:hAnsi="Bookman Old Style" w:cs="Times New Roman"/>
          <w:sz w:val="24"/>
          <w:szCs w:val="24"/>
        </w:rPr>
        <w:t>7</w:t>
      </w:r>
      <w:r w:rsidRPr="00CA196C">
        <w:rPr>
          <w:rFonts w:ascii="Bookman Old Style" w:hAnsi="Bookman Old Style" w:cs="Times New Roman"/>
          <w:sz w:val="24"/>
          <w:szCs w:val="24"/>
        </w:rPr>
        <w:t xml:space="preserve">, portée par des sources de croissance diversifiées et durables, créatrices de valeurs ajoutées et d’emplois et assurant à chaque burundais, un accès adéquat aux services sociaux de base et à un logement décent» constitue le premier fondement du PND. Il </w:t>
      </w:r>
      <w:r w:rsidRPr="00E8577A">
        <w:rPr>
          <w:rFonts w:ascii="Bookman Old Style" w:hAnsi="Bookman Old Style" w:cs="Times New Roman"/>
          <w:sz w:val="24"/>
          <w:szCs w:val="24"/>
        </w:rPr>
        <w:t>ambitionne</w:t>
      </w:r>
      <w:r w:rsidRPr="00CA196C">
        <w:rPr>
          <w:rFonts w:ascii="Bookman Old Style" w:hAnsi="Bookman Old Style" w:cs="Times New Roman"/>
          <w:sz w:val="24"/>
          <w:szCs w:val="24"/>
        </w:rPr>
        <w:t xml:space="preserve"> l'avènement « d'une nation </w:t>
      </w:r>
      <w:r w:rsidR="002A036A">
        <w:rPr>
          <w:rFonts w:ascii="Bookman Old Style" w:hAnsi="Bookman Old Style" w:cs="Times New Roman"/>
          <w:sz w:val="24"/>
          <w:szCs w:val="24"/>
        </w:rPr>
        <w:t>solidaire</w:t>
      </w:r>
      <w:r w:rsidR="00C52614">
        <w:rPr>
          <w:rFonts w:ascii="Bookman Old Style" w:hAnsi="Bookman Old Style" w:cs="Times New Roman"/>
          <w:sz w:val="24"/>
          <w:szCs w:val="24"/>
        </w:rPr>
        <w:t>,</w:t>
      </w:r>
      <w:r w:rsidR="002A036A">
        <w:rPr>
          <w:rFonts w:ascii="Bookman Old Style" w:hAnsi="Bookman Old Style" w:cs="Times New Roman"/>
          <w:sz w:val="24"/>
          <w:szCs w:val="24"/>
        </w:rPr>
        <w:t xml:space="preserve"> </w:t>
      </w:r>
      <w:r w:rsidRPr="00CA196C">
        <w:rPr>
          <w:rFonts w:ascii="Bookman Old Style" w:hAnsi="Bookman Old Style" w:cs="Times New Roman"/>
          <w:sz w:val="24"/>
          <w:szCs w:val="24"/>
        </w:rPr>
        <w:t>démocratique et prospère, à travers une transformation structurelle de l'économie nationale pour la mettre sur une nouvelle trajectoire de forte croissance, en réduisant profondément les inégalités sociales e</w:t>
      </w:r>
      <w:r w:rsidR="0044294D">
        <w:rPr>
          <w:rFonts w:ascii="Bookman Old Style" w:hAnsi="Bookman Old Style" w:cs="Times New Roman"/>
          <w:sz w:val="24"/>
          <w:szCs w:val="24"/>
        </w:rPr>
        <w:t>t la pauvreté rurale et urbaine »</w:t>
      </w:r>
      <w:r w:rsidRPr="00CA196C">
        <w:rPr>
          <w:rFonts w:ascii="Bookman Old Style" w:hAnsi="Bookman Old Style" w:cs="Times New Roman"/>
          <w:sz w:val="24"/>
          <w:szCs w:val="24"/>
        </w:rPr>
        <w:t>.</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Se fondant également sur la vision de développement à long terme intitulée « En 202</w:t>
      </w:r>
      <w:r w:rsidR="00FB7E62">
        <w:rPr>
          <w:rFonts w:ascii="Bookman Old Style" w:hAnsi="Bookman Old Style" w:cs="Times New Roman"/>
          <w:sz w:val="24"/>
          <w:szCs w:val="24"/>
        </w:rPr>
        <w:t>7</w:t>
      </w:r>
      <w:r w:rsidRPr="00CA196C">
        <w:rPr>
          <w:rFonts w:ascii="Bookman Old Style" w:hAnsi="Bookman Old Style" w:cs="Times New Roman"/>
          <w:sz w:val="24"/>
          <w:szCs w:val="24"/>
        </w:rPr>
        <w:t>, le Burundi est une Nation unie, solidaire et en paix ; un pays bâti sur une société de droit avec un patrimoine culturel riche ; une économie prospère au service du bien-être de tous », le Burundi a décidé de donner un nouve</w:t>
      </w:r>
      <w:r w:rsidR="0044294D">
        <w:rPr>
          <w:rFonts w:ascii="Bookman Old Style" w:hAnsi="Bookman Old Style" w:cs="Times New Roman"/>
          <w:sz w:val="24"/>
          <w:szCs w:val="24"/>
        </w:rPr>
        <w:t>au</w:t>
      </w:r>
      <w:r w:rsidRPr="00CA196C">
        <w:rPr>
          <w:rFonts w:ascii="Bookman Old Style" w:hAnsi="Bookman Old Style" w:cs="Times New Roman"/>
          <w:sz w:val="24"/>
          <w:szCs w:val="24"/>
        </w:rPr>
        <w:t xml:space="preserve"> </w:t>
      </w:r>
      <w:r w:rsidR="0044294D">
        <w:rPr>
          <w:rFonts w:ascii="Bookman Old Style" w:hAnsi="Bookman Old Style" w:cs="Times New Roman"/>
          <w:sz w:val="24"/>
          <w:szCs w:val="24"/>
        </w:rPr>
        <w:t xml:space="preserve">élan </w:t>
      </w:r>
      <w:r w:rsidRPr="00CA196C">
        <w:rPr>
          <w:rFonts w:ascii="Bookman Old Style" w:hAnsi="Bookman Old Style" w:cs="Times New Roman"/>
          <w:sz w:val="24"/>
          <w:szCs w:val="24"/>
        </w:rPr>
        <w:t xml:space="preserve">à sa politique de développement, à travers </w:t>
      </w:r>
      <w:r w:rsidR="00D71F7F" w:rsidRPr="00CA196C">
        <w:rPr>
          <w:rFonts w:ascii="Bookman Old Style" w:hAnsi="Bookman Old Style" w:cs="Times New Roman"/>
          <w:sz w:val="24"/>
          <w:szCs w:val="24"/>
        </w:rPr>
        <w:t>le P</w:t>
      </w:r>
      <w:r w:rsidR="0044294D">
        <w:rPr>
          <w:rFonts w:ascii="Bookman Old Style" w:hAnsi="Bookman Old Style" w:cs="Times New Roman"/>
          <w:sz w:val="24"/>
          <w:szCs w:val="24"/>
        </w:rPr>
        <w:t>lan National de Développement « </w:t>
      </w:r>
      <w:r w:rsidR="000920EC" w:rsidRPr="00CA196C">
        <w:rPr>
          <w:rFonts w:ascii="Bookman Old Style" w:hAnsi="Bookman Old Style" w:cs="Times New Roman"/>
          <w:sz w:val="24"/>
          <w:szCs w:val="24"/>
        </w:rPr>
        <w:t>PND BURUNDI 2018-2027</w:t>
      </w:r>
      <w:r w:rsidR="0044294D">
        <w:rPr>
          <w:rFonts w:ascii="Bookman Old Style" w:hAnsi="Bookman Old Style" w:cs="Times New Roman"/>
          <w:sz w:val="24"/>
          <w:szCs w:val="24"/>
        </w:rPr>
        <w:t> »</w:t>
      </w:r>
      <w:r w:rsidRPr="00CA196C">
        <w:rPr>
          <w:rFonts w:ascii="Bookman Old Style" w:hAnsi="Bookman Old Style" w:cs="Times New Roman"/>
          <w:sz w:val="24"/>
          <w:szCs w:val="24"/>
        </w:rPr>
        <w:t xml:space="preserve">. </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A travers ce Plan,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replace la planification stratégique au cœur de l’action publique et capitalise sur les acquis d</w:t>
      </w:r>
      <w:r w:rsidR="00D71F7F" w:rsidRPr="00CA196C">
        <w:rPr>
          <w:rFonts w:ascii="Bookman Old Style" w:hAnsi="Bookman Old Style" w:cs="Times New Roman"/>
          <w:sz w:val="24"/>
          <w:szCs w:val="24"/>
        </w:rPr>
        <w:t>es</w:t>
      </w:r>
      <w:r w:rsidRPr="00CA196C">
        <w:rPr>
          <w:rFonts w:ascii="Bookman Old Style" w:hAnsi="Bookman Old Style" w:cs="Times New Roman"/>
          <w:sz w:val="24"/>
          <w:szCs w:val="24"/>
        </w:rPr>
        <w:t xml:space="preserve"> processus d</w:t>
      </w:r>
      <w:r w:rsidR="00D71F7F" w:rsidRPr="00CA196C">
        <w:rPr>
          <w:rFonts w:ascii="Bookman Old Style" w:hAnsi="Bookman Old Style" w:cs="Times New Roman"/>
          <w:sz w:val="24"/>
          <w:szCs w:val="24"/>
        </w:rPr>
        <w:t>e planification antérieurs</w:t>
      </w:r>
      <w:r w:rsidRPr="00CA196C">
        <w:rPr>
          <w:rFonts w:ascii="Bookman Old Style" w:hAnsi="Bookman Old Style" w:cs="Times New Roman"/>
          <w:sz w:val="24"/>
          <w:szCs w:val="24"/>
        </w:rPr>
        <w:t>, par la prise en compte de  nouveaux défis résultant des différentes crises qu’a connues le pays et les goulots d’étranglement pour l’atteinte des Objectifs du Millénaire pour le Développement (OMD). Il s'inspire</w:t>
      </w:r>
      <w:r w:rsidR="00FE7CEE">
        <w:rPr>
          <w:rFonts w:ascii="Bookman Old Style" w:hAnsi="Bookman Old Style" w:cs="Times New Roman"/>
          <w:sz w:val="24"/>
          <w:szCs w:val="24"/>
        </w:rPr>
        <w:t xml:space="preserve"> des agendas</w:t>
      </w:r>
      <w:r w:rsidRPr="00CA196C">
        <w:rPr>
          <w:rFonts w:ascii="Bookman Old Style" w:hAnsi="Bookman Old Style" w:cs="Times New Roman"/>
          <w:sz w:val="24"/>
          <w:szCs w:val="24"/>
        </w:rPr>
        <w:t xml:space="preserve"> national</w:t>
      </w:r>
      <w:r w:rsidR="00FE7CEE">
        <w:rPr>
          <w:rFonts w:ascii="Bookman Old Style" w:hAnsi="Bookman Old Style" w:cs="Times New Roman"/>
          <w:sz w:val="24"/>
          <w:szCs w:val="24"/>
        </w:rPr>
        <w:t>,</w:t>
      </w:r>
      <w:r w:rsidRPr="00CA196C">
        <w:rPr>
          <w:rFonts w:ascii="Bookman Old Style" w:hAnsi="Bookman Old Style" w:cs="Times New Roman"/>
          <w:sz w:val="24"/>
          <w:szCs w:val="24"/>
        </w:rPr>
        <w:t xml:space="preserve"> régional</w:t>
      </w:r>
      <w:r w:rsidR="00FE7CEE">
        <w:rPr>
          <w:rFonts w:ascii="Bookman Old Style" w:hAnsi="Bookman Old Style" w:cs="Times New Roman"/>
          <w:sz w:val="24"/>
          <w:szCs w:val="24"/>
        </w:rPr>
        <w:t>,</w:t>
      </w:r>
      <w:r w:rsidRPr="00CA196C">
        <w:rPr>
          <w:rFonts w:ascii="Bookman Old Style" w:hAnsi="Bookman Old Style" w:cs="Times New Roman"/>
          <w:sz w:val="24"/>
          <w:szCs w:val="24"/>
        </w:rPr>
        <w:t xml:space="preserve"> sous régional et international pour contextualiser et domestiquer les cibles importantes pour le Pays.</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Le PND est un document de référence pour tous les acteurs tant au niveau national, régional, qu’international. Il intègre les priorités et les résultats stratégiques du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pour réaliser une croissance forte, inclusive et durable favorisant les changements significatifs pour l’épanouissement individuel et collectif des populations.  Il veille également à ce que les  instruments soient flexibles et revus régulièrement sur la base des résultats obtenus et des facteurs endogènes et exogènes. Ce Plan National de Développement constitue le cadre de coordination, de planification, de programmation et de suivi des interventions nationales et internationales. A travers sa mise en œuvre,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recherche l’efficacité et l’efficience dans les interventions publiques et attache du prix à l’obtention de résultats devant contribuer à l’amélioration des conditions de vie et de travail des populations. </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8D2F95">
      <w:pPr>
        <w:numPr>
          <w:ilvl w:val="0"/>
          <w:numId w:val="5"/>
        </w:numPr>
        <w:spacing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Partant de ces fondements, le Plan National de Développement (</w:t>
      </w:r>
      <w:r w:rsidR="000920EC" w:rsidRPr="00CA196C">
        <w:rPr>
          <w:rFonts w:ascii="Bookman Old Style" w:hAnsi="Bookman Old Style" w:cs="Times New Roman"/>
          <w:sz w:val="24"/>
          <w:szCs w:val="24"/>
        </w:rPr>
        <w:t>PND BURUNDI 2018-2027</w:t>
      </w:r>
      <w:r w:rsidRPr="00CA196C">
        <w:rPr>
          <w:rFonts w:ascii="Bookman Old Style" w:hAnsi="Bookman Old Style" w:cs="Times New Roman"/>
          <w:sz w:val="24"/>
          <w:szCs w:val="24"/>
        </w:rPr>
        <w:t xml:space="preserve">) s'inscrit dans un schéma de développement axé sur une nouvelle dynamique de transformation structurelle de l’économie génératrice des effets multiplicateurs en faveur de l’amélioration du </w:t>
      </w:r>
      <w:r w:rsidRPr="00CA196C">
        <w:rPr>
          <w:rFonts w:ascii="Bookman Old Style" w:hAnsi="Bookman Old Style" w:cs="Times New Roman"/>
          <w:sz w:val="24"/>
          <w:szCs w:val="24"/>
        </w:rPr>
        <w:lastRenderedPageBreak/>
        <w:t xml:space="preserve">revenu moyen par habitant et de ce fait, la satisfaction des besoins fondamentaux, la réduction de la pauvreté, le renforcement des capacités humaines, la viabilité environnementale et l'équité sociale. </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L’opérationnalisation du PND se fera par sa traduction en des politiques  sectorielles fondées sur les problématiques de développement les plus pertinentes avec un réel potentiel </w:t>
      </w:r>
      <w:r w:rsidR="00DF0DC9" w:rsidRPr="00CA196C">
        <w:rPr>
          <w:rFonts w:ascii="Bookman Old Style" w:hAnsi="Bookman Old Style" w:cs="Times New Roman"/>
          <w:sz w:val="24"/>
          <w:szCs w:val="24"/>
        </w:rPr>
        <w:t>d'effets catalyseurs impliquant</w:t>
      </w:r>
      <w:r w:rsidRPr="00CA196C">
        <w:rPr>
          <w:rFonts w:ascii="Bookman Old Style" w:hAnsi="Bookman Old Style" w:cs="Times New Roman"/>
          <w:sz w:val="24"/>
          <w:szCs w:val="24"/>
        </w:rPr>
        <w:t>: (i) l'amélioration de la gouvernance du développement, en vue de consolider les bases d'un "État capable" pouvant faire face aux facteurs de fragilité et prendre le leadership de son développement, avec les instruments appropriés de pilotage, (ii) l'opérationnalisation des instruments de planification et de programmation, en mettant l'accent sur le lien entre les perspectives de long terme et celles de moyen terme, ainsi qu'entre ces dernières et les exercices budgétaires annuels, (iii) la maîtrise des outils de suivi des résultats des politiques publiques, notamment des progrès en matière d'atteinte des principales cibles du PND, (iv) l'application d'une stratégie de réduction de la pauvreté, par l'élargissement de la base sociale de l'économie, en engageant les populations elles-mêmes dans les activités de croissance inclusive, (v) l'approfondissement de l'approche du développement durable, par le renforcement de la gouvernance environnementale et l'intégration de la perspective de l'économie verte et bleue dans les politiques de développement.</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FF06B9" w:rsidRPr="00CA196C" w:rsidRDefault="00DE3A23" w:rsidP="00ED27D9">
      <w:pPr>
        <w:pStyle w:val="Titre2"/>
      </w:pPr>
      <w:bookmarkStart w:id="20" w:name="_Toc511081526"/>
      <w:r w:rsidRPr="00CA196C">
        <w:t>2.2. Objectif global</w:t>
      </w:r>
      <w:bookmarkEnd w:id="20"/>
    </w:p>
    <w:p w:rsidR="00FF06B9" w:rsidRPr="00CA196C" w:rsidRDefault="00DE3A23" w:rsidP="00CD26FF">
      <w:pPr>
        <w:pStyle w:val="Paragraphedeliste"/>
        <w:numPr>
          <w:ilvl w:val="0"/>
          <w:numId w:val="5"/>
        </w:numPr>
        <w:spacing w:before="120" w:after="120" w:line="240" w:lineRule="auto"/>
        <w:jc w:val="both"/>
        <w:outlineLvl w:val="1"/>
        <w:rPr>
          <w:rFonts w:ascii="Bookman Old Style" w:eastAsia="Times New Roman" w:hAnsi="Bookman Old Style" w:cs="Times New Roman"/>
          <w:sz w:val="24"/>
          <w:szCs w:val="24"/>
          <w:lang w:eastAsia="fr-FR"/>
        </w:rPr>
      </w:pPr>
      <w:bookmarkStart w:id="21" w:name="_Toc511080851"/>
      <w:bookmarkStart w:id="22" w:name="_Toc511081527"/>
      <w:r w:rsidRPr="00CA196C">
        <w:rPr>
          <w:rFonts w:ascii="Bookman Old Style" w:eastAsia="Calibri" w:hAnsi="Bookman Old Style" w:cs="Times New Roman"/>
          <w:sz w:val="24"/>
          <w:szCs w:val="24"/>
          <w:u w:color="000000"/>
          <w:bdr w:val="nil"/>
        </w:rPr>
        <w:t xml:space="preserve">Pour concrétiser sa vision, le plan national de développement se fixe comme objectif global de </w:t>
      </w:r>
      <w:r w:rsidR="00AE01F3" w:rsidRPr="00CA196C">
        <w:rPr>
          <w:rFonts w:ascii="Bookman Old Style" w:eastAsia="Calibri" w:hAnsi="Bookman Old Style" w:cs="Times New Roman"/>
          <w:sz w:val="24"/>
          <w:szCs w:val="24"/>
          <w:u w:color="000000"/>
          <w:bdr w:val="nil"/>
        </w:rPr>
        <w:t>« </w:t>
      </w:r>
      <w:r w:rsidR="00AE01F3" w:rsidRPr="00CA196C">
        <w:rPr>
          <w:rFonts w:ascii="Bookman Old Style" w:eastAsia="Calibri" w:hAnsi="Bookman Old Style" w:cs="Times New Roman"/>
          <w:b/>
          <w:sz w:val="24"/>
          <w:szCs w:val="24"/>
          <w:u w:color="000000"/>
          <w:bdr w:val="nil"/>
        </w:rPr>
        <w:t>T</w:t>
      </w:r>
      <w:r w:rsidRPr="00CA196C">
        <w:rPr>
          <w:rFonts w:ascii="Bookman Old Style" w:eastAsia="Calibri" w:hAnsi="Bookman Old Style" w:cs="Times New Roman"/>
          <w:b/>
          <w:sz w:val="24"/>
          <w:szCs w:val="24"/>
          <w:u w:color="000000"/>
          <w:bdr w:val="nil"/>
        </w:rPr>
        <w:t>ransformer structurellement l’économie burundaise, pour une croissance forte, durable, résiliente, inclusive, créatrice d’emplois décents pour tous et induisant l’amélioration du bien-être social</w:t>
      </w:r>
      <w:r w:rsidR="00AE01F3" w:rsidRPr="00CA196C">
        <w:rPr>
          <w:rFonts w:ascii="Bookman Old Style" w:eastAsia="Calibri" w:hAnsi="Bookman Old Style" w:cs="Times New Roman"/>
          <w:b/>
          <w:sz w:val="24"/>
          <w:szCs w:val="24"/>
          <w:u w:color="000000"/>
          <w:bdr w:val="nil"/>
        </w:rPr>
        <w:t>»</w:t>
      </w:r>
      <w:r w:rsidRPr="00CA196C">
        <w:rPr>
          <w:rFonts w:ascii="Bookman Old Style" w:eastAsia="Calibri" w:hAnsi="Bookman Old Style" w:cs="Times New Roman"/>
          <w:b/>
          <w:sz w:val="24"/>
          <w:szCs w:val="24"/>
          <w:u w:color="000000"/>
          <w:bdr w:val="nil"/>
        </w:rPr>
        <w:t>.</w:t>
      </w:r>
      <w:r w:rsidRPr="00CA196C">
        <w:rPr>
          <w:rFonts w:ascii="Bookman Old Style" w:eastAsia="Calibri" w:hAnsi="Bookman Old Style" w:cs="Times New Roman"/>
          <w:sz w:val="24"/>
          <w:szCs w:val="24"/>
          <w:u w:color="000000"/>
          <w:bdr w:val="nil"/>
        </w:rPr>
        <w:t xml:space="preserve"> </w:t>
      </w:r>
      <w:r w:rsidR="00FF06B9" w:rsidRPr="00CA196C">
        <w:rPr>
          <w:rFonts w:ascii="Bookman Old Style" w:eastAsia="Calibri" w:hAnsi="Bookman Old Style" w:cs="Times New Roman"/>
          <w:sz w:val="24"/>
          <w:szCs w:val="24"/>
          <w:u w:color="000000"/>
          <w:bdr w:val="nil"/>
        </w:rPr>
        <w:t xml:space="preserve">Cet objectif renvoie à exploiter le </w:t>
      </w:r>
      <w:r w:rsidR="009153A0" w:rsidRPr="00CA196C">
        <w:rPr>
          <w:rFonts w:ascii="Bookman Old Style" w:eastAsia="Times New Roman" w:hAnsi="Bookman Old Style" w:cs="Times New Roman"/>
          <w:sz w:val="24"/>
          <w:szCs w:val="24"/>
          <w:lang w:eastAsia="fr-FR"/>
        </w:rPr>
        <w:t>potentiel en termes de croissance de la productivité et de création d'emplois</w:t>
      </w:r>
      <w:r w:rsidR="00FF06B9" w:rsidRPr="00CA196C">
        <w:rPr>
          <w:rFonts w:ascii="Bookman Old Style" w:eastAsia="Times New Roman" w:hAnsi="Bookman Old Style" w:cs="Times New Roman"/>
          <w:sz w:val="24"/>
          <w:szCs w:val="24"/>
          <w:lang w:eastAsia="fr-FR"/>
        </w:rPr>
        <w:t xml:space="preserve"> de l’économie du Burundi pour un développement</w:t>
      </w:r>
      <w:r w:rsidR="00284A0D" w:rsidRPr="00CA196C">
        <w:rPr>
          <w:rFonts w:ascii="Bookman Old Style" w:eastAsia="Times New Roman" w:hAnsi="Bookman Old Style" w:cs="Times New Roman"/>
          <w:sz w:val="24"/>
          <w:szCs w:val="24"/>
          <w:lang w:eastAsia="fr-FR"/>
        </w:rPr>
        <w:t xml:space="preserve"> </w:t>
      </w:r>
      <w:r w:rsidR="00FF06B9" w:rsidRPr="00CA196C">
        <w:rPr>
          <w:rFonts w:ascii="Bookman Old Style" w:eastAsia="Times New Roman" w:hAnsi="Bookman Old Style" w:cs="Times New Roman"/>
          <w:sz w:val="24"/>
          <w:szCs w:val="24"/>
          <w:lang w:eastAsia="fr-FR"/>
        </w:rPr>
        <w:t>(économique et social) inclusif</w:t>
      </w:r>
      <w:r w:rsidR="002D2DD4">
        <w:rPr>
          <w:rFonts w:ascii="Bookman Old Style" w:eastAsia="Times New Roman" w:hAnsi="Bookman Old Style" w:cs="Times New Roman"/>
          <w:sz w:val="24"/>
          <w:szCs w:val="24"/>
          <w:lang w:eastAsia="fr-FR"/>
        </w:rPr>
        <w:t xml:space="preserve"> et durable</w:t>
      </w:r>
      <w:r w:rsidR="00FF06B9" w:rsidRPr="00CA196C">
        <w:rPr>
          <w:rFonts w:ascii="Bookman Old Style" w:eastAsia="Times New Roman" w:hAnsi="Bookman Old Style" w:cs="Times New Roman"/>
          <w:sz w:val="24"/>
          <w:szCs w:val="24"/>
          <w:lang w:eastAsia="fr-FR"/>
        </w:rPr>
        <w:t>.</w:t>
      </w:r>
      <w:bookmarkEnd w:id="21"/>
      <w:bookmarkEnd w:id="22"/>
    </w:p>
    <w:p w:rsidR="00FF06B9" w:rsidRPr="00CA196C" w:rsidRDefault="00FF06B9" w:rsidP="008C3209">
      <w:pPr>
        <w:spacing w:before="120" w:after="120" w:line="240" w:lineRule="auto"/>
        <w:jc w:val="both"/>
        <w:outlineLvl w:val="1"/>
        <w:rPr>
          <w:rFonts w:ascii="Bookman Old Style" w:eastAsia="Times New Roman" w:hAnsi="Bookman Old Style" w:cs="Times New Roman"/>
          <w:sz w:val="24"/>
          <w:szCs w:val="24"/>
          <w:lang w:eastAsia="fr-FR"/>
        </w:rPr>
      </w:pPr>
    </w:p>
    <w:p w:rsidR="00AE01F3" w:rsidRPr="00CA196C" w:rsidRDefault="00FF06B9" w:rsidP="00CD26FF">
      <w:pPr>
        <w:pStyle w:val="Paragraphedeliste"/>
        <w:numPr>
          <w:ilvl w:val="0"/>
          <w:numId w:val="5"/>
        </w:numPr>
        <w:spacing w:before="120" w:after="120" w:line="240" w:lineRule="auto"/>
        <w:jc w:val="both"/>
        <w:outlineLvl w:val="1"/>
        <w:rPr>
          <w:rFonts w:ascii="Bookman Old Style" w:eastAsia="Times New Roman" w:hAnsi="Bookman Old Style" w:cs="Times New Roman"/>
          <w:sz w:val="24"/>
          <w:szCs w:val="24"/>
          <w:lang w:eastAsia="fr-FR"/>
        </w:rPr>
      </w:pPr>
      <w:bookmarkStart w:id="23" w:name="_Toc511080852"/>
      <w:bookmarkStart w:id="24" w:name="_Toc511081528"/>
      <w:r w:rsidRPr="00CA196C">
        <w:rPr>
          <w:rFonts w:ascii="Bookman Old Style" w:eastAsia="Calibri" w:hAnsi="Bookman Old Style" w:cs="Times New Roman"/>
          <w:sz w:val="24"/>
          <w:szCs w:val="24"/>
          <w:u w:color="000000"/>
          <w:bdr w:val="nil"/>
        </w:rPr>
        <w:t>A travers c</w:t>
      </w:r>
      <w:r w:rsidR="00E57AD1" w:rsidRPr="00CA196C">
        <w:rPr>
          <w:rFonts w:ascii="Bookman Old Style" w:eastAsia="Calibri" w:hAnsi="Bookman Old Style" w:cs="Times New Roman"/>
          <w:sz w:val="24"/>
          <w:szCs w:val="24"/>
          <w:u w:color="000000"/>
          <w:bdr w:val="nil"/>
        </w:rPr>
        <w:t>et objectif</w:t>
      </w:r>
      <w:r w:rsidRPr="00CA196C">
        <w:rPr>
          <w:rFonts w:ascii="Bookman Old Style" w:eastAsia="Calibri" w:hAnsi="Bookman Old Style" w:cs="Times New Roman"/>
          <w:sz w:val="24"/>
          <w:szCs w:val="24"/>
          <w:u w:color="000000"/>
          <w:bdr w:val="nil"/>
        </w:rPr>
        <w:t>, le</w:t>
      </w:r>
      <w:r w:rsidR="00E57AD1" w:rsidRPr="00CA196C">
        <w:rPr>
          <w:rFonts w:ascii="Bookman Old Style" w:eastAsia="Calibri" w:hAnsi="Bookman Old Style" w:cs="Times New Roman"/>
          <w:sz w:val="24"/>
          <w:szCs w:val="24"/>
          <w:u w:color="000000"/>
          <w:bdr w:val="nil"/>
        </w:rPr>
        <w:t xml:space="preserve"> </w:t>
      </w:r>
      <w:r w:rsidR="000920EC" w:rsidRPr="00CA196C">
        <w:rPr>
          <w:rFonts w:ascii="Bookman Old Style" w:eastAsia="Calibri" w:hAnsi="Bookman Old Style" w:cs="Times New Roman"/>
          <w:sz w:val="24"/>
          <w:szCs w:val="24"/>
          <w:u w:color="000000"/>
          <w:bdr w:val="nil"/>
        </w:rPr>
        <w:t>PND BURUNDI 2018-2027</w:t>
      </w:r>
      <w:r w:rsidR="00E57AD1" w:rsidRPr="00CA196C">
        <w:rPr>
          <w:rFonts w:ascii="Bookman Old Style" w:eastAsia="Calibri" w:hAnsi="Bookman Old Style" w:cs="Times New Roman"/>
          <w:sz w:val="24"/>
          <w:szCs w:val="24"/>
          <w:u w:color="000000"/>
          <w:bdr w:val="nil"/>
        </w:rPr>
        <w:t xml:space="preserve"> </w:t>
      </w:r>
      <w:r w:rsidRPr="00CA196C">
        <w:rPr>
          <w:rFonts w:ascii="Bookman Old Style" w:eastAsia="Calibri" w:hAnsi="Bookman Old Style" w:cs="Times New Roman"/>
          <w:sz w:val="24"/>
          <w:szCs w:val="24"/>
          <w:u w:color="000000"/>
          <w:bdr w:val="nil"/>
        </w:rPr>
        <w:t xml:space="preserve">va répondre </w:t>
      </w:r>
      <w:r w:rsidR="00E57AD1" w:rsidRPr="00CA196C">
        <w:rPr>
          <w:rFonts w:ascii="Bookman Old Style" w:eastAsia="Calibri" w:hAnsi="Bookman Old Style" w:cs="Times New Roman"/>
          <w:sz w:val="24"/>
          <w:szCs w:val="24"/>
          <w:u w:color="000000"/>
          <w:bdr w:val="nil"/>
        </w:rPr>
        <w:t xml:space="preserve">au </w:t>
      </w:r>
      <w:r w:rsidRPr="00CA196C">
        <w:rPr>
          <w:rFonts w:ascii="Bookman Old Style" w:eastAsia="Calibri" w:hAnsi="Bookman Old Style" w:cs="Times New Roman"/>
          <w:sz w:val="24"/>
          <w:szCs w:val="24"/>
          <w:u w:color="000000"/>
          <w:bdr w:val="nil"/>
        </w:rPr>
        <w:t>défi</w:t>
      </w:r>
      <w:r w:rsidR="00F54146" w:rsidRPr="00CA196C">
        <w:rPr>
          <w:rFonts w:ascii="Bookman Old Style" w:eastAsia="Calibri" w:hAnsi="Bookman Old Style" w:cs="Times New Roman"/>
          <w:sz w:val="24"/>
          <w:szCs w:val="24"/>
          <w:u w:color="000000"/>
          <w:bdr w:val="nil"/>
        </w:rPr>
        <w:t xml:space="preserve"> de dispo</w:t>
      </w:r>
      <w:r w:rsidR="00E57AD1" w:rsidRPr="00CA196C">
        <w:rPr>
          <w:rFonts w:ascii="Bookman Old Style" w:eastAsia="Calibri" w:hAnsi="Bookman Old Style" w:cs="Times New Roman"/>
          <w:sz w:val="24"/>
          <w:szCs w:val="24"/>
          <w:u w:color="000000"/>
          <w:bdr w:val="nil"/>
        </w:rPr>
        <w:t>nibili</w:t>
      </w:r>
      <w:r w:rsidRPr="00CA196C">
        <w:rPr>
          <w:rFonts w:ascii="Bookman Old Style" w:eastAsia="Calibri" w:hAnsi="Bookman Old Style" w:cs="Times New Roman"/>
          <w:sz w:val="24"/>
          <w:szCs w:val="24"/>
          <w:u w:color="000000"/>
          <w:bdr w:val="nil"/>
        </w:rPr>
        <w:t>té</w:t>
      </w:r>
      <w:r w:rsidR="00E57AD1" w:rsidRPr="00CA196C">
        <w:rPr>
          <w:rFonts w:ascii="Bookman Old Style" w:eastAsia="Calibri" w:hAnsi="Bookman Old Style" w:cs="Times New Roman"/>
          <w:sz w:val="24"/>
          <w:szCs w:val="24"/>
          <w:u w:color="000000"/>
          <w:bdr w:val="nil"/>
        </w:rPr>
        <w:t xml:space="preserve"> des </w:t>
      </w:r>
      <w:r w:rsidR="002F0C70" w:rsidRPr="00CA196C">
        <w:rPr>
          <w:rFonts w:ascii="Bookman Old Style" w:eastAsia="TimesNewRomanPSMT" w:hAnsi="Bookman Old Style" w:cs="Times New Roman"/>
          <w:sz w:val="24"/>
          <w:szCs w:val="24"/>
        </w:rPr>
        <w:t xml:space="preserve">« capacités productives » </w:t>
      </w:r>
      <w:r w:rsidR="00E57AD1" w:rsidRPr="00CA196C">
        <w:rPr>
          <w:rFonts w:ascii="Bookman Old Style" w:eastAsia="TimesNewRomanPSMT" w:hAnsi="Bookman Old Style" w:cs="Times New Roman"/>
          <w:sz w:val="24"/>
          <w:szCs w:val="24"/>
        </w:rPr>
        <w:t xml:space="preserve">et à </w:t>
      </w:r>
      <w:r w:rsidR="002F0C70" w:rsidRPr="00CA196C">
        <w:rPr>
          <w:rFonts w:ascii="Bookman Old Style" w:eastAsia="TimesNewRomanPSMT" w:hAnsi="Bookman Old Style" w:cs="Times New Roman"/>
          <w:sz w:val="24"/>
          <w:szCs w:val="24"/>
        </w:rPr>
        <w:t>l’</w:t>
      </w:r>
      <w:r w:rsidR="00E57AD1" w:rsidRPr="00CA196C">
        <w:rPr>
          <w:rFonts w:ascii="Bookman Old Style" w:eastAsia="TimesNewRomanPSMT" w:hAnsi="Bookman Old Style" w:cs="Times New Roman"/>
          <w:sz w:val="24"/>
          <w:szCs w:val="24"/>
        </w:rPr>
        <w:t xml:space="preserve">aptitude </w:t>
      </w:r>
      <w:r w:rsidR="002F0C70" w:rsidRPr="00CA196C">
        <w:rPr>
          <w:rFonts w:ascii="Bookman Old Style" w:eastAsia="TimesNewRomanPSMT" w:hAnsi="Bookman Old Style" w:cs="Times New Roman"/>
          <w:sz w:val="24"/>
          <w:szCs w:val="24"/>
        </w:rPr>
        <w:t>à</w:t>
      </w:r>
      <w:r w:rsidR="00E57AD1" w:rsidRPr="00CA196C">
        <w:rPr>
          <w:rFonts w:ascii="Bookman Old Style" w:eastAsia="TimesNewRomanPSMT" w:hAnsi="Bookman Old Style" w:cs="Times New Roman"/>
          <w:sz w:val="24"/>
          <w:szCs w:val="24"/>
        </w:rPr>
        <w:t xml:space="preserve"> les</w:t>
      </w:r>
      <w:r w:rsidR="002F0C70" w:rsidRPr="00CA196C">
        <w:rPr>
          <w:rFonts w:ascii="Bookman Old Style" w:eastAsia="TimesNewRomanPSMT" w:hAnsi="Bookman Old Style" w:cs="Times New Roman"/>
          <w:sz w:val="24"/>
          <w:szCs w:val="24"/>
        </w:rPr>
        <w:t xml:space="preserve"> combiner de</w:t>
      </w:r>
      <w:r w:rsidR="00E57AD1" w:rsidRPr="00CA196C">
        <w:rPr>
          <w:rFonts w:ascii="Bookman Old Style" w:eastAsia="TimesNewRomanPSMT" w:hAnsi="Bookman Old Style" w:cs="Times New Roman"/>
          <w:sz w:val="24"/>
          <w:szCs w:val="24"/>
        </w:rPr>
        <w:t xml:space="preserve"> </w:t>
      </w:r>
      <w:r w:rsidR="002F0C70" w:rsidRPr="00CA196C">
        <w:rPr>
          <w:rFonts w:ascii="Bookman Old Style" w:eastAsia="TimesNewRomanPSMT" w:hAnsi="Bookman Old Style" w:cs="Times New Roman"/>
          <w:sz w:val="24"/>
          <w:szCs w:val="24"/>
        </w:rPr>
        <w:t>manière optimale</w:t>
      </w:r>
      <w:r w:rsidR="00E57AD1" w:rsidRPr="00CA196C">
        <w:rPr>
          <w:rFonts w:ascii="Bookman Old Style" w:eastAsia="TimesNewRomanPSMT" w:hAnsi="Bookman Old Style" w:cs="Times New Roman"/>
          <w:sz w:val="24"/>
          <w:szCs w:val="24"/>
        </w:rPr>
        <w:t>.</w:t>
      </w:r>
      <w:r w:rsidR="002F0C70" w:rsidRPr="00CA196C">
        <w:rPr>
          <w:rFonts w:ascii="Bookman Old Style" w:eastAsia="TimesNewRomanPSMT" w:hAnsi="Bookman Old Style" w:cs="Times New Roman"/>
          <w:sz w:val="24"/>
          <w:szCs w:val="24"/>
        </w:rPr>
        <w:t xml:space="preserve"> </w:t>
      </w:r>
      <w:r w:rsidR="00E57AD1" w:rsidRPr="00CA196C">
        <w:rPr>
          <w:rFonts w:ascii="Bookman Old Style" w:eastAsia="Times New Roman" w:hAnsi="Bookman Old Style" w:cs="Times New Roman"/>
          <w:sz w:val="24"/>
          <w:szCs w:val="24"/>
          <w:lang w:eastAsia="fr-FR"/>
        </w:rPr>
        <w:t> Ce qui implique un mécanisme à orchestrer des changements fondamentaux dans la structure de l’économie allant de la réaffectation des ressources des activités traditionnelles</w:t>
      </w:r>
      <w:r w:rsidR="00E57AD1" w:rsidRPr="00CA196C">
        <w:rPr>
          <w:rStyle w:val="Appelnotedebasdep"/>
          <w:rFonts w:ascii="Bookman Old Style" w:eastAsia="Times New Roman" w:hAnsi="Bookman Old Style" w:cs="Times New Roman"/>
          <w:sz w:val="24"/>
          <w:szCs w:val="24"/>
          <w:lang w:eastAsia="fr-FR"/>
        </w:rPr>
        <w:footnoteReference w:id="2"/>
      </w:r>
      <w:r w:rsidR="00E57AD1" w:rsidRPr="00CA196C">
        <w:rPr>
          <w:rFonts w:ascii="Bookman Old Style" w:eastAsia="Times New Roman" w:hAnsi="Bookman Old Style" w:cs="Times New Roman"/>
          <w:sz w:val="24"/>
          <w:szCs w:val="24"/>
          <w:lang w:eastAsia="fr-FR"/>
        </w:rPr>
        <w:t xml:space="preserve"> vers des secteurs à forte productivité afin d’améliorer de manière rapide le  niveau de vie de</w:t>
      </w:r>
      <w:r w:rsidR="00D71F7F" w:rsidRPr="00CA196C">
        <w:rPr>
          <w:rFonts w:ascii="Bookman Old Style" w:eastAsia="Times New Roman" w:hAnsi="Bookman Old Style" w:cs="Times New Roman"/>
          <w:sz w:val="24"/>
          <w:szCs w:val="24"/>
          <w:lang w:eastAsia="fr-FR"/>
        </w:rPr>
        <w:t xml:space="preserve"> la population</w:t>
      </w:r>
      <w:r w:rsidR="00E57AD1" w:rsidRPr="00CA196C">
        <w:rPr>
          <w:rFonts w:ascii="Bookman Old Style" w:eastAsia="Times New Roman" w:hAnsi="Bookman Old Style" w:cs="Times New Roman"/>
          <w:sz w:val="24"/>
          <w:szCs w:val="24"/>
          <w:lang w:eastAsia="fr-FR"/>
        </w:rPr>
        <w:t>. C’est un objectif qui vise le changement structurel non seulement pour stimuler la croissance économique, mais aussi pour contribuer à une croissance plus inclusive et durable.</w:t>
      </w:r>
      <w:r w:rsidR="0024328A" w:rsidRPr="00CA196C">
        <w:rPr>
          <w:rFonts w:ascii="Bookman Old Style" w:eastAsia="Times New Roman" w:hAnsi="Bookman Old Style" w:cs="Times New Roman"/>
          <w:sz w:val="24"/>
          <w:szCs w:val="24"/>
          <w:lang w:eastAsia="fr-FR"/>
        </w:rPr>
        <w:t xml:space="preserve"> </w:t>
      </w:r>
      <w:r w:rsidR="00DD3D9F" w:rsidRPr="00CA196C">
        <w:rPr>
          <w:rFonts w:ascii="Bookman Old Style" w:eastAsia="Times New Roman" w:hAnsi="Bookman Old Style" w:cs="Times New Roman"/>
          <w:sz w:val="24"/>
          <w:szCs w:val="24"/>
          <w:lang w:eastAsia="fr-FR"/>
        </w:rPr>
        <w:t xml:space="preserve">C’est ainsi que le </w:t>
      </w:r>
      <w:r w:rsidR="000920EC" w:rsidRPr="00CA196C">
        <w:rPr>
          <w:rFonts w:ascii="Bookman Old Style" w:eastAsia="Times New Roman" w:hAnsi="Bookman Old Style" w:cs="Times New Roman"/>
          <w:sz w:val="24"/>
          <w:szCs w:val="24"/>
          <w:lang w:eastAsia="fr-FR"/>
        </w:rPr>
        <w:lastRenderedPageBreak/>
        <w:t>PND BURUNDI 2018-2027</w:t>
      </w:r>
      <w:r w:rsidR="00DD3D9F" w:rsidRPr="00CA196C">
        <w:rPr>
          <w:rFonts w:ascii="Bookman Old Style" w:eastAsia="Times New Roman" w:hAnsi="Bookman Old Style" w:cs="Times New Roman"/>
          <w:sz w:val="24"/>
          <w:szCs w:val="24"/>
          <w:lang w:eastAsia="fr-FR"/>
        </w:rPr>
        <w:t xml:space="preserve"> couvre tous les secteurs susceptibles d’impulser une accélération des changements structurels pour soutenir et accélérer les taux de croissance économique d’une part, et  pour orienter la main d’œuvre vers des secteurs plus dynamiques d’autre part.</w:t>
      </w:r>
      <w:bookmarkEnd w:id="23"/>
      <w:bookmarkEnd w:id="24"/>
    </w:p>
    <w:p w:rsidR="0024328A" w:rsidRPr="00CA196C" w:rsidRDefault="0024328A" w:rsidP="00F54146">
      <w:pPr>
        <w:autoSpaceDE w:val="0"/>
        <w:autoSpaceDN w:val="0"/>
        <w:adjustRightInd w:val="0"/>
        <w:spacing w:before="160" w:after="120" w:line="240" w:lineRule="auto"/>
        <w:ind w:left="360"/>
        <w:contextualSpacing/>
        <w:jc w:val="both"/>
        <w:rPr>
          <w:rFonts w:ascii="Bookman Old Style" w:eastAsia="Calibri" w:hAnsi="Bookman Old Style" w:cs="Times New Roman"/>
          <w:sz w:val="24"/>
          <w:szCs w:val="24"/>
          <w:u w:color="000000"/>
          <w:bdr w:val="nil"/>
        </w:rPr>
      </w:pPr>
    </w:p>
    <w:p w:rsidR="00DE3A23" w:rsidRPr="00CA196C" w:rsidRDefault="00DE3A23" w:rsidP="00ED27D9">
      <w:pPr>
        <w:pStyle w:val="Titre2"/>
      </w:pPr>
      <w:bookmarkStart w:id="25" w:name="_Toc511080853"/>
      <w:bookmarkStart w:id="26" w:name="_Toc511081529"/>
      <w:r w:rsidRPr="00CA196C">
        <w:t>2.3. Processus de transformation structurelle de l’économie</w:t>
      </w:r>
      <w:bookmarkEnd w:id="25"/>
      <w:bookmarkEnd w:id="26"/>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La transformation structurelle implique le déplacement de ressources et de main d’œuvre des activités traditionnelles vers le développement de nouvelles activités plus productives pour impulser l’économie. Le succès économique d’une nation dépend largement du changement de comportements, des modes de production et de consommation, des échanges commerciaux des biens et services, etc. Les gains de productivité contribuent également à l’élévation du niveau de vie des populations et à la participation citoyenne au processus vertueux de l’accumulation du capital et de la croissance économique. </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Cette transformation structurelle de l’économie</w:t>
      </w:r>
      <w:r w:rsidR="00FF06B9"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w:t>
      </w:r>
      <w:r w:rsidR="00FF06B9" w:rsidRPr="00CA196C">
        <w:rPr>
          <w:rFonts w:ascii="Bookman Old Style" w:hAnsi="Bookman Old Style" w:cs="Times New Roman"/>
          <w:sz w:val="24"/>
          <w:szCs w:val="24"/>
        </w:rPr>
        <w:t xml:space="preserve">indiquée dans le </w:t>
      </w:r>
      <w:r w:rsidR="000920EC" w:rsidRPr="00CA196C">
        <w:rPr>
          <w:rFonts w:ascii="Bookman Old Style" w:hAnsi="Bookman Old Style" w:cs="Times New Roman"/>
          <w:sz w:val="24"/>
          <w:szCs w:val="24"/>
        </w:rPr>
        <w:t>PND BURUNDI 2018-2027</w:t>
      </w:r>
      <w:r w:rsidR="00FF06B9"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vise à améliorer les caractéristiques de  l’économie</w:t>
      </w:r>
      <w:r w:rsidR="00D71F7F" w:rsidRPr="00CA196C">
        <w:rPr>
          <w:rFonts w:ascii="Bookman Old Style" w:hAnsi="Bookman Old Style" w:cs="Times New Roman"/>
          <w:sz w:val="24"/>
          <w:szCs w:val="24"/>
        </w:rPr>
        <w:t xml:space="preserve"> burundaise actuellement dominée</w:t>
      </w:r>
      <w:r w:rsidRPr="00CA196C">
        <w:rPr>
          <w:rFonts w:ascii="Bookman Old Style" w:hAnsi="Bookman Old Style" w:cs="Times New Roman"/>
          <w:sz w:val="24"/>
          <w:szCs w:val="24"/>
        </w:rPr>
        <w:t xml:space="preserve"> par le secteur agricole moins structuré et marqué  par  une faible  productivité, </w:t>
      </w:r>
      <w:r w:rsidR="00FF06B9" w:rsidRPr="00CA196C">
        <w:rPr>
          <w:rFonts w:ascii="Bookman Old Style" w:hAnsi="Bookman Old Style" w:cs="Times New Roman"/>
          <w:sz w:val="24"/>
          <w:szCs w:val="24"/>
        </w:rPr>
        <w:t>avec</w:t>
      </w:r>
      <w:r w:rsidRPr="00CA196C">
        <w:rPr>
          <w:rFonts w:ascii="Bookman Old Style" w:hAnsi="Bookman Old Style" w:cs="Times New Roman"/>
          <w:sz w:val="24"/>
          <w:szCs w:val="24"/>
        </w:rPr>
        <w:t xml:space="preserve"> un  secteur secondaire qui demeure embryonnaire et un secteur tertiaire caractérisé   par une prépondérance  des  activités  dominées </w:t>
      </w:r>
      <w:r w:rsidRPr="00CC10D5">
        <w:rPr>
          <w:rFonts w:ascii="Bookman Old Style" w:hAnsi="Bookman Old Style" w:cs="Times New Roman"/>
          <w:sz w:val="24"/>
          <w:szCs w:val="24"/>
        </w:rPr>
        <w:t>par la téléphonie</w:t>
      </w:r>
      <w:r w:rsidRPr="00CA196C">
        <w:rPr>
          <w:rFonts w:ascii="Bookman Old Style" w:hAnsi="Bookman Old Style" w:cs="Times New Roman"/>
          <w:sz w:val="24"/>
          <w:szCs w:val="24"/>
        </w:rPr>
        <w:t>, le commerce et le transport. Leurs contributions</w:t>
      </w:r>
      <w:r w:rsidR="00FF06B9" w:rsidRPr="00CA196C">
        <w:rPr>
          <w:rFonts w:ascii="Bookman Old Style" w:hAnsi="Bookman Old Style" w:cs="Times New Roman"/>
          <w:sz w:val="24"/>
          <w:szCs w:val="24"/>
        </w:rPr>
        <w:t xml:space="preserve"> sectorielles</w:t>
      </w:r>
      <w:r w:rsidRPr="00CA196C">
        <w:rPr>
          <w:rFonts w:ascii="Bookman Old Style" w:hAnsi="Bookman Old Style" w:cs="Times New Roman"/>
          <w:sz w:val="24"/>
          <w:szCs w:val="24"/>
        </w:rPr>
        <w:t xml:space="preserve"> au PIB restent relativement faibles et représentent respectivement 36,9%, 15% et 40%. L’évolutio</w:t>
      </w:r>
      <w:r w:rsidR="00EF2A17" w:rsidRPr="00CA196C">
        <w:rPr>
          <w:rFonts w:ascii="Bookman Old Style" w:hAnsi="Bookman Old Style" w:cs="Times New Roman"/>
          <w:sz w:val="24"/>
          <w:szCs w:val="24"/>
        </w:rPr>
        <w:t>n de la structure de l’économie</w:t>
      </w:r>
      <w:r w:rsidRPr="00CA196C">
        <w:rPr>
          <w:rFonts w:ascii="Bookman Old Style" w:hAnsi="Bookman Old Style" w:cs="Times New Roman"/>
          <w:sz w:val="24"/>
          <w:szCs w:val="24"/>
        </w:rPr>
        <w:t xml:space="preserve"> burundaise  montre qu’elle</w:t>
      </w:r>
      <w:r w:rsidR="00EF2A17" w:rsidRPr="00CA196C">
        <w:rPr>
          <w:rFonts w:ascii="Bookman Old Style" w:hAnsi="Bookman Old Style" w:cs="Times New Roman"/>
          <w:sz w:val="24"/>
          <w:szCs w:val="24"/>
        </w:rPr>
        <w:t xml:space="preserve"> n’est pas</w:t>
      </w:r>
      <w:r w:rsidRPr="00CA196C">
        <w:rPr>
          <w:rFonts w:ascii="Bookman Old Style" w:hAnsi="Bookman Old Style" w:cs="Times New Roman"/>
          <w:sz w:val="24"/>
          <w:szCs w:val="24"/>
        </w:rPr>
        <w:t xml:space="preserve"> restée  rigide</w:t>
      </w:r>
      <w:r w:rsidR="00FF06B9" w:rsidRPr="00CA196C">
        <w:rPr>
          <w:rFonts w:ascii="Bookman Old Style" w:hAnsi="Bookman Old Style" w:cs="Times New Roman"/>
          <w:sz w:val="24"/>
          <w:szCs w:val="24"/>
        </w:rPr>
        <w:t>.</w:t>
      </w:r>
      <w:r w:rsidR="00DF0DC9" w:rsidRPr="00CA196C">
        <w:rPr>
          <w:rFonts w:ascii="Bookman Old Style" w:hAnsi="Bookman Old Style" w:cs="Times New Roman"/>
          <w:sz w:val="24"/>
          <w:szCs w:val="24"/>
        </w:rPr>
        <w:t xml:space="preserve"> </w:t>
      </w:r>
      <w:r w:rsidR="00FF06B9" w:rsidRPr="00CA196C">
        <w:rPr>
          <w:rFonts w:ascii="Bookman Old Style" w:hAnsi="Bookman Old Style" w:cs="Times New Roman"/>
          <w:sz w:val="24"/>
          <w:szCs w:val="24"/>
        </w:rPr>
        <w:t>U</w:t>
      </w:r>
      <w:r w:rsidRPr="00CA196C">
        <w:rPr>
          <w:rFonts w:ascii="Bookman Old Style" w:hAnsi="Bookman Old Style" w:cs="Times New Roman"/>
          <w:sz w:val="24"/>
          <w:szCs w:val="24"/>
        </w:rPr>
        <w:t xml:space="preserve">ne baisse progressive du poids du secteur agricole dans le PIB s’observe depuis </w:t>
      </w:r>
      <w:r w:rsidR="00FF06B9" w:rsidRPr="00CA196C">
        <w:rPr>
          <w:rFonts w:ascii="Bookman Old Style" w:hAnsi="Bookman Old Style" w:cs="Times New Roman"/>
          <w:sz w:val="24"/>
          <w:szCs w:val="24"/>
        </w:rPr>
        <w:t>2007</w:t>
      </w:r>
      <w:r w:rsidRPr="00CA196C">
        <w:rPr>
          <w:rFonts w:ascii="Bookman Old Style" w:hAnsi="Bookman Old Style" w:cs="Times New Roman"/>
          <w:sz w:val="24"/>
          <w:szCs w:val="24"/>
        </w:rPr>
        <w:t xml:space="preserve"> au profit du secteur tertiaire qui prend de plus en plus du poids</w:t>
      </w:r>
      <w:r w:rsidR="00EF2A17" w:rsidRPr="00CA196C">
        <w:rPr>
          <w:rFonts w:ascii="Bookman Old Style" w:hAnsi="Bookman Old Style" w:cs="Times New Roman"/>
          <w:sz w:val="24"/>
          <w:szCs w:val="24"/>
        </w:rPr>
        <w:t xml:space="preserve"> (plus de 40% du PIB)</w:t>
      </w:r>
      <w:r w:rsidRPr="00CA196C">
        <w:rPr>
          <w:rFonts w:ascii="Bookman Old Style" w:hAnsi="Bookman Old Style" w:cs="Times New Roman"/>
          <w:sz w:val="24"/>
          <w:szCs w:val="24"/>
        </w:rPr>
        <w:t>.</w:t>
      </w:r>
    </w:p>
    <w:p w:rsidR="001F0F96" w:rsidRPr="00CA196C" w:rsidRDefault="001F0F96" w:rsidP="001F0F96">
      <w:pPr>
        <w:spacing w:before="160" w:after="120" w:line="240" w:lineRule="auto"/>
        <w:contextualSpacing/>
        <w:jc w:val="both"/>
        <w:rPr>
          <w:rFonts w:ascii="Bookman Old Style" w:hAnsi="Bookman Old Style" w:cs="Times New Roman"/>
          <w:sz w:val="24"/>
          <w:szCs w:val="24"/>
        </w:rPr>
      </w:pPr>
    </w:p>
    <w:p w:rsidR="00DE3A23" w:rsidRPr="00CA196C" w:rsidRDefault="00DE3A23" w:rsidP="00BD2775">
      <w:pPr>
        <w:pStyle w:val="Titre3"/>
        <w:rPr>
          <w:rFonts w:ascii="Bookman Old Style" w:hAnsi="Bookman Old Style"/>
        </w:rPr>
      </w:pPr>
      <w:bookmarkStart w:id="27" w:name="_Toc511076171"/>
      <w:bookmarkStart w:id="28" w:name="_Toc511080854"/>
      <w:bookmarkStart w:id="29" w:name="_Toc511081373"/>
      <w:bookmarkStart w:id="30" w:name="_Toc511081530"/>
      <w:r w:rsidRPr="00CA196C">
        <w:rPr>
          <w:rFonts w:ascii="Bookman Old Style" w:hAnsi="Bookman Old Style"/>
        </w:rPr>
        <w:t>2.3.1. Problématique de la transformation structurelle de l’économie du Burundi</w:t>
      </w:r>
      <w:bookmarkEnd w:id="27"/>
      <w:bookmarkEnd w:id="28"/>
      <w:bookmarkEnd w:id="29"/>
      <w:bookmarkEnd w:id="30"/>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   processus de   transformation   de l’économie   du   Burundi   reste   confronté   à  plusieurs    faiblesses et contraintes structurelles.  D’une part, les  faiblesses  relevées  sont notamment:  (i)  l’essoufflement  du  potentiel de production</w:t>
      </w:r>
      <w:r w:rsidR="00561C20"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(ii) la faible</w:t>
      </w:r>
      <w:r w:rsidR="00EF2A17" w:rsidRPr="00CA196C">
        <w:rPr>
          <w:rStyle w:val="Appelnotedebasdep"/>
          <w:rFonts w:ascii="Bookman Old Style" w:hAnsi="Bookman Old Style" w:cs="Times New Roman"/>
          <w:sz w:val="24"/>
          <w:szCs w:val="24"/>
        </w:rPr>
        <w:footnoteReference w:id="3"/>
      </w:r>
      <w:r w:rsidRPr="00CA196C">
        <w:rPr>
          <w:rFonts w:ascii="Bookman Old Style" w:hAnsi="Bookman Old Style" w:cs="Times New Roman"/>
          <w:sz w:val="24"/>
          <w:szCs w:val="24"/>
        </w:rPr>
        <w:t xml:space="preserve"> diversificatio</w:t>
      </w:r>
      <w:r w:rsidR="00EF2A17" w:rsidRPr="00CA196C">
        <w:rPr>
          <w:rFonts w:ascii="Bookman Old Style" w:hAnsi="Bookman Old Style" w:cs="Times New Roman"/>
          <w:sz w:val="24"/>
          <w:szCs w:val="24"/>
        </w:rPr>
        <w:t xml:space="preserve">n de la  structure  productive, </w:t>
      </w:r>
      <w:r w:rsidRPr="00CA196C">
        <w:rPr>
          <w:rFonts w:ascii="Bookman Old Style" w:hAnsi="Bookman Old Style" w:cs="Times New Roman"/>
          <w:sz w:val="24"/>
          <w:szCs w:val="24"/>
        </w:rPr>
        <w:t>(iii)  la  faiblesse  des  taux  d’investissement public  et  privé</w:t>
      </w:r>
      <w:r w:rsidR="00561C20"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(iv) l’intégration  insuffisante des secteurs agricole et industriel avec pour corollaire l’absence d’articulation entre zone  rurale  et  zone  urbaine ; (v) la faible  productivité de l’agriculture largement dominée par des technologies traditionnelles; (vi) l’insuffisance des infrastructures économiques, (vii) le double déficit structurel des finances publiques et de la balance  des  paiements</w:t>
      </w:r>
      <w:r w:rsidR="00561C20"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(viii) les déséquilibres du marché de travail </w:t>
      </w:r>
      <w:r w:rsidRPr="00CA196C">
        <w:rPr>
          <w:rFonts w:ascii="Bookman Old Style" w:hAnsi="Bookman Old Style" w:cs="Times New Roman"/>
          <w:sz w:val="24"/>
          <w:szCs w:val="24"/>
        </w:rPr>
        <w:lastRenderedPageBreak/>
        <w:t>dominé par l’emploi  informel et un sous-emploi prépondérant</w:t>
      </w:r>
      <w:r w:rsidR="00561C2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la persistance de la pauvreté et l’aggravation des inégalités socio-économiques et (x) le faible développement du  secteur  privé  avec  une prééminence  du  secteur  informel.</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DE3A23" w:rsidRPr="00CA196C" w:rsidRDefault="006F42D1" w:rsidP="00CD26FF">
      <w:pPr>
        <w:numPr>
          <w:ilvl w:val="0"/>
          <w:numId w:val="5"/>
        </w:numPr>
        <w:spacing w:before="160" w:after="120" w:line="240" w:lineRule="auto"/>
        <w:contextualSpacing/>
        <w:jc w:val="both"/>
        <w:rPr>
          <w:rFonts w:ascii="Bookman Old Style" w:hAnsi="Bookman Old Style" w:cs="Times New Roman"/>
          <w:i/>
          <w:sz w:val="24"/>
          <w:szCs w:val="24"/>
        </w:rPr>
      </w:pPr>
      <w:r w:rsidRPr="00CA196C">
        <w:rPr>
          <w:rFonts w:ascii="Bookman Old Style" w:hAnsi="Bookman Old Style" w:cs="Times New Roman"/>
          <w:sz w:val="24"/>
          <w:szCs w:val="24"/>
        </w:rPr>
        <w:t>En outre</w:t>
      </w:r>
      <w:r w:rsidR="00EF2A17" w:rsidRPr="00CA196C">
        <w:rPr>
          <w:rFonts w:ascii="Bookman Old Style" w:hAnsi="Bookman Old Style" w:cs="Times New Roman"/>
          <w:sz w:val="24"/>
          <w:szCs w:val="24"/>
        </w:rPr>
        <w:t xml:space="preserve">, </w:t>
      </w:r>
      <w:r w:rsidR="00DE3A23" w:rsidRPr="00CA196C">
        <w:rPr>
          <w:rFonts w:ascii="Bookman Old Style" w:hAnsi="Bookman Old Style" w:cs="Times New Roman"/>
          <w:sz w:val="24"/>
          <w:szCs w:val="24"/>
        </w:rPr>
        <w:t>les contraintes majeures relevées pour la transformation structurelle de l’économie du Burundi sont: (i) la faible productivité agricole</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(ii) la grande vulnérabilité aux chocs externes</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(iii) le déficit en énergie électrique</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(iv) la démographie galopante</w:t>
      </w:r>
      <w:r w:rsidR="00EF2A17"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(v) la gestion de l’espace</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 xml:space="preserve"> (vi) le déficit des infrastructures de transport; (vii) la faiblesse du capital humain et (viii) le déficit en infrastructures </w:t>
      </w:r>
      <w:r w:rsidR="00DE3A23" w:rsidRPr="00376768">
        <w:rPr>
          <w:rFonts w:ascii="Bookman Old Style" w:hAnsi="Bookman Old Style" w:cs="Times New Roman"/>
          <w:sz w:val="24"/>
          <w:szCs w:val="24"/>
        </w:rPr>
        <w:t>des</w:t>
      </w:r>
      <w:r w:rsidR="00DE3A23" w:rsidRPr="00CA196C">
        <w:rPr>
          <w:rFonts w:ascii="Bookman Old Style" w:hAnsi="Bookman Old Style" w:cs="Times New Roman"/>
          <w:i/>
          <w:sz w:val="24"/>
          <w:szCs w:val="24"/>
        </w:rPr>
        <w:t xml:space="preserve"> </w:t>
      </w:r>
      <w:r w:rsidR="002D2DD4">
        <w:rPr>
          <w:rStyle w:val="Accentuation"/>
          <w:rFonts w:ascii="Bookman Old Style" w:hAnsi="Bookman Old Style" w:cs="Times New Roman"/>
          <w:i w:val="0"/>
          <w:sz w:val="24"/>
          <w:szCs w:val="24"/>
        </w:rPr>
        <w:t>Technologies de l'Information et de la C</w:t>
      </w:r>
      <w:r w:rsidRPr="00CA196C">
        <w:rPr>
          <w:rStyle w:val="Accentuation"/>
          <w:rFonts w:ascii="Bookman Old Style" w:hAnsi="Bookman Old Style" w:cs="Times New Roman"/>
          <w:i w:val="0"/>
          <w:sz w:val="24"/>
          <w:szCs w:val="24"/>
        </w:rPr>
        <w:t>ommunication</w:t>
      </w:r>
      <w:r w:rsidRPr="00CA196C">
        <w:rPr>
          <w:rFonts w:ascii="Bookman Old Style" w:hAnsi="Bookman Old Style" w:cs="Times New Roman"/>
          <w:i/>
          <w:sz w:val="24"/>
          <w:szCs w:val="24"/>
        </w:rPr>
        <w:t xml:space="preserve"> </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TIC</w:t>
      </w:r>
      <w:r w:rsidRPr="00CA196C">
        <w:rPr>
          <w:rFonts w:ascii="Bookman Old Style" w:hAnsi="Bookman Old Style" w:cs="Times New Roman"/>
          <w:sz w:val="24"/>
          <w:szCs w:val="24"/>
        </w:rPr>
        <w:t>)</w:t>
      </w:r>
      <w:r w:rsidR="00DE3A23" w:rsidRPr="00CA196C">
        <w:rPr>
          <w:rFonts w:ascii="Bookman Old Style" w:hAnsi="Bookman Old Style" w:cs="Times New Roman"/>
          <w:sz w:val="24"/>
          <w:szCs w:val="24"/>
        </w:rPr>
        <w:t>.</w:t>
      </w:r>
      <w:r w:rsidR="00DE3A23" w:rsidRPr="00CA196C">
        <w:rPr>
          <w:rFonts w:ascii="Bookman Old Style" w:hAnsi="Bookman Old Style" w:cs="Times New Roman"/>
          <w:i/>
          <w:sz w:val="24"/>
          <w:szCs w:val="24"/>
        </w:rPr>
        <w:t xml:space="preserve"> </w:t>
      </w:r>
    </w:p>
    <w:p w:rsidR="00DE3A23" w:rsidRPr="00CA196C" w:rsidRDefault="00DE3A23" w:rsidP="00BD2775">
      <w:pPr>
        <w:pStyle w:val="Titre3"/>
        <w:rPr>
          <w:rFonts w:ascii="Bookman Old Style" w:hAnsi="Bookman Old Style"/>
        </w:rPr>
      </w:pPr>
      <w:bookmarkStart w:id="31" w:name="_Toc511076172"/>
      <w:bookmarkStart w:id="32" w:name="_Toc511080855"/>
      <w:bookmarkStart w:id="33" w:name="_Toc511081374"/>
      <w:bookmarkStart w:id="34" w:name="_Toc511081531"/>
      <w:r w:rsidRPr="00CA196C">
        <w:rPr>
          <w:rFonts w:ascii="Bookman Old Style" w:hAnsi="Bookman Old Style"/>
        </w:rPr>
        <w:t>2.3.2. Leviers de la transformation structurelle de l’économie</w:t>
      </w:r>
      <w:bookmarkEnd w:id="31"/>
      <w:bookmarkEnd w:id="32"/>
      <w:bookmarkEnd w:id="33"/>
      <w:bookmarkEnd w:id="34"/>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 relèvement des défis ci-haut cités permettra d’améliorer la structure de l’économie burundaise, inverser sa tendance et permettre de l’inscrire sur la trajectoire des économies émergentes. C’est pour cette raison que les principaux leviers de la transformation structurelle devront concilier</w:t>
      </w:r>
      <w:r w:rsidR="00FD274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dans une approche bien intégrée</w:t>
      </w:r>
      <w:r w:rsidR="00FD274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les différents défis susmentionnés, les atouts et les opportunités </w:t>
      </w:r>
      <w:r w:rsidR="00FD274F" w:rsidRPr="00CA196C">
        <w:rPr>
          <w:rFonts w:ascii="Bookman Old Style" w:hAnsi="Bookman Old Style" w:cs="Times New Roman"/>
          <w:sz w:val="24"/>
          <w:szCs w:val="24"/>
        </w:rPr>
        <w:t xml:space="preserve">de l’économie burundaise </w:t>
      </w:r>
      <w:r w:rsidRPr="00CA196C">
        <w:rPr>
          <w:rFonts w:ascii="Bookman Old Style" w:hAnsi="Bookman Old Style" w:cs="Times New Roman"/>
          <w:sz w:val="24"/>
          <w:szCs w:val="24"/>
        </w:rPr>
        <w:t>pour de meilleures perspectives à moyen et à long termes.</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814BFC" w:rsidRPr="00CA196C" w:rsidRDefault="00DE3A23" w:rsidP="00F11DB4">
      <w:pPr>
        <w:numPr>
          <w:ilvl w:val="0"/>
          <w:numId w:val="5"/>
        </w:numPr>
        <w:spacing w:before="160" w:after="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La transformation structurelle de l’économie s’appuiera sur le développement des projets et programmes des secteurs porteurs de croissance pour </w:t>
      </w:r>
      <w:r w:rsidR="00376768">
        <w:rPr>
          <w:rFonts w:ascii="Bookman Old Style" w:hAnsi="Bookman Old Style" w:cs="Times New Roman"/>
          <w:sz w:val="24"/>
          <w:szCs w:val="24"/>
        </w:rPr>
        <w:t>impulser</w:t>
      </w:r>
      <w:r w:rsidRPr="00CA196C">
        <w:rPr>
          <w:rFonts w:ascii="Bookman Old Style" w:hAnsi="Bookman Old Style" w:cs="Times New Roman"/>
          <w:sz w:val="24"/>
          <w:szCs w:val="24"/>
        </w:rPr>
        <w:t xml:space="preserve"> les exportations, la création d’emplois, l’inclusion sociale et l’attraction des Investissements Directs Etrangers (IDE).  </w:t>
      </w:r>
      <w:r w:rsidR="002C3829" w:rsidRPr="00CA196C">
        <w:rPr>
          <w:rFonts w:ascii="Bookman Old Style" w:hAnsi="Bookman Old Style" w:cs="Times New Roman"/>
          <w:sz w:val="24"/>
          <w:szCs w:val="24"/>
        </w:rPr>
        <w:t>Ces programmes et projets porteront sur 11 secteurs représentés par l</w:t>
      </w:r>
      <w:r w:rsidR="00457326" w:rsidRPr="00CA196C">
        <w:rPr>
          <w:rFonts w:ascii="Bookman Old Style" w:hAnsi="Bookman Old Style" w:cs="Times New Roman"/>
          <w:sz w:val="24"/>
          <w:szCs w:val="24"/>
        </w:rPr>
        <w:t>a</w:t>
      </w:r>
      <w:r w:rsidR="00793441" w:rsidRPr="00CA196C">
        <w:rPr>
          <w:rFonts w:ascii="Bookman Old Style" w:hAnsi="Bookman Old Style" w:cs="Times New Roman"/>
          <w:sz w:val="24"/>
          <w:szCs w:val="24"/>
        </w:rPr>
        <w:t xml:space="preserve"> </w:t>
      </w:r>
      <w:r w:rsidR="00457326" w:rsidRPr="00CA196C">
        <w:rPr>
          <w:rFonts w:ascii="Bookman Old Style" w:hAnsi="Bookman Old Style" w:cs="Times New Roman"/>
          <w:sz w:val="24"/>
          <w:szCs w:val="24"/>
        </w:rPr>
        <w:t xml:space="preserve">figure </w:t>
      </w:r>
      <w:r w:rsidR="002C3829" w:rsidRPr="00CA196C">
        <w:rPr>
          <w:rFonts w:ascii="Bookman Old Style" w:hAnsi="Bookman Old Style" w:cs="Times New Roman"/>
          <w:sz w:val="24"/>
          <w:szCs w:val="24"/>
        </w:rPr>
        <w:t xml:space="preserve">ci-après. </w:t>
      </w:r>
    </w:p>
    <w:p w:rsidR="00814BFC" w:rsidRPr="00CA196C" w:rsidRDefault="00814BFC" w:rsidP="008C3209">
      <w:pPr>
        <w:pStyle w:val="Paragraphedeliste"/>
        <w:rPr>
          <w:rFonts w:ascii="Bookman Old Style" w:hAnsi="Bookman Old Style" w:cs="Times New Roman"/>
          <w:sz w:val="24"/>
          <w:szCs w:val="24"/>
        </w:rPr>
      </w:pPr>
    </w:p>
    <w:p w:rsidR="00F11DB4" w:rsidRDefault="00F11DB4">
      <w:pPr>
        <w:rPr>
          <w:rFonts w:ascii="Bookman Old Style" w:hAnsi="Bookman Old Style" w:cs="Times New Roman"/>
          <w:b/>
          <w:sz w:val="24"/>
          <w:szCs w:val="24"/>
        </w:rPr>
      </w:pPr>
      <w:r>
        <w:rPr>
          <w:rFonts w:ascii="Bookman Old Style" w:hAnsi="Bookman Old Style" w:cs="Times New Roman"/>
          <w:b/>
          <w:sz w:val="24"/>
          <w:szCs w:val="24"/>
        </w:rPr>
        <w:br w:type="page"/>
      </w:r>
    </w:p>
    <w:p w:rsidR="00F90186" w:rsidRPr="00CA196C" w:rsidRDefault="00F90186" w:rsidP="00376768">
      <w:pPr>
        <w:spacing w:after="120" w:line="240" w:lineRule="auto"/>
        <w:contextualSpacing/>
        <w:jc w:val="both"/>
        <w:rPr>
          <w:rFonts w:ascii="Bookman Old Style" w:hAnsi="Bookman Old Style" w:cs="Times New Roman"/>
          <w:b/>
          <w:sz w:val="24"/>
          <w:szCs w:val="24"/>
        </w:rPr>
      </w:pPr>
      <w:r w:rsidRPr="00CA196C">
        <w:rPr>
          <w:rFonts w:ascii="Bookman Old Style" w:hAnsi="Bookman Old Style" w:cs="Times New Roman"/>
          <w:b/>
          <w:sz w:val="24"/>
          <w:szCs w:val="24"/>
        </w:rPr>
        <w:lastRenderedPageBreak/>
        <w:t>Figure</w:t>
      </w:r>
      <w:r w:rsidR="00486E89" w:rsidRPr="00CA196C">
        <w:rPr>
          <w:rFonts w:ascii="Bookman Old Style" w:hAnsi="Bookman Old Style" w:cs="Times New Roman"/>
          <w:b/>
          <w:sz w:val="24"/>
          <w:szCs w:val="24"/>
        </w:rPr>
        <w:t xml:space="preserve"> </w:t>
      </w:r>
      <w:r w:rsidRPr="00CA196C">
        <w:rPr>
          <w:rFonts w:ascii="Bookman Old Style" w:hAnsi="Bookman Old Style" w:cs="Times New Roman"/>
          <w:b/>
          <w:sz w:val="24"/>
          <w:szCs w:val="24"/>
        </w:rPr>
        <w:t>1 : Secteurs piliers de la transformation structurelle de l’économie du Burundi</w:t>
      </w:r>
    </w:p>
    <w:p w:rsidR="00486E89" w:rsidRPr="00CA196C" w:rsidRDefault="00486E89" w:rsidP="00FF2D50">
      <w:pPr>
        <w:spacing w:before="160" w:after="120" w:line="240" w:lineRule="auto"/>
        <w:contextualSpacing/>
        <w:jc w:val="both"/>
        <w:rPr>
          <w:rFonts w:ascii="Bookman Old Style" w:hAnsi="Bookman Old Style" w:cs="Times New Roman"/>
          <w:sz w:val="24"/>
          <w:szCs w:val="24"/>
        </w:rPr>
      </w:pPr>
    </w:p>
    <w:p w:rsidR="00457326" w:rsidRPr="00CA196C" w:rsidRDefault="00457326" w:rsidP="00376768">
      <w:pPr>
        <w:keepNext/>
        <w:spacing w:after="120" w:line="240" w:lineRule="auto"/>
        <w:contextualSpacing/>
        <w:jc w:val="both"/>
        <w:rPr>
          <w:rFonts w:ascii="Bookman Old Style" w:hAnsi="Bookman Old Style" w:cs="Times New Roman"/>
        </w:rPr>
      </w:pPr>
      <w:r w:rsidRPr="00CA196C">
        <w:rPr>
          <w:rFonts w:ascii="Bookman Old Style" w:hAnsi="Bookman Old Style" w:cs="Times New Roman"/>
          <w:noProof/>
          <w:shd w:val="clear" w:color="auto" w:fill="EAF1DD" w:themeFill="accent3" w:themeFillTint="33"/>
          <w:lang w:eastAsia="fr-FR"/>
        </w:rPr>
        <w:drawing>
          <wp:inline distT="0" distB="0" distL="0" distR="0">
            <wp:extent cx="5683910" cy="3233319"/>
            <wp:effectExtent l="38100" t="0" r="0" b="0"/>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05481" w:rsidRPr="00CA196C" w:rsidRDefault="00705481" w:rsidP="00202DAD">
      <w:pPr>
        <w:spacing w:before="160" w:after="120" w:line="240" w:lineRule="auto"/>
        <w:contextualSpacing/>
        <w:jc w:val="both"/>
        <w:rPr>
          <w:rFonts w:ascii="Bookman Old Style" w:hAnsi="Bookman Old Style" w:cs="Times New Roman"/>
          <w:sz w:val="24"/>
          <w:szCs w:val="24"/>
        </w:rPr>
      </w:pPr>
    </w:p>
    <w:p w:rsidR="00486E89" w:rsidRPr="00CA196C" w:rsidRDefault="00486E89" w:rsidP="00CD26FF">
      <w:pPr>
        <w:numPr>
          <w:ilvl w:val="0"/>
          <w:numId w:val="5"/>
        </w:numPr>
        <w:spacing w:before="160" w:after="120" w:line="240" w:lineRule="auto"/>
        <w:ind w:left="502"/>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Avec le </w:t>
      </w:r>
      <w:r w:rsidR="000920EC" w:rsidRPr="00CA196C">
        <w:rPr>
          <w:rFonts w:ascii="Bookman Old Style" w:hAnsi="Bookman Old Style" w:cs="Times New Roman"/>
          <w:sz w:val="24"/>
          <w:szCs w:val="24"/>
        </w:rPr>
        <w:t>PND BURUNDI 2018-2027</w:t>
      </w:r>
      <w:r w:rsidRPr="00CA196C">
        <w:rPr>
          <w:rFonts w:ascii="Bookman Old Style" w:hAnsi="Bookman Old Style" w:cs="Times New Roman"/>
          <w:sz w:val="24"/>
          <w:szCs w:val="24"/>
        </w:rPr>
        <w:t xml:space="preserve">, la transformation de la structure de l’économie </w:t>
      </w:r>
      <w:r w:rsidR="00376768">
        <w:rPr>
          <w:rFonts w:ascii="Bookman Old Style" w:hAnsi="Bookman Old Style" w:cs="Times New Roman"/>
          <w:sz w:val="24"/>
          <w:szCs w:val="24"/>
        </w:rPr>
        <w:t xml:space="preserve">se fait </w:t>
      </w:r>
      <w:r w:rsidRPr="00CA196C">
        <w:rPr>
          <w:rFonts w:ascii="Bookman Old Style" w:hAnsi="Bookman Old Style" w:cs="Times New Roman"/>
          <w:sz w:val="24"/>
          <w:szCs w:val="24"/>
        </w:rPr>
        <w:t>à partir de</w:t>
      </w:r>
      <w:r w:rsidR="00422331" w:rsidRPr="00CA196C">
        <w:rPr>
          <w:rFonts w:ascii="Bookman Old Style" w:hAnsi="Bookman Old Style" w:cs="Times New Roman"/>
          <w:sz w:val="24"/>
          <w:szCs w:val="24"/>
        </w:rPr>
        <w:t xml:space="preserve"> 11 piliers </w:t>
      </w:r>
      <w:r w:rsidRPr="00CA196C">
        <w:rPr>
          <w:rFonts w:ascii="Bookman Old Style" w:hAnsi="Bookman Old Style" w:cs="Times New Roman"/>
          <w:sz w:val="24"/>
          <w:szCs w:val="24"/>
        </w:rPr>
        <w:t>ci-après :</w:t>
      </w:r>
    </w:p>
    <w:p w:rsidR="00422331" w:rsidRPr="00CA196C" w:rsidRDefault="00DE3A23" w:rsidP="00CD26FF">
      <w:pPr>
        <w:pStyle w:val="Paragraphedeliste"/>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La modernisation de l’agriculture</w:t>
      </w:r>
      <w:r w:rsidR="00073EAC" w:rsidRPr="00CA196C">
        <w:rPr>
          <w:rFonts w:ascii="Bookman Old Style" w:hAnsi="Bookman Old Style" w:cs="Times New Roman"/>
          <w:b/>
          <w:sz w:val="24"/>
          <w:szCs w:val="24"/>
        </w:rPr>
        <w:t xml:space="preserve"> : </w:t>
      </w:r>
      <w:r w:rsidR="00073EAC" w:rsidRPr="00CA196C">
        <w:rPr>
          <w:rFonts w:ascii="Bookman Old Style" w:hAnsi="Bookman Old Style" w:cs="Times New Roman"/>
          <w:sz w:val="24"/>
          <w:szCs w:val="24"/>
        </w:rPr>
        <w:t>c’e</w:t>
      </w:r>
      <w:r w:rsidRPr="00CA196C">
        <w:rPr>
          <w:rFonts w:ascii="Bookman Old Style" w:hAnsi="Bookman Old Style" w:cs="Times New Roman"/>
          <w:sz w:val="24"/>
          <w:szCs w:val="24"/>
        </w:rPr>
        <w:t>st une composante essentielle de la transformation de la structure de l’économie. Pour ce faire, elle devra se traduire par la régionalisation des cultures,</w:t>
      </w:r>
      <w:r w:rsidR="00ED1681"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la mécanisation de l’agriculture, la préservation des terres agricoles, la transformation de la production agricole, la stabulation permanente de l’élevage, la diversification des produits exportables, la gestion de l’eau de pluie, l’irrigation des marais, etc. </w:t>
      </w:r>
    </w:p>
    <w:p w:rsidR="00422331" w:rsidRPr="00CA196C" w:rsidRDefault="00422331" w:rsidP="00422331">
      <w:pPr>
        <w:pStyle w:val="Paragraphedeliste"/>
        <w:spacing w:before="160" w:after="120" w:line="240" w:lineRule="auto"/>
        <w:ind w:left="783"/>
        <w:jc w:val="both"/>
        <w:rPr>
          <w:rFonts w:ascii="Bookman Old Style" w:hAnsi="Bookman Old Style" w:cs="Times New Roman"/>
          <w:sz w:val="24"/>
          <w:szCs w:val="24"/>
        </w:rPr>
      </w:pPr>
    </w:p>
    <w:p w:rsidR="00422331" w:rsidRPr="00CA196C" w:rsidRDefault="00DE3A23" w:rsidP="00CD26FF">
      <w:pPr>
        <w:pStyle w:val="Paragraphedeliste"/>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L’accroissement de la product</w:t>
      </w:r>
      <w:r w:rsidR="00073EAC" w:rsidRPr="00CA196C">
        <w:rPr>
          <w:rFonts w:ascii="Bookman Old Style" w:hAnsi="Bookman Old Style" w:cs="Times New Roman"/>
          <w:b/>
          <w:sz w:val="24"/>
          <w:szCs w:val="24"/>
        </w:rPr>
        <w:t xml:space="preserve">ion énergétique: </w:t>
      </w:r>
      <w:r w:rsidRPr="00CA196C">
        <w:rPr>
          <w:rFonts w:ascii="Bookman Old Style" w:hAnsi="Bookman Old Style" w:cs="Times New Roman"/>
          <w:sz w:val="24"/>
          <w:szCs w:val="24"/>
        </w:rPr>
        <w:t>la construction, la réhabilitation et/ou extension des infrastructures énergét</w:t>
      </w:r>
      <w:r w:rsidR="00396725" w:rsidRPr="00CA196C">
        <w:rPr>
          <w:rFonts w:ascii="Bookman Old Style" w:hAnsi="Bookman Old Style" w:cs="Times New Roman"/>
          <w:sz w:val="24"/>
          <w:szCs w:val="24"/>
        </w:rPr>
        <w:t xml:space="preserve">iques est </w:t>
      </w:r>
      <w:r w:rsidR="00376768">
        <w:rPr>
          <w:rFonts w:ascii="Bookman Old Style" w:hAnsi="Bookman Old Style" w:cs="Times New Roman"/>
          <w:sz w:val="24"/>
          <w:szCs w:val="24"/>
        </w:rPr>
        <w:t>parmi les</w:t>
      </w:r>
      <w:r w:rsidR="00396725" w:rsidRPr="00CA196C">
        <w:rPr>
          <w:rFonts w:ascii="Bookman Old Style" w:hAnsi="Bookman Old Style" w:cs="Times New Roman"/>
          <w:sz w:val="24"/>
          <w:szCs w:val="24"/>
        </w:rPr>
        <w:t xml:space="preserve">  préalables à</w:t>
      </w:r>
      <w:r w:rsidRPr="00CA196C">
        <w:rPr>
          <w:rFonts w:ascii="Bookman Old Style" w:hAnsi="Bookman Old Style" w:cs="Times New Roman"/>
          <w:sz w:val="24"/>
          <w:szCs w:val="24"/>
        </w:rPr>
        <w:t xml:space="preserve"> la  transformation structurelle   durable   de   l’économie burundaise. La  maîtrise de la production  de  l’énergie  et  la diminution  de  son  coût constituent des facteurs favorisant le développement des activités transformatrices et de services. D’autres alternatives pour l’augmentation de la production énergétique sont: le développement de l’énergie solaire, de la biomasse et de l’énergie éolienne. Toutefois,  en  matière  d’énergie,  la  solution  durable  ne peut être que communautaire</w:t>
      </w:r>
      <w:r w:rsidR="00237FF7" w:rsidRPr="00CA196C">
        <w:rPr>
          <w:rFonts w:ascii="Bookman Old Style" w:hAnsi="Bookman Old Style" w:cs="Times New Roman"/>
          <w:sz w:val="24"/>
          <w:szCs w:val="24"/>
        </w:rPr>
        <w:t>;</w:t>
      </w:r>
      <w:r w:rsidR="00396725" w:rsidRPr="00CA196C">
        <w:rPr>
          <w:rFonts w:ascii="Bookman Old Style" w:hAnsi="Bookman Old Style" w:cs="Times New Roman"/>
          <w:sz w:val="24"/>
          <w:szCs w:val="24"/>
        </w:rPr>
        <w:t xml:space="preserve"> </w:t>
      </w:r>
      <w:r w:rsidR="00237FF7" w:rsidRPr="00CA196C">
        <w:rPr>
          <w:rFonts w:ascii="Bookman Old Style" w:hAnsi="Bookman Old Style" w:cs="Times New Roman"/>
          <w:sz w:val="24"/>
          <w:szCs w:val="24"/>
        </w:rPr>
        <w:t>l</w:t>
      </w:r>
      <w:r w:rsidRPr="00CA196C">
        <w:rPr>
          <w:rFonts w:ascii="Bookman Old Style" w:hAnsi="Bookman Old Style" w:cs="Times New Roman"/>
          <w:sz w:val="24"/>
          <w:szCs w:val="24"/>
        </w:rPr>
        <w:t xml:space="preserve">e Burundi doit développer la coopération Sud-Sud en matière d’investissement dans le secteur énergétique pour asseoir une </w:t>
      </w:r>
      <w:r w:rsidRPr="00E8577A">
        <w:rPr>
          <w:rFonts w:ascii="Bookman Old Style" w:hAnsi="Bookman Old Style" w:cs="Times New Roman"/>
          <w:sz w:val="24"/>
          <w:szCs w:val="24"/>
        </w:rPr>
        <w:t>approche</w:t>
      </w:r>
      <w:r w:rsidRPr="00CA196C">
        <w:rPr>
          <w:rFonts w:ascii="Bookman Old Style" w:hAnsi="Bookman Old Style" w:cs="Times New Roman"/>
          <w:sz w:val="24"/>
          <w:szCs w:val="24"/>
        </w:rPr>
        <w:t xml:space="preserve"> complémentaire et communautaire. </w:t>
      </w:r>
    </w:p>
    <w:p w:rsidR="00422331" w:rsidRPr="00CA196C" w:rsidRDefault="00422331" w:rsidP="00422331">
      <w:pPr>
        <w:pStyle w:val="Paragraphedeliste"/>
        <w:spacing w:before="160" w:after="120" w:line="240" w:lineRule="auto"/>
        <w:ind w:left="783"/>
        <w:jc w:val="both"/>
        <w:rPr>
          <w:rFonts w:ascii="Bookman Old Style" w:hAnsi="Bookman Old Style" w:cs="Times New Roman"/>
          <w:sz w:val="24"/>
          <w:szCs w:val="24"/>
        </w:rPr>
      </w:pPr>
    </w:p>
    <w:p w:rsidR="00422331" w:rsidRPr="00CA196C" w:rsidRDefault="00DE3A23" w:rsidP="00CD26FF">
      <w:pPr>
        <w:pStyle w:val="Paragraphedeliste"/>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L’amélioration de la connaissance basée sur la technologie et le savoir-faire</w:t>
      </w:r>
      <w:r w:rsidR="00073EAC" w:rsidRPr="00CA196C">
        <w:rPr>
          <w:rFonts w:ascii="Bookman Old Style" w:hAnsi="Bookman Old Style" w:cs="Times New Roman"/>
          <w:b/>
          <w:sz w:val="24"/>
          <w:szCs w:val="24"/>
        </w:rPr>
        <w:t xml:space="preserve"> : </w:t>
      </w:r>
      <w:r w:rsidR="00073EAC" w:rsidRPr="00CA196C">
        <w:rPr>
          <w:rFonts w:ascii="Bookman Old Style" w:hAnsi="Bookman Old Style" w:cs="Times New Roman"/>
          <w:sz w:val="24"/>
          <w:szCs w:val="24"/>
        </w:rPr>
        <w:t>ce pilier</w:t>
      </w:r>
      <w:r w:rsidRPr="00CA196C">
        <w:rPr>
          <w:rFonts w:ascii="Bookman Old Style" w:hAnsi="Bookman Old Style" w:cs="Times New Roman"/>
          <w:sz w:val="24"/>
          <w:szCs w:val="24"/>
        </w:rPr>
        <w:t xml:space="preserve"> s’inscrit dans la dynamique d’amélioration soutenue du capital humain et soutient la croissance par </w:t>
      </w:r>
      <w:r w:rsidRPr="00CA196C">
        <w:rPr>
          <w:rFonts w:ascii="Bookman Old Style" w:hAnsi="Bookman Old Style" w:cs="Times New Roman"/>
          <w:sz w:val="24"/>
          <w:szCs w:val="24"/>
        </w:rPr>
        <w:lastRenderedPageBreak/>
        <w:t xml:space="preserve">l’intermédiaire de la connaissance et de l’apprentissage. En outre, les investissements, surtout les IDE attendus dans les projets structurants, entraineront des externalités </w:t>
      </w:r>
      <w:r w:rsidR="008E29AD">
        <w:rPr>
          <w:rFonts w:ascii="Bookman Old Style" w:hAnsi="Bookman Old Style" w:cs="Times New Roman"/>
          <w:sz w:val="24"/>
          <w:szCs w:val="24"/>
        </w:rPr>
        <w:t xml:space="preserve">positives </w:t>
      </w:r>
      <w:r w:rsidRPr="00CA196C">
        <w:rPr>
          <w:rFonts w:ascii="Bookman Old Style" w:hAnsi="Bookman Old Style" w:cs="Times New Roman"/>
          <w:sz w:val="24"/>
          <w:szCs w:val="24"/>
        </w:rPr>
        <w:t xml:space="preserve">entre autres le transfert des technologies dont profiteront les autres secteurs. </w:t>
      </w:r>
    </w:p>
    <w:p w:rsidR="00422331" w:rsidRPr="00CA196C" w:rsidRDefault="00422331" w:rsidP="00422331">
      <w:pPr>
        <w:pStyle w:val="Paragraphedeliste"/>
        <w:rPr>
          <w:rFonts w:ascii="Bookman Old Style" w:hAnsi="Bookman Old Style" w:cs="Times New Roman"/>
          <w:b/>
          <w:sz w:val="24"/>
          <w:szCs w:val="24"/>
        </w:rPr>
      </w:pPr>
    </w:p>
    <w:p w:rsidR="00422331" w:rsidRPr="00CA196C" w:rsidRDefault="00DE3A23" w:rsidP="00CD26FF">
      <w:pPr>
        <w:pStyle w:val="Paragraphedeliste"/>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Le développement du secteur des ressources naturelles : </w:t>
      </w:r>
      <w:r w:rsidR="000F65A3">
        <w:rPr>
          <w:rFonts w:ascii="Bookman Old Style" w:hAnsi="Bookman Old Style" w:cs="Times New Roman"/>
          <w:sz w:val="24"/>
          <w:szCs w:val="24"/>
        </w:rPr>
        <w:t>é</w:t>
      </w:r>
      <w:r w:rsidRPr="00CA196C">
        <w:rPr>
          <w:rFonts w:ascii="Bookman Old Style" w:hAnsi="Bookman Old Style" w:cs="Times New Roman"/>
          <w:sz w:val="24"/>
          <w:szCs w:val="24"/>
        </w:rPr>
        <w:t>tant donné</w:t>
      </w:r>
      <w:r w:rsidRPr="00CA196C">
        <w:rPr>
          <w:rFonts w:ascii="Bookman Old Style" w:hAnsi="Bookman Old Style" w:cs="Times New Roman"/>
          <w:b/>
          <w:sz w:val="24"/>
          <w:szCs w:val="24"/>
        </w:rPr>
        <w:t xml:space="preserve"> </w:t>
      </w:r>
      <w:r w:rsidRPr="00CA196C">
        <w:rPr>
          <w:rFonts w:ascii="Bookman Old Style" w:hAnsi="Bookman Old Style" w:cs="Times New Roman"/>
          <w:sz w:val="24"/>
          <w:szCs w:val="24"/>
        </w:rPr>
        <w:t xml:space="preserve">le ratio relativement faible des compétences par rapport à l’emploi au Burundi, le pays a principalement besoin des agents qualifiés et des professionnels des métiers pour que s’opère une profonde transformation structurelle. </w:t>
      </w:r>
      <w:r w:rsidR="00237FF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La priorité doit être la mise en place d’une économie reposant sur les ressources naturelles diversifiées. Pour la réussite de cette approche, de bonnes politiques sont nécessaires.</w:t>
      </w:r>
    </w:p>
    <w:p w:rsidR="00422331" w:rsidRPr="00CA196C" w:rsidRDefault="00422331" w:rsidP="00422331">
      <w:pPr>
        <w:pStyle w:val="Paragraphedeliste"/>
        <w:rPr>
          <w:rFonts w:ascii="Bookman Old Style" w:hAnsi="Bookman Old Style" w:cs="Times New Roman"/>
          <w:b/>
          <w:sz w:val="24"/>
          <w:szCs w:val="24"/>
        </w:rPr>
      </w:pPr>
    </w:p>
    <w:p w:rsidR="00422331" w:rsidRPr="00CA196C" w:rsidRDefault="00DE3A23" w:rsidP="00CD26FF">
      <w:pPr>
        <w:pStyle w:val="Paragraphedeliste"/>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La diversification et la promotion d’une économie compétitive et saine </w:t>
      </w:r>
      <w:r w:rsidR="0075310C">
        <w:rPr>
          <w:rFonts w:ascii="Bookman Old Style" w:hAnsi="Bookman Old Style" w:cs="Times New Roman"/>
          <w:sz w:val="24"/>
          <w:szCs w:val="24"/>
        </w:rPr>
        <w:t>: l</w:t>
      </w:r>
      <w:r w:rsidRPr="00CA196C">
        <w:rPr>
          <w:rFonts w:ascii="Bookman Old Style" w:hAnsi="Bookman Old Style" w:cs="Times New Roman"/>
          <w:sz w:val="24"/>
          <w:szCs w:val="24"/>
        </w:rPr>
        <w:t xml:space="preserve">a structure actuelle de la production, dominée par l’agriculture rend l’économie très vulnérable et fragile </w:t>
      </w:r>
      <w:r w:rsidR="00E8577A">
        <w:rPr>
          <w:rFonts w:ascii="Bookman Old Style" w:hAnsi="Bookman Old Style" w:cs="Times New Roman"/>
          <w:sz w:val="24"/>
          <w:szCs w:val="24"/>
        </w:rPr>
        <w:t xml:space="preserve">suite </w:t>
      </w:r>
      <w:r w:rsidR="00E8577A" w:rsidRPr="00E8577A">
        <w:rPr>
          <w:rFonts w:ascii="Bookman Old Style" w:hAnsi="Bookman Old Style" w:cs="Times New Roman"/>
          <w:sz w:val="24"/>
          <w:szCs w:val="24"/>
        </w:rPr>
        <w:t xml:space="preserve">aux </w:t>
      </w:r>
      <w:r w:rsidRPr="00E8577A">
        <w:rPr>
          <w:rFonts w:ascii="Bookman Old Style" w:hAnsi="Bookman Old Style" w:cs="Times New Roman"/>
          <w:sz w:val="24"/>
          <w:szCs w:val="24"/>
        </w:rPr>
        <w:t xml:space="preserve"> aléas climatiques.</w:t>
      </w:r>
      <w:r w:rsidRPr="00CA196C">
        <w:rPr>
          <w:rFonts w:ascii="Bookman Old Style" w:hAnsi="Bookman Old Style" w:cs="Times New Roman"/>
          <w:sz w:val="24"/>
          <w:szCs w:val="24"/>
        </w:rPr>
        <w:t xml:space="preserve"> L’exploitation agricole concerne les cultures vivrières et les cultures d’exportation composées essentiellement de café et de thé dont les exportations sont très dépendantes des cours mondiaux et des fluctuations des récoltes. Le PND permettra de mettre en place un environnement favorable aux affaires notamment pour attirer des capitaux étrangers et promouvoir la compétitivité des produits burundais sur les marchés sous-régional, régional et international. A ce titre, de nouveaux produits d’exportation seront identifiés et développés.</w:t>
      </w:r>
    </w:p>
    <w:p w:rsidR="00422331" w:rsidRPr="00CA196C" w:rsidRDefault="00422331" w:rsidP="00422331">
      <w:pPr>
        <w:pStyle w:val="Paragraphedeliste"/>
        <w:rPr>
          <w:rFonts w:ascii="Bookman Old Style" w:hAnsi="Bookman Old Style" w:cs="Times New Roman"/>
          <w:b/>
          <w:sz w:val="24"/>
          <w:szCs w:val="24"/>
        </w:rPr>
      </w:pPr>
    </w:p>
    <w:p w:rsidR="00422331" w:rsidRPr="00CA196C" w:rsidRDefault="00DE3A23" w:rsidP="00CD26FF">
      <w:pPr>
        <w:pStyle w:val="Paragraphedeliste"/>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La création d’un environnement favorable à l’industrialisation: </w:t>
      </w:r>
      <w:r w:rsidRPr="00CA196C">
        <w:rPr>
          <w:rFonts w:ascii="Bookman Old Style" w:hAnsi="Bookman Old Style" w:cs="Times New Roman"/>
          <w:sz w:val="24"/>
          <w:szCs w:val="24"/>
        </w:rPr>
        <w:t>Le secteur de la transformation représente moins de 15% du PIB. Pour soutenir le secteur de la transformation et lui donner un rôle moteur dans le développement du pays, la finalisation et la mise en œuvre de la Politique Nationale de l’Industrie permettra au Burundi de se doter d’un tissu industriel dynamique et compétitif.  Cette industrialisation tournée vers les exportations devra s’orienter entre autres vers : (i) la mise en place de mesures d’appui pour la relance du secteur</w:t>
      </w:r>
      <w:r w:rsidR="009F626B"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promotion de l’industrialisation rurale et régionale et (i</w:t>
      </w:r>
      <w:r w:rsidR="009F626B" w:rsidRPr="00CA196C">
        <w:rPr>
          <w:rFonts w:ascii="Bookman Old Style" w:hAnsi="Bookman Old Style" w:cs="Times New Roman"/>
          <w:sz w:val="24"/>
          <w:szCs w:val="24"/>
        </w:rPr>
        <w:t>ii</w:t>
      </w:r>
      <w:r w:rsidRPr="00CA196C">
        <w:rPr>
          <w:rFonts w:ascii="Bookman Old Style" w:hAnsi="Bookman Old Style" w:cs="Times New Roman"/>
          <w:sz w:val="24"/>
          <w:szCs w:val="24"/>
        </w:rPr>
        <w:t>) l’évolution progressive de l’industrie permettant une plus forte valeur ajoutée.</w:t>
      </w:r>
    </w:p>
    <w:p w:rsidR="00422331" w:rsidRPr="00CA196C" w:rsidRDefault="00422331" w:rsidP="00422331">
      <w:pPr>
        <w:pStyle w:val="Paragraphedeliste"/>
        <w:rPr>
          <w:rFonts w:ascii="Bookman Old Style" w:hAnsi="Bookman Old Style" w:cs="Times New Roman"/>
          <w:b/>
          <w:sz w:val="24"/>
          <w:szCs w:val="24"/>
        </w:rPr>
      </w:pPr>
    </w:p>
    <w:p w:rsidR="001F0F96" w:rsidRDefault="00DE3A23" w:rsidP="001F0F96">
      <w:pPr>
        <w:pStyle w:val="Paragraphedeliste"/>
        <w:numPr>
          <w:ilvl w:val="0"/>
          <w:numId w:val="10"/>
        </w:numPr>
        <w:spacing w:before="160" w:after="120" w:line="240" w:lineRule="auto"/>
        <w:jc w:val="both"/>
        <w:rPr>
          <w:rFonts w:ascii="Bookman Old Style" w:hAnsi="Bookman Old Style" w:cs="Times New Roman"/>
          <w:sz w:val="24"/>
          <w:szCs w:val="24"/>
        </w:rPr>
      </w:pPr>
      <w:r w:rsidRPr="00007652">
        <w:rPr>
          <w:rFonts w:ascii="Bookman Old Style" w:hAnsi="Bookman Old Style" w:cs="Times New Roman"/>
          <w:b/>
          <w:sz w:val="24"/>
          <w:szCs w:val="24"/>
        </w:rPr>
        <w:t xml:space="preserve">Le renforcement du capital humain : </w:t>
      </w:r>
      <w:r w:rsidR="000F65A3" w:rsidRPr="00007652">
        <w:rPr>
          <w:rFonts w:ascii="Bookman Old Style" w:hAnsi="Bookman Old Style" w:cs="Times New Roman"/>
          <w:sz w:val="24"/>
          <w:szCs w:val="24"/>
        </w:rPr>
        <w:t>l</w:t>
      </w:r>
      <w:r w:rsidRPr="00007652">
        <w:rPr>
          <w:rFonts w:ascii="Bookman Old Style" w:hAnsi="Bookman Old Style" w:cs="Times New Roman"/>
          <w:sz w:val="24"/>
          <w:szCs w:val="24"/>
        </w:rPr>
        <w:t>e  double défi  de  la  croissance démographique  et  de  l'urbanisation  impose  une transformation   radicale   de   l’économie burundaise.  Fondée  sur  la  maîtrise  de l’énergie  et  la  levée  des  contraintes  à  l’industrialisation,  cette  transformation passera par une politique ambitieuse et volontariste d’information, d’éducation et de formation avec des standards   communautaires  de formation et  des  cursus  à contenus d’enseignement  en  adéquation   avec  les cursus de formation de l’EAC.</w:t>
      </w:r>
      <w:r w:rsidR="00D45BF0" w:rsidRPr="00007652">
        <w:rPr>
          <w:rFonts w:ascii="Bookman Old Style" w:hAnsi="Bookman Old Style" w:cs="Times New Roman"/>
          <w:sz w:val="24"/>
          <w:szCs w:val="24"/>
        </w:rPr>
        <w:t xml:space="preserve"> </w:t>
      </w:r>
    </w:p>
    <w:p w:rsidR="00007652" w:rsidRPr="00007652" w:rsidRDefault="00007652" w:rsidP="00007652">
      <w:pPr>
        <w:pStyle w:val="Paragraphedeliste"/>
        <w:rPr>
          <w:rFonts w:ascii="Bookman Old Style" w:hAnsi="Bookman Old Style" w:cs="Times New Roman"/>
          <w:sz w:val="24"/>
          <w:szCs w:val="24"/>
        </w:rPr>
      </w:pPr>
    </w:p>
    <w:p w:rsidR="00422331" w:rsidRPr="00CA196C" w:rsidRDefault="00DE3A23" w:rsidP="00CD26FF">
      <w:pPr>
        <w:pStyle w:val="Paragraphedeliste"/>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lastRenderedPageBreak/>
        <w:t xml:space="preserve">Le renforcement des infrastructures de transport, du commerce et des TIC : </w:t>
      </w:r>
      <w:r w:rsidR="00A30EB6">
        <w:rPr>
          <w:rFonts w:ascii="Bookman Old Style" w:hAnsi="Bookman Old Style" w:cs="Times New Roman"/>
          <w:sz w:val="24"/>
          <w:szCs w:val="24"/>
        </w:rPr>
        <w:t>l</w:t>
      </w:r>
      <w:r w:rsidRPr="00CA196C">
        <w:rPr>
          <w:rFonts w:ascii="Bookman Old Style" w:hAnsi="Bookman Old Style" w:cs="Times New Roman"/>
          <w:sz w:val="24"/>
          <w:szCs w:val="24"/>
        </w:rPr>
        <w:t>e secteur de transport est constitué de plusieurs domaines: les infrastructures routières, les services de transport routier, l</w:t>
      </w:r>
      <w:r w:rsidR="009F626B" w:rsidRPr="00CA196C">
        <w:rPr>
          <w:rFonts w:ascii="Bookman Old Style" w:hAnsi="Bookman Old Style" w:cs="Times New Roman"/>
          <w:sz w:val="24"/>
          <w:szCs w:val="24"/>
        </w:rPr>
        <w:t xml:space="preserve">e domaine lacustre et portuaire ; </w:t>
      </w:r>
      <w:r w:rsidRPr="00CA196C">
        <w:rPr>
          <w:rFonts w:ascii="Bookman Old Style" w:hAnsi="Bookman Old Style" w:cs="Times New Roman"/>
          <w:sz w:val="24"/>
          <w:szCs w:val="24"/>
        </w:rPr>
        <w:t>le domaine aérien</w:t>
      </w:r>
      <w:r w:rsidR="009F626B" w:rsidRPr="00CA196C">
        <w:rPr>
          <w:rFonts w:ascii="Bookman Old Style" w:hAnsi="Bookman Old Style" w:cs="Times New Roman"/>
          <w:sz w:val="24"/>
          <w:szCs w:val="24"/>
        </w:rPr>
        <w:t xml:space="preserve"> ainsi que le </w:t>
      </w:r>
      <w:r w:rsidR="00EA4C78" w:rsidRPr="00CA196C">
        <w:rPr>
          <w:rFonts w:ascii="Bookman Old Style" w:hAnsi="Bookman Old Style" w:cs="Times New Roman"/>
          <w:sz w:val="24"/>
          <w:szCs w:val="24"/>
        </w:rPr>
        <w:t>transport ferroviaire</w:t>
      </w:r>
      <w:r w:rsidRPr="00CA196C">
        <w:rPr>
          <w:rFonts w:ascii="Bookman Old Style" w:hAnsi="Bookman Old Style" w:cs="Times New Roman"/>
          <w:sz w:val="24"/>
          <w:szCs w:val="24"/>
        </w:rPr>
        <w:t>.</w:t>
      </w:r>
      <w:r w:rsidR="004729B9"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Le transport routier demeure cependant le mode dominant de transport intérieur des biens et des personnes. Il est assuré par un parc automobile sans cesse croissant grâce à l’importation des véhicules d’occasion. Ce parc est vieillissant et son état à l’importation explique la mauvaise qualité de l’offre de transport en général. </w:t>
      </w:r>
      <w:r w:rsidR="00EA4C78" w:rsidRPr="00CA196C">
        <w:rPr>
          <w:rFonts w:ascii="Bookman Old Style" w:hAnsi="Bookman Old Style" w:cs="Times New Roman"/>
          <w:sz w:val="24"/>
          <w:szCs w:val="24"/>
        </w:rPr>
        <w:t>Le</w:t>
      </w:r>
      <w:r w:rsidRPr="00CA196C">
        <w:rPr>
          <w:rFonts w:ascii="Bookman Old Style" w:hAnsi="Bookman Old Style" w:cs="Times New Roman"/>
          <w:sz w:val="24"/>
          <w:szCs w:val="24"/>
        </w:rPr>
        <w:t xml:space="preserve"> domaine lacustre et portuaire, les échanges commerciaux régionaux sont effectués par voie lacustre. Le domaine lacustre et portuaire devra jouer un rôle important dans le désenclavement de l’économie nationale. En outre, la situation géographique du Burundi par rapport à la République Démocratique du Congo (RDC) et aux autres pays riverains du lac Tanganyika le fait bénéficier sur le plan économique d’un vaste hinterland.</w:t>
      </w:r>
      <w:r w:rsidR="00EA4C78" w:rsidRPr="00CA196C">
        <w:rPr>
          <w:rFonts w:ascii="Bookman Old Style" w:hAnsi="Bookman Old Style" w:cs="Times New Roman"/>
          <w:sz w:val="24"/>
          <w:szCs w:val="24"/>
        </w:rPr>
        <w:t xml:space="preserve"> Quant au transport ferroviaire, il est en développement dans les pays de la sous-région et des projets de construction de chemins de fer sont en cours de préparation au Burundi. </w:t>
      </w:r>
    </w:p>
    <w:p w:rsidR="00422331" w:rsidRPr="00CA196C" w:rsidRDefault="00422331" w:rsidP="00422331">
      <w:pPr>
        <w:pStyle w:val="Paragraphedeliste"/>
        <w:spacing w:before="160" w:after="120" w:line="240" w:lineRule="auto"/>
        <w:ind w:left="783"/>
        <w:jc w:val="both"/>
        <w:rPr>
          <w:rFonts w:ascii="Bookman Old Style" w:hAnsi="Bookman Old Style" w:cs="Times New Roman"/>
          <w:sz w:val="24"/>
          <w:szCs w:val="24"/>
        </w:rPr>
      </w:pPr>
    </w:p>
    <w:p w:rsidR="00422331" w:rsidRDefault="00DE3A23" w:rsidP="00CD26FF">
      <w:pPr>
        <w:pStyle w:val="Paragraphedeliste"/>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La promotion du tourisme: </w:t>
      </w:r>
      <w:r w:rsidR="00A30EB6">
        <w:rPr>
          <w:rFonts w:ascii="Bookman Old Style" w:hAnsi="Bookman Old Style" w:cs="Times New Roman"/>
          <w:sz w:val="24"/>
          <w:szCs w:val="24"/>
        </w:rPr>
        <w:t>l</w:t>
      </w:r>
      <w:r w:rsidRPr="00CA196C">
        <w:rPr>
          <w:rFonts w:ascii="Bookman Old Style" w:hAnsi="Bookman Old Style" w:cs="Times New Roman"/>
          <w:sz w:val="24"/>
          <w:szCs w:val="24"/>
        </w:rPr>
        <w:t>e faible niveau de développement du tourisme résulte de la mauvaise qualité des infrastructures de base et équipements touristiques, de la faible structuration du produit touristique, de l’insuffisance de qualification professionnelle du personnel de la chaîne du tourisme et de l’absence de mesures incitatives spécifiques à l’investissement dans l’industrie touristique.</w:t>
      </w:r>
      <w:r w:rsidR="00906530"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Les atouts et potentialités existants dans le secteur du tourisme burundais sont : (i) le patrimoine culturel (matériel et immatériel)</w:t>
      </w:r>
      <w:r w:rsidR="00EA4C78" w:rsidRPr="00CA196C">
        <w:rPr>
          <w:rFonts w:ascii="Bookman Old Style" w:hAnsi="Bookman Old Style" w:cs="Times New Roman"/>
          <w:sz w:val="24"/>
          <w:szCs w:val="24"/>
        </w:rPr>
        <w:t> ;</w:t>
      </w:r>
      <w:r w:rsidR="00906530"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(ii) le patrimoine naturel</w:t>
      </w:r>
      <w:r w:rsidR="00EA4C78"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position géographique stratégique du Burundi</w:t>
      </w:r>
      <w:r w:rsidR="00EA4C78"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l’existence de nombreux sites touristiques</w:t>
      </w:r>
      <w:r w:rsidR="00EA4C78"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une main d’œuvre bon marché et (vi) une volonté politique de développement du tourisme. La mise en exploitation des ressources touristiques du Burundi permettra d’une part d’accroître son attractivité et de rapporter des revenus et des devises supplémentaires et, d’autre part, son rayonnement à l’international.</w:t>
      </w:r>
    </w:p>
    <w:p w:rsidR="00A30EB6" w:rsidRPr="00A30EB6" w:rsidRDefault="00A30EB6" w:rsidP="00A30EB6">
      <w:pPr>
        <w:pStyle w:val="Paragraphedeliste"/>
        <w:rPr>
          <w:rFonts w:ascii="Bookman Old Style" w:hAnsi="Bookman Old Style" w:cs="Times New Roman"/>
          <w:sz w:val="24"/>
          <w:szCs w:val="24"/>
        </w:rPr>
      </w:pPr>
    </w:p>
    <w:p w:rsidR="00595119" w:rsidRPr="00CA196C" w:rsidRDefault="00DE3A23" w:rsidP="000F65A3">
      <w:pPr>
        <w:pStyle w:val="Paragraphedeliste"/>
        <w:numPr>
          <w:ilvl w:val="0"/>
          <w:numId w:val="10"/>
        </w:numPr>
        <w:spacing w:after="120" w:line="240" w:lineRule="auto"/>
        <w:jc w:val="both"/>
        <w:rPr>
          <w:rFonts w:ascii="Bookman Old Style" w:hAnsi="Bookman Old Style" w:cs="Times New Roman"/>
          <w:b/>
          <w:sz w:val="24"/>
          <w:szCs w:val="24"/>
        </w:rPr>
      </w:pPr>
      <w:r w:rsidRPr="00CA196C">
        <w:rPr>
          <w:rFonts w:ascii="Bookman Old Style" w:eastAsia="Times New Roman" w:hAnsi="Bookman Old Style" w:cs="Times New Roman"/>
          <w:b/>
          <w:bCs/>
          <w:iCs/>
          <w:sz w:val="24"/>
          <w:szCs w:val="24"/>
          <w:lang w:eastAsia="fr-FR"/>
        </w:rPr>
        <w:t xml:space="preserve">Partenariats Public-Privé: </w:t>
      </w:r>
      <w:r w:rsidR="00007652">
        <w:rPr>
          <w:rFonts w:ascii="Bookman Old Style" w:eastAsia="Times New Roman" w:hAnsi="Bookman Old Style" w:cs="Times New Roman"/>
          <w:bCs/>
          <w:iCs/>
          <w:sz w:val="24"/>
          <w:szCs w:val="24"/>
          <w:lang w:eastAsia="fr-FR"/>
        </w:rPr>
        <w:t>p</w:t>
      </w:r>
      <w:r w:rsidRPr="00CA196C">
        <w:rPr>
          <w:rFonts w:ascii="Bookman Old Style" w:eastAsia="Times New Roman" w:hAnsi="Bookman Old Style" w:cs="Times New Roman"/>
          <w:bCs/>
          <w:iCs/>
          <w:sz w:val="24"/>
          <w:szCs w:val="24"/>
          <w:lang w:eastAsia="fr-FR"/>
        </w:rPr>
        <w:t xml:space="preserve">ar la loi n°1/14 du 27 avril 2015 portant </w:t>
      </w:r>
      <w:r w:rsidR="008E29AD">
        <w:rPr>
          <w:rFonts w:ascii="Bookman Old Style" w:eastAsia="Times New Roman" w:hAnsi="Bookman Old Style" w:cs="Times New Roman"/>
          <w:bCs/>
          <w:iCs/>
          <w:sz w:val="24"/>
          <w:szCs w:val="24"/>
          <w:lang w:eastAsia="fr-FR"/>
        </w:rPr>
        <w:t>régime général des contrats de Partenariats Public-P</w:t>
      </w:r>
      <w:r w:rsidRPr="00CA196C">
        <w:rPr>
          <w:rFonts w:ascii="Bookman Old Style" w:eastAsia="Times New Roman" w:hAnsi="Bookman Old Style" w:cs="Times New Roman"/>
          <w:bCs/>
          <w:iCs/>
          <w:sz w:val="24"/>
          <w:szCs w:val="24"/>
          <w:lang w:eastAsia="fr-FR"/>
        </w:rPr>
        <w:t>rivé</w:t>
      </w:r>
      <w:r w:rsidR="00595119" w:rsidRPr="00CA196C">
        <w:rPr>
          <w:rFonts w:ascii="Bookman Old Style" w:eastAsia="Times New Roman" w:hAnsi="Bookman Old Style" w:cs="Times New Roman"/>
          <w:bCs/>
          <w:iCs/>
          <w:sz w:val="24"/>
          <w:szCs w:val="24"/>
          <w:lang w:eastAsia="fr-FR"/>
        </w:rPr>
        <w:t xml:space="preserve"> (PPP)</w:t>
      </w:r>
      <w:r w:rsidRPr="00CA196C">
        <w:rPr>
          <w:rFonts w:ascii="Bookman Old Style" w:eastAsia="Times New Roman" w:hAnsi="Bookman Old Style" w:cs="Times New Roman"/>
          <w:bCs/>
          <w:iCs/>
          <w:sz w:val="24"/>
          <w:szCs w:val="24"/>
          <w:lang w:eastAsia="fr-FR"/>
        </w:rPr>
        <w:t xml:space="preserve"> et le décret n° 100/12 du 06 jan</w:t>
      </w:r>
      <w:r w:rsidR="008E29AD">
        <w:rPr>
          <w:rFonts w:ascii="Bookman Old Style" w:eastAsia="Times New Roman" w:hAnsi="Bookman Old Style" w:cs="Times New Roman"/>
          <w:bCs/>
          <w:iCs/>
          <w:sz w:val="24"/>
          <w:szCs w:val="24"/>
          <w:lang w:eastAsia="fr-FR"/>
        </w:rPr>
        <w:t>vier 2016 portant statuts de l’a</w:t>
      </w:r>
      <w:r w:rsidRPr="00CA196C">
        <w:rPr>
          <w:rFonts w:ascii="Bookman Old Style" w:eastAsia="Times New Roman" w:hAnsi="Bookman Old Style" w:cs="Times New Roman"/>
          <w:bCs/>
          <w:iCs/>
          <w:sz w:val="24"/>
          <w:szCs w:val="24"/>
          <w:lang w:eastAsia="fr-FR"/>
        </w:rPr>
        <w:t xml:space="preserve">gence d’appui à la réalisation des contrats de </w:t>
      </w:r>
      <w:r w:rsidR="00906530" w:rsidRPr="00CA196C">
        <w:rPr>
          <w:rFonts w:ascii="Bookman Old Style" w:eastAsia="Times New Roman" w:hAnsi="Bookman Old Style" w:cs="Times New Roman"/>
          <w:bCs/>
          <w:iCs/>
          <w:sz w:val="24"/>
          <w:szCs w:val="24"/>
          <w:lang w:eastAsia="fr-FR"/>
        </w:rPr>
        <w:t>PPP</w:t>
      </w:r>
      <w:r w:rsidRPr="00CA196C">
        <w:rPr>
          <w:rFonts w:ascii="Bookman Old Style" w:eastAsia="Times New Roman" w:hAnsi="Bookman Old Style" w:cs="Times New Roman"/>
          <w:bCs/>
          <w:iCs/>
          <w:sz w:val="24"/>
          <w:szCs w:val="24"/>
          <w:lang w:eastAsia="fr-FR"/>
        </w:rPr>
        <w:t>, « le Burundi s’est résolument engagé dans une dynamique de mise à niveau de ses infrastructures.</w:t>
      </w:r>
      <w:r w:rsidR="00595119" w:rsidRPr="00CA196C">
        <w:rPr>
          <w:rFonts w:ascii="Bookman Old Style" w:eastAsia="Times New Roman" w:hAnsi="Bookman Old Style" w:cs="Times New Roman"/>
          <w:bCs/>
          <w:iCs/>
          <w:sz w:val="24"/>
          <w:szCs w:val="24"/>
          <w:lang w:eastAsia="fr-FR"/>
        </w:rPr>
        <w:t xml:space="preserve"> En tant</w:t>
      </w:r>
      <w:r w:rsidR="00595119" w:rsidRPr="00CA196C">
        <w:rPr>
          <w:rStyle w:val="lev"/>
          <w:rFonts w:ascii="Bookman Old Style" w:hAnsi="Bookman Old Style" w:cs="Times New Roman"/>
          <w:b w:val="0"/>
          <w:iCs/>
          <w:sz w:val="24"/>
          <w:szCs w:val="24"/>
        </w:rPr>
        <w:t xml:space="preserve"> qu’une stratégie alternative de financement du développement efficace et potentiellement rentable sur le plan financier, les PPP seront développés pour faire face aux défis énormes dans le financement des infrastructures économiques et sociales et à la création d’emplois.</w:t>
      </w:r>
      <w:r w:rsidR="00595119" w:rsidRPr="00CA196C">
        <w:rPr>
          <w:rStyle w:val="lev"/>
          <w:rFonts w:ascii="Bookman Old Style" w:hAnsi="Bookman Old Style"/>
          <w:b w:val="0"/>
          <w:i/>
          <w:iCs/>
        </w:rPr>
        <w:t xml:space="preserve"> </w:t>
      </w:r>
    </w:p>
    <w:p w:rsidR="00422331" w:rsidRPr="00CA196C" w:rsidRDefault="00422331" w:rsidP="00422331">
      <w:pPr>
        <w:pStyle w:val="Paragraphedeliste"/>
        <w:spacing w:before="160" w:after="120" w:line="240" w:lineRule="auto"/>
        <w:ind w:left="783"/>
        <w:jc w:val="both"/>
        <w:rPr>
          <w:rFonts w:ascii="Bookman Old Style" w:hAnsi="Bookman Old Style" w:cs="Times New Roman"/>
          <w:sz w:val="24"/>
          <w:szCs w:val="24"/>
        </w:rPr>
      </w:pPr>
    </w:p>
    <w:p w:rsidR="00DE3A23" w:rsidRDefault="00DE3A23" w:rsidP="00CD26FF">
      <w:pPr>
        <w:pStyle w:val="Paragraphedeliste"/>
        <w:numPr>
          <w:ilvl w:val="0"/>
          <w:numId w:val="10"/>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L’intégration régionale et la coopération internationale: </w:t>
      </w:r>
      <w:r w:rsidR="00007652">
        <w:rPr>
          <w:rFonts w:ascii="Bookman Old Style" w:hAnsi="Bookman Old Style" w:cs="Times New Roman"/>
          <w:sz w:val="24"/>
          <w:szCs w:val="24"/>
        </w:rPr>
        <w:t>l</w:t>
      </w:r>
      <w:r w:rsidRPr="00CA196C">
        <w:rPr>
          <w:rFonts w:ascii="Bookman Old Style" w:hAnsi="Bookman Old Style" w:cs="Times New Roman"/>
          <w:sz w:val="24"/>
          <w:szCs w:val="24"/>
        </w:rPr>
        <w:t>e Burundi attend de l’intégration  régionale et de la coopération</w:t>
      </w:r>
      <w:r w:rsidR="00EA4C78" w:rsidRPr="00CA196C">
        <w:rPr>
          <w:rFonts w:ascii="Bookman Old Style" w:hAnsi="Bookman Old Style" w:cs="Times New Roman"/>
          <w:sz w:val="24"/>
          <w:szCs w:val="24"/>
        </w:rPr>
        <w:t xml:space="preserve"> </w:t>
      </w:r>
      <w:r w:rsidR="00EA4C78" w:rsidRPr="00CA196C">
        <w:rPr>
          <w:rFonts w:ascii="Bookman Old Style" w:hAnsi="Bookman Old Style" w:cs="Times New Roman"/>
          <w:sz w:val="24"/>
          <w:szCs w:val="24"/>
        </w:rPr>
        <w:lastRenderedPageBreak/>
        <w:t>internationale</w:t>
      </w:r>
      <w:r w:rsidRPr="00CA196C">
        <w:rPr>
          <w:rFonts w:ascii="Bookman Old Style" w:hAnsi="Bookman Old Style" w:cs="Times New Roman"/>
          <w:sz w:val="24"/>
          <w:szCs w:val="24"/>
        </w:rPr>
        <w:t xml:space="preserve">, l’élargissement de son espace  au  plan  économique  et politique,  la  réalisation d’économie d’échelle, le développement des échanges commerciaux ainsi que la garantie de la </w:t>
      </w:r>
      <w:r w:rsidR="00A30EB6">
        <w:rPr>
          <w:rFonts w:ascii="Bookman Old Style" w:hAnsi="Bookman Old Style" w:cs="Times New Roman"/>
          <w:sz w:val="24"/>
          <w:szCs w:val="24"/>
        </w:rPr>
        <w:t>paix et de la sécurité</w:t>
      </w:r>
      <w:r w:rsidRPr="00CA196C">
        <w:rPr>
          <w:rFonts w:ascii="Bookman Old Style" w:hAnsi="Bookman Old Style" w:cs="Times New Roman"/>
          <w:sz w:val="24"/>
          <w:szCs w:val="24"/>
        </w:rPr>
        <w:t xml:space="preserve">.   </w:t>
      </w:r>
    </w:p>
    <w:p w:rsidR="000476C3" w:rsidRPr="000476C3" w:rsidRDefault="000476C3" w:rsidP="000476C3">
      <w:pPr>
        <w:spacing w:before="160" w:after="120" w:line="240" w:lineRule="auto"/>
        <w:jc w:val="both"/>
        <w:rPr>
          <w:rFonts w:ascii="Bookman Old Style" w:hAnsi="Bookman Old Style" w:cs="Times New Roman"/>
          <w:sz w:val="24"/>
          <w:szCs w:val="24"/>
        </w:rPr>
      </w:pPr>
    </w:p>
    <w:p w:rsidR="00875BB5" w:rsidRPr="00CA196C" w:rsidRDefault="00875BB5" w:rsidP="00042BBB">
      <w:pPr>
        <w:tabs>
          <w:tab w:val="left" w:pos="7619"/>
        </w:tabs>
        <w:spacing w:after="120" w:line="240" w:lineRule="auto"/>
        <w:jc w:val="both"/>
        <w:rPr>
          <w:rFonts w:ascii="Bookman Old Style" w:hAnsi="Bookman Old Style" w:cs="Times New Roman"/>
          <w:color w:val="C0504D" w:themeColor="accent2"/>
          <w:sz w:val="24"/>
          <w:szCs w:val="24"/>
        </w:rPr>
      </w:pPr>
      <w:r w:rsidRPr="00CA196C">
        <w:rPr>
          <w:rFonts w:ascii="Bookman Old Style" w:hAnsi="Bookman Old Style" w:cs="Times New Roman"/>
          <w:b/>
          <w:color w:val="C0504D" w:themeColor="accent2"/>
          <w:sz w:val="24"/>
          <w:szCs w:val="24"/>
        </w:rPr>
        <w:t xml:space="preserve">Encadré 1. </w:t>
      </w:r>
      <w:r w:rsidR="00BB0533" w:rsidRPr="00CA196C">
        <w:rPr>
          <w:rFonts w:ascii="Bookman Old Style" w:hAnsi="Bookman Old Style" w:cs="Times New Roman"/>
          <w:b/>
          <w:color w:val="C0504D" w:themeColor="accent2"/>
          <w:sz w:val="24"/>
          <w:szCs w:val="24"/>
        </w:rPr>
        <w:t>Les P</w:t>
      </w:r>
      <w:r w:rsidR="00191A53">
        <w:rPr>
          <w:rFonts w:ascii="Bookman Old Style" w:hAnsi="Bookman Old Style" w:cs="Times New Roman"/>
          <w:b/>
          <w:color w:val="C0504D" w:themeColor="accent2"/>
          <w:sz w:val="24"/>
          <w:szCs w:val="24"/>
        </w:rPr>
        <w:t xml:space="preserve">artenariats </w:t>
      </w:r>
      <w:r w:rsidR="00BB0533" w:rsidRPr="00CA196C">
        <w:rPr>
          <w:rFonts w:ascii="Bookman Old Style" w:hAnsi="Bookman Old Style" w:cs="Times New Roman"/>
          <w:b/>
          <w:color w:val="C0504D" w:themeColor="accent2"/>
          <w:sz w:val="24"/>
          <w:szCs w:val="24"/>
        </w:rPr>
        <w:t>P</w:t>
      </w:r>
      <w:r w:rsidR="00191A53">
        <w:rPr>
          <w:rFonts w:ascii="Bookman Old Style" w:hAnsi="Bookman Old Style" w:cs="Times New Roman"/>
          <w:b/>
          <w:color w:val="C0504D" w:themeColor="accent2"/>
          <w:sz w:val="24"/>
          <w:szCs w:val="24"/>
        </w:rPr>
        <w:t xml:space="preserve">ublic </w:t>
      </w:r>
      <w:r w:rsidR="00BB0533" w:rsidRPr="00CA196C">
        <w:rPr>
          <w:rFonts w:ascii="Bookman Old Style" w:hAnsi="Bookman Old Style" w:cs="Times New Roman"/>
          <w:b/>
          <w:color w:val="C0504D" w:themeColor="accent2"/>
          <w:sz w:val="24"/>
          <w:szCs w:val="24"/>
        </w:rPr>
        <w:t>P</w:t>
      </w:r>
      <w:r w:rsidR="00191A53">
        <w:rPr>
          <w:rFonts w:ascii="Bookman Old Style" w:hAnsi="Bookman Old Style" w:cs="Times New Roman"/>
          <w:b/>
          <w:color w:val="C0504D" w:themeColor="accent2"/>
          <w:sz w:val="24"/>
          <w:szCs w:val="24"/>
        </w:rPr>
        <w:t>rivés (PPP)</w:t>
      </w:r>
      <w:r w:rsidRPr="00CA196C">
        <w:rPr>
          <w:rFonts w:ascii="Bookman Old Style" w:hAnsi="Bookman Old Style" w:cs="Times New Roman"/>
          <w:b/>
          <w:color w:val="C0504D" w:themeColor="accent2"/>
          <w:sz w:val="24"/>
          <w:szCs w:val="24"/>
        </w:rPr>
        <w:t xml:space="preserve">: </w:t>
      </w:r>
      <w:r w:rsidRPr="00CA196C">
        <w:rPr>
          <w:rStyle w:val="lev"/>
          <w:rFonts w:ascii="Bookman Old Style" w:hAnsi="Bookman Old Style" w:cs="Times New Roman"/>
          <w:iCs/>
          <w:color w:val="C0504D" w:themeColor="accent2"/>
          <w:sz w:val="24"/>
          <w:szCs w:val="24"/>
        </w:rPr>
        <w:t xml:space="preserve">Nouvelle </w:t>
      </w:r>
      <w:r w:rsidR="00BB0533" w:rsidRPr="00CA196C">
        <w:rPr>
          <w:rStyle w:val="lev"/>
          <w:rFonts w:ascii="Bookman Old Style" w:hAnsi="Bookman Old Style" w:cs="Times New Roman"/>
          <w:iCs/>
          <w:color w:val="C0504D" w:themeColor="accent2"/>
          <w:sz w:val="24"/>
          <w:szCs w:val="24"/>
        </w:rPr>
        <w:t>approche</w:t>
      </w:r>
      <w:r w:rsidRPr="00CA196C">
        <w:rPr>
          <w:rStyle w:val="lev"/>
          <w:rFonts w:ascii="Bookman Old Style" w:hAnsi="Bookman Old Style" w:cs="Times New Roman"/>
          <w:iCs/>
          <w:color w:val="C0504D" w:themeColor="accent2"/>
          <w:sz w:val="24"/>
          <w:szCs w:val="24"/>
        </w:rPr>
        <w:t xml:space="preserve"> de financement du développement</w:t>
      </w:r>
    </w:p>
    <w:p w:rsidR="004E7C36" w:rsidRPr="00CA196C" w:rsidRDefault="004E7C36" w:rsidP="004E7C36">
      <w:pPr>
        <w:tabs>
          <w:tab w:val="left" w:pos="7619"/>
        </w:tabs>
        <w:spacing w:before="160" w:after="120" w:line="240" w:lineRule="auto"/>
        <w:jc w:val="both"/>
        <w:rPr>
          <w:rFonts w:ascii="Bookman Old Style" w:hAnsi="Bookman Old Style" w:cs="Times New Roman"/>
          <w:sz w:val="24"/>
          <w:szCs w:val="24"/>
        </w:rPr>
      </w:pPr>
    </w:p>
    <w:tbl>
      <w:tblPr>
        <w:tblStyle w:val="Grilledutableau"/>
        <w:tblW w:w="9448" w:type="dxa"/>
        <w:shd w:val="clear" w:color="auto" w:fill="DAEEF3" w:themeFill="accent5" w:themeFillTint="33"/>
        <w:tblLook w:val="04A0" w:firstRow="1" w:lastRow="0" w:firstColumn="1" w:lastColumn="0" w:noHBand="0" w:noVBand="1"/>
      </w:tblPr>
      <w:tblGrid>
        <w:gridCol w:w="9448"/>
      </w:tblGrid>
      <w:tr w:rsidR="004E7C36" w:rsidRPr="00131DFF" w:rsidTr="002B7839">
        <w:trPr>
          <w:trHeight w:val="7468"/>
        </w:trPr>
        <w:tc>
          <w:tcPr>
            <w:tcW w:w="9448" w:type="dxa"/>
            <w:shd w:val="clear" w:color="auto" w:fill="DAEEF3" w:themeFill="accent5" w:themeFillTint="33"/>
          </w:tcPr>
          <w:p w:rsidR="00BB0533" w:rsidRPr="00131DFF" w:rsidRDefault="00CA196C" w:rsidP="005A17FF">
            <w:pPr>
              <w:tabs>
                <w:tab w:val="left" w:pos="7619"/>
              </w:tabs>
              <w:spacing w:before="160" w:after="120"/>
              <w:jc w:val="both"/>
              <w:rPr>
                <w:rFonts w:ascii="Bookman Old Style" w:hAnsi="Bookman Old Style" w:cs="MOOKJA+TimesNewRoman"/>
                <w:sz w:val="20"/>
                <w:szCs w:val="20"/>
              </w:rPr>
            </w:pPr>
            <w:r w:rsidRPr="00131DFF">
              <w:rPr>
                <w:rFonts w:ascii="Bookman Old Style" w:hAnsi="Bookman Old Style" w:cs="Times New Roman"/>
                <w:sz w:val="20"/>
                <w:szCs w:val="20"/>
              </w:rPr>
              <w:t xml:space="preserve">Les PPP constituent une </w:t>
            </w:r>
            <w:r w:rsidRPr="00CC65BD">
              <w:rPr>
                <w:rFonts w:ascii="Bookman Old Style" w:hAnsi="Bookman Old Style" w:cs="Times New Roman"/>
                <w:sz w:val="20"/>
                <w:szCs w:val="20"/>
              </w:rPr>
              <w:t>n</w:t>
            </w:r>
            <w:r w:rsidRPr="00131DFF">
              <w:rPr>
                <w:rStyle w:val="lev"/>
                <w:rFonts w:ascii="Bookman Old Style" w:hAnsi="Bookman Old Style" w:cs="Times New Roman"/>
                <w:b w:val="0"/>
                <w:iCs/>
                <w:sz w:val="20"/>
                <w:szCs w:val="20"/>
              </w:rPr>
              <w:t>ouvelle approche de financement du développement qui répond généralement à la problématique de</w:t>
            </w:r>
            <w:r w:rsidRPr="00131DFF">
              <w:rPr>
                <w:rStyle w:val="lev"/>
                <w:rFonts w:ascii="Bookman Old Style" w:hAnsi="Bookman Old Style" w:cs="Times New Roman"/>
                <w:iCs/>
                <w:sz w:val="20"/>
                <w:szCs w:val="20"/>
              </w:rPr>
              <w:t xml:space="preserve"> </w:t>
            </w:r>
            <w:r w:rsidR="003311D6" w:rsidRPr="00131DFF">
              <w:rPr>
                <w:rFonts w:ascii="Bookman Old Style" w:hAnsi="Bookman Old Style" w:cs="MOOKJA+TimesNewRoman"/>
                <w:sz w:val="20"/>
                <w:szCs w:val="20"/>
              </w:rPr>
              <w:t>resserrement des contraintes budgétaires et l</w:t>
            </w:r>
            <w:r w:rsidRPr="00131DFF">
              <w:rPr>
                <w:rFonts w:ascii="Bookman Old Style" w:hAnsi="Bookman Old Style" w:cs="MOOKJA+TimesNewRoman"/>
                <w:sz w:val="20"/>
                <w:szCs w:val="20"/>
              </w:rPr>
              <w:t>e déclin de l’État providentiel. Il s’agit d’un mécanisme par lequel l’Etat fait</w:t>
            </w:r>
            <w:r w:rsidR="003311D6" w:rsidRPr="00131DFF">
              <w:rPr>
                <w:rFonts w:ascii="Bookman Old Style" w:hAnsi="Bookman Old Style" w:cs="MOOKJA+TimesNewRoman"/>
                <w:sz w:val="20"/>
                <w:szCs w:val="20"/>
              </w:rPr>
              <w:t xml:space="preserve"> recours au secteur privé dans l’offre, la prestation et le financement des services publics. </w:t>
            </w:r>
            <w:r w:rsidRPr="00131DFF">
              <w:rPr>
                <w:rFonts w:ascii="Bookman Old Style" w:hAnsi="Bookman Old Style" w:cs="MOOKJA+TimesNewRoman"/>
                <w:sz w:val="20"/>
                <w:szCs w:val="20"/>
              </w:rPr>
              <w:t>L’</w:t>
            </w:r>
            <w:r w:rsidR="003311D6" w:rsidRPr="00131DFF">
              <w:rPr>
                <w:rFonts w:ascii="Bookman Old Style" w:hAnsi="Bookman Old Style" w:cs="MOOKJA+TimesNewRoman"/>
                <w:sz w:val="20"/>
                <w:szCs w:val="20"/>
              </w:rPr>
              <w:t xml:space="preserve">approche </w:t>
            </w:r>
            <w:r w:rsidRPr="00131DFF">
              <w:rPr>
                <w:rFonts w:ascii="Bookman Old Style" w:hAnsi="Bookman Old Style" w:cs="MOOKJA+TimesNewRoman"/>
                <w:sz w:val="20"/>
                <w:szCs w:val="20"/>
              </w:rPr>
              <w:t xml:space="preserve">des PPP </w:t>
            </w:r>
            <w:r w:rsidR="003311D6" w:rsidRPr="00131DFF">
              <w:rPr>
                <w:rFonts w:ascii="Bookman Old Style" w:hAnsi="Bookman Old Style" w:cs="MOOKJA+TimesNewRoman"/>
                <w:sz w:val="20"/>
                <w:szCs w:val="20"/>
              </w:rPr>
              <w:t>s’insère dans une dynamique de réforme de l’État et de gouvernance partenariale</w:t>
            </w:r>
            <w:r w:rsidRPr="00131DFF">
              <w:rPr>
                <w:rFonts w:ascii="Bookman Old Style" w:hAnsi="Bookman Old Style" w:cs="MOOKJA+TimesNewRoman"/>
                <w:sz w:val="20"/>
                <w:szCs w:val="20"/>
              </w:rPr>
              <w:t xml:space="preserve"> et accorde une place capitale aux coopérations et aux interactions  dans le financement  des domaines diversifiés (infrastructures, entretien du réseau routier, distribution de l’eau, transports urbains et interurbains,…</w:t>
            </w:r>
            <w:r w:rsidR="007B5725" w:rsidRPr="00131DFF">
              <w:rPr>
                <w:rFonts w:ascii="Bookman Old Style" w:hAnsi="Bookman Old Style" w:cs="MOOKJA+TimesNewRoman"/>
                <w:sz w:val="20"/>
                <w:szCs w:val="20"/>
              </w:rPr>
              <w:t xml:space="preserve">). Cette approche amène l’Etat </w:t>
            </w:r>
            <w:r w:rsidR="003311D6" w:rsidRPr="00131DFF">
              <w:rPr>
                <w:rFonts w:ascii="Bookman Old Style" w:hAnsi="Bookman Old Style" w:cs="MOOKJA+TimesNewRoman"/>
                <w:sz w:val="20"/>
                <w:szCs w:val="20"/>
              </w:rPr>
              <w:t>à se concentrer davantage sur ses fonctions régaliennes et à stimuler et encadrer, au lieu de le remplacer, le secteur privé dans le financement des infrastructures publiques et la production de certains services.</w:t>
            </w:r>
          </w:p>
          <w:p w:rsidR="000E49A9" w:rsidRPr="00131DFF" w:rsidRDefault="000B69EE" w:rsidP="005A17FF">
            <w:pPr>
              <w:autoSpaceDE w:val="0"/>
              <w:autoSpaceDN w:val="0"/>
              <w:adjustRightInd w:val="0"/>
              <w:jc w:val="both"/>
              <w:rPr>
                <w:rFonts w:ascii="Bookman Old Style" w:hAnsi="Bookman Old Style" w:cs="Sabon-Italic"/>
                <w:i/>
                <w:iCs/>
                <w:sz w:val="20"/>
                <w:szCs w:val="20"/>
              </w:rPr>
            </w:pPr>
            <w:r w:rsidRPr="00131DFF">
              <w:rPr>
                <w:rFonts w:ascii="Bookman Old Style" w:hAnsi="Bookman Old Style" w:cs="Sabon-Roman"/>
                <w:sz w:val="20"/>
                <w:szCs w:val="20"/>
              </w:rPr>
              <w:t>Les PPP, en particulier lorsqu’ils font l’objet de contrats à lo</w:t>
            </w:r>
            <w:r w:rsidR="007B5725" w:rsidRPr="00131DFF">
              <w:rPr>
                <w:rFonts w:ascii="Bookman Old Style" w:hAnsi="Bookman Old Style" w:cs="Sabon-Roman"/>
                <w:sz w:val="20"/>
                <w:szCs w:val="20"/>
              </w:rPr>
              <w:t xml:space="preserve">ng terme, </w:t>
            </w:r>
            <w:r w:rsidRPr="00131DFF">
              <w:rPr>
                <w:rFonts w:ascii="Bookman Old Style" w:hAnsi="Bookman Old Style" w:cs="Sabon-Roman"/>
                <w:sz w:val="20"/>
                <w:szCs w:val="20"/>
              </w:rPr>
              <w:t>peuvent présenter des avantages appréci</w:t>
            </w:r>
            <w:r w:rsidR="007B5725" w:rsidRPr="00131DFF">
              <w:rPr>
                <w:rFonts w:ascii="Bookman Old Style" w:hAnsi="Bookman Old Style" w:cs="Sabon-Roman"/>
                <w:sz w:val="20"/>
                <w:szCs w:val="20"/>
              </w:rPr>
              <w:t xml:space="preserve">ables pour les gouvernements en </w:t>
            </w:r>
            <w:r w:rsidRPr="00131DFF">
              <w:rPr>
                <w:rFonts w:ascii="Bookman Old Style" w:hAnsi="Bookman Old Style" w:cs="Sabon-Roman"/>
                <w:sz w:val="20"/>
                <w:szCs w:val="20"/>
              </w:rPr>
              <w:t xml:space="preserve">matière de prestation de </w:t>
            </w:r>
            <w:r w:rsidR="007B5725" w:rsidRPr="00131DFF">
              <w:rPr>
                <w:rFonts w:ascii="Bookman Old Style" w:hAnsi="Bookman Old Style" w:cs="Sabon-Roman"/>
                <w:sz w:val="20"/>
                <w:szCs w:val="20"/>
              </w:rPr>
              <w:t xml:space="preserve">services publics, par exemple (i) </w:t>
            </w:r>
            <w:r w:rsidRPr="00131DFF">
              <w:rPr>
                <w:rFonts w:ascii="Bookman Old Style" w:hAnsi="Bookman Old Style" w:cs="Sabon-Italic"/>
                <w:i/>
                <w:iCs/>
                <w:sz w:val="20"/>
                <w:szCs w:val="20"/>
              </w:rPr>
              <w:t>Utilisati</w:t>
            </w:r>
            <w:r w:rsidR="007B5725" w:rsidRPr="00131DFF">
              <w:rPr>
                <w:rFonts w:ascii="Bookman Old Style" w:hAnsi="Bookman Old Style" w:cs="Sabon-Italic"/>
                <w:i/>
                <w:iCs/>
                <w:sz w:val="20"/>
                <w:szCs w:val="20"/>
              </w:rPr>
              <w:t xml:space="preserve">on plus efficace des ressources, (ii) </w:t>
            </w:r>
            <w:r w:rsidR="000E49A9" w:rsidRPr="00131DFF">
              <w:rPr>
                <w:rFonts w:ascii="Bookman Old Style" w:hAnsi="Bookman Old Style" w:cs="Sabon-Italic"/>
                <w:i/>
                <w:iCs/>
                <w:sz w:val="20"/>
                <w:szCs w:val="20"/>
              </w:rPr>
              <w:t>Expositio</w:t>
            </w:r>
            <w:r w:rsidR="007B5725" w:rsidRPr="00131DFF">
              <w:rPr>
                <w:rFonts w:ascii="Bookman Old Style" w:hAnsi="Bookman Old Style" w:cs="Sabon-Italic"/>
                <w:i/>
                <w:iCs/>
                <w:sz w:val="20"/>
                <w:szCs w:val="20"/>
              </w:rPr>
              <w:t xml:space="preserve">n à des risques de performance, (iii) </w:t>
            </w:r>
            <w:r w:rsidR="000E49A9" w:rsidRPr="00131DFF">
              <w:rPr>
                <w:rFonts w:ascii="Bookman Old Style" w:hAnsi="Bookman Old Style" w:cs="Sabon-Italic"/>
                <w:i/>
                <w:iCs/>
                <w:sz w:val="20"/>
                <w:szCs w:val="20"/>
              </w:rPr>
              <w:t>Assurance de la qualité et examen</w:t>
            </w:r>
            <w:r w:rsidR="007B5725" w:rsidRPr="00131DFF">
              <w:rPr>
                <w:rFonts w:ascii="Bookman Old Style" w:hAnsi="Bookman Old Style" w:cs="Sabon-Italic"/>
                <w:i/>
                <w:iCs/>
                <w:sz w:val="20"/>
                <w:szCs w:val="20"/>
              </w:rPr>
              <w:t>, (iv) E</w:t>
            </w:r>
            <w:r w:rsidR="000E49A9" w:rsidRPr="00131DFF">
              <w:rPr>
                <w:rFonts w:ascii="Bookman Old Style" w:hAnsi="Bookman Old Style" w:cs="Sabon-Italic"/>
                <w:i/>
                <w:iCs/>
                <w:sz w:val="20"/>
                <w:szCs w:val="20"/>
              </w:rPr>
              <w:t xml:space="preserve">xamen plus ouvert </w:t>
            </w:r>
            <w:r w:rsidR="000E49A9" w:rsidRPr="00131DFF">
              <w:rPr>
                <w:rFonts w:ascii="Bookman Old Style" w:hAnsi="Bookman Old Style" w:cs="Sabon-Roman"/>
                <w:sz w:val="20"/>
                <w:szCs w:val="20"/>
              </w:rPr>
              <w:t>de l’engagement à long terme requis</w:t>
            </w:r>
            <w:r w:rsidR="007B5725" w:rsidRPr="00131DFF">
              <w:rPr>
                <w:rFonts w:ascii="Bookman Old Style" w:hAnsi="Bookman Old Style" w:cs="Sabon-Roman"/>
                <w:sz w:val="20"/>
                <w:szCs w:val="20"/>
              </w:rPr>
              <w:t>.</w:t>
            </w:r>
          </w:p>
          <w:p w:rsidR="00BB0533" w:rsidRPr="00131DFF" w:rsidRDefault="00BB0533" w:rsidP="005A17FF">
            <w:pPr>
              <w:spacing w:before="160" w:after="120"/>
              <w:contextualSpacing/>
              <w:jc w:val="both"/>
              <w:rPr>
                <w:rFonts w:ascii="Bookman Old Style" w:eastAsia="Calibri" w:hAnsi="Bookman Old Style" w:cs="Times New Roman"/>
                <w:sz w:val="20"/>
                <w:szCs w:val="20"/>
                <w:u w:color="000000"/>
                <w:bdr w:val="nil"/>
              </w:rPr>
            </w:pPr>
          </w:p>
          <w:p w:rsidR="005A17FF" w:rsidRPr="00C779D9" w:rsidRDefault="00C16D4D" w:rsidP="00C779D9">
            <w:pPr>
              <w:spacing w:before="100" w:beforeAutospacing="1" w:after="100" w:afterAutospacing="1"/>
              <w:contextualSpacing/>
              <w:jc w:val="both"/>
              <w:rPr>
                <w:rFonts w:ascii="Bookman Old Style" w:eastAsia="Times New Roman" w:hAnsi="Bookman Old Style" w:cs="Times New Roman"/>
                <w:sz w:val="20"/>
                <w:szCs w:val="20"/>
                <w:lang w:eastAsia="fr-FR"/>
              </w:rPr>
            </w:pPr>
            <w:r w:rsidRPr="00131DFF">
              <w:rPr>
                <w:rFonts w:ascii="Bookman Old Style" w:eastAsia="Times New Roman" w:hAnsi="Bookman Old Style" w:cs="Times New Roman"/>
                <w:bCs/>
                <w:iCs/>
                <w:sz w:val="20"/>
                <w:szCs w:val="20"/>
                <w:lang w:eastAsia="fr-FR"/>
              </w:rPr>
              <w:t>Par la loi n°1/14 du 27 avril 2015 portant régime général des contrats de partenariats public-privé et le décret n° 100/12 du 06 janvier 2016 portant statuts de l’Agence d’appui à la réalisation des contrats</w:t>
            </w:r>
            <w:r w:rsidR="005A17FF" w:rsidRPr="00131DFF">
              <w:rPr>
                <w:rFonts w:ascii="Bookman Old Style" w:eastAsia="Times New Roman" w:hAnsi="Bookman Old Style" w:cs="Times New Roman"/>
                <w:bCs/>
                <w:iCs/>
                <w:sz w:val="20"/>
                <w:szCs w:val="20"/>
                <w:lang w:eastAsia="fr-FR"/>
              </w:rPr>
              <w:t xml:space="preserve"> de partenariats public-privé, </w:t>
            </w:r>
            <w:r w:rsidRPr="00131DFF">
              <w:rPr>
                <w:rFonts w:ascii="Bookman Old Style" w:eastAsia="Times New Roman" w:hAnsi="Bookman Old Style" w:cs="Times New Roman"/>
                <w:bCs/>
                <w:iCs/>
                <w:sz w:val="20"/>
                <w:szCs w:val="20"/>
                <w:lang w:eastAsia="fr-FR"/>
              </w:rPr>
              <w:t xml:space="preserve">le Burundi s’est engagé dans une dynamique de mise à niveau de ses infrastructures. En relation avec sa ferme volonté de promouvoir les investissements privés nationaux et internationaux, </w:t>
            </w:r>
            <w:r w:rsidR="005A17FF" w:rsidRPr="00131DFF">
              <w:rPr>
                <w:rFonts w:ascii="Bookman Old Style" w:eastAsia="Times New Roman" w:hAnsi="Bookman Old Style" w:cs="Times New Roman"/>
                <w:bCs/>
                <w:iCs/>
                <w:sz w:val="20"/>
                <w:szCs w:val="20"/>
                <w:lang w:eastAsia="fr-FR"/>
              </w:rPr>
              <w:t xml:space="preserve">le Burundi </w:t>
            </w:r>
            <w:r w:rsidRPr="00131DFF">
              <w:rPr>
                <w:rFonts w:ascii="Bookman Old Style" w:eastAsia="Times New Roman" w:hAnsi="Bookman Old Style" w:cs="Times New Roman"/>
                <w:bCs/>
                <w:iCs/>
                <w:sz w:val="20"/>
                <w:szCs w:val="20"/>
                <w:lang w:eastAsia="fr-FR"/>
              </w:rPr>
              <w:t xml:space="preserve">a opté pour une économie libérale résolument orientée vers le mécanisme des </w:t>
            </w:r>
            <w:r w:rsidR="005A17FF" w:rsidRPr="00131DFF">
              <w:rPr>
                <w:rFonts w:ascii="Bookman Old Style" w:eastAsia="Times New Roman" w:hAnsi="Bookman Old Style" w:cs="Times New Roman"/>
                <w:bCs/>
                <w:iCs/>
                <w:sz w:val="20"/>
                <w:szCs w:val="20"/>
                <w:lang w:eastAsia="fr-FR"/>
              </w:rPr>
              <w:t xml:space="preserve"> PPP </w:t>
            </w:r>
            <w:r w:rsidRPr="00131DFF">
              <w:rPr>
                <w:rFonts w:ascii="Bookman Old Style" w:eastAsia="Times New Roman" w:hAnsi="Bookman Old Style" w:cs="Times New Roman"/>
                <w:bCs/>
                <w:iCs/>
                <w:sz w:val="20"/>
                <w:szCs w:val="20"/>
                <w:lang w:eastAsia="fr-FR"/>
              </w:rPr>
              <w:t>comme mécanisme de f</w:t>
            </w:r>
            <w:r w:rsidR="005A17FF" w:rsidRPr="00131DFF">
              <w:rPr>
                <w:rFonts w:ascii="Bookman Old Style" w:eastAsia="Times New Roman" w:hAnsi="Bookman Old Style" w:cs="Times New Roman"/>
                <w:bCs/>
                <w:iCs/>
                <w:sz w:val="20"/>
                <w:szCs w:val="20"/>
                <w:lang w:eastAsia="fr-FR"/>
              </w:rPr>
              <w:t>inancement des infrastructures</w:t>
            </w:r>
            <w:r w:rsidRPr="00131DFF">
              <w:rPr>
                <w:rFonts w:ascii="Bookman Old Style" w:eastAsia="Times New Roman" w:hAnsi="Bookman Old Style" w:cs="Times New Roman"/>
                <w:bCs/>
                <w:iCs/>
                <w:sz w:val="20"/>
                <w:szCs w:val="20"/>
                <w:lang w:eastAsia="fr-FR"/>
              </w:rPr>
              <w:t xml:space="preserve">. </w:t>
            </w:r>
            <w:r w:rsidRPr="00131DFF">
              <w:rPr>
                <w:rFonts w:ascii="Bookman Old Style" w:eastAsia="Times New Roman" w:hAnsi="Bookman Old Style" w:cs="Times New Roman"/>
                <w:sz w:val="20"/>
                <w:szCs w:val="20"/>
                <w:lang w:eastAsia="fr-FR"/>
              </w:rPr>
              <w:t>Le Burundi enregistre des cas de contrat des PPP dans les secteurs des télécommunications avec la société Burundi Backbone System Company(BBS), des transports avec le contrat de la concession du port de Bujumbura  ainsi que dans le secteur de l’eau potable et de l’électricité avec le processus de développement des projets du PPP datant de 2013 avec la loi n°1/014 du 11 août 2000 portant libéralisation et règlementation du service public de l’eau potable et de l’énergie électrique</w:t>
            </w:r>
            <w:r w:rsidR="005A17FF" w:rsidRPr="00131DFF">
              <w:rPr>
                <w:rFonts w:ascii="Bookman Old Style" w:eastAsia="Times New Roman" w:hAnsi="Bookman Old Style" w:cs="Times New Roman"/>
                <w:sz w:val="20"/>
                <w:szCs w:val="20"/>
                <w:lang w:eastAsia="fr-FR"/>
              </w:rPr>
              <w:t>(</w:t>
            </w:r>
            <w:r w:rsidRPr="00131DFF">
              <w:rPr>
                <w:rFonts w:ascii="Bookman Old Style" w:eastAsia="Times New Roman" w:hAnsi="Bookman Old Style" w:cs="Times New Roman"/>
                <w:sz w:val="20"/>
                <w:szCs w:val="20"/>
                <w:lang w:eastAsia="fr-FR"/>
              </w:rPr>
              <w:t xml:space="preserve"> contrat de gérance entre la Regideso et la société Pay way Burundi</w:t>
            </w:r>
            <w:r w:rsidR="005A17FF" w:rsidRPr="00131DFF">
              <w:rPr>
                <w:rFonts w:ascii="Bookman Old Style" w:eastAsia="Times New Roman" w:hAnsi="Bookman Old Style" w:cs="Times New Roman"/>
                <w:sz w:val="20"/>
                <w:szCs w:val="20"/>
                <w:lang w:eastAsia="fr-FR"/>
              </w:rPr>
              <w:t>)</w:t>
            </w:r>
            <w:r w:rsidRPr="00131DFF">
              <w:rPr>
                <w:rFonts w:ascii="Bookman Old Style" w:eastAsia="Times New Roman" w:hAnsi="Bookman Old Style" w:cs="Times New Roman"/>
                <w:sz w:val="20"/>
                <w:szCs w:val="20"/>
                <w:lang w:eastAsia="fr-FR"/>
              </w:rPr>
              <w:t>.</w:t>
            </w:r>
          </w:p>
        </w:tc>
      </w:tr>
    </w:tbl>
    <w:p w:rsidR="003311D6" w:rsidRPr="00CA196C" w:rsidRDefault="003311D6" w:rsidP="004E7C36">
      <w:pPr>
        <w:tabs>
          <w:tab w:val="left" w:pos="7619"/>
        </w:tabs>
        <w:spacing w:before="160" w:after="120" w:line="240" w:lineRule="auto"/>
        <w:jc w:val="both"/>
        <w:rPr>
          <w:rFonts w:ascii="Bookman Old Style" w:hAnsi="Bookman Old Style" w:cs="Times New Roman"/>
          <w:sz w:val="24"/>
          <w:szCs w:val="24"/>
        </w:rPr>
      </w:pPr>
    </w:p>
    <w:p w:rsidR="00DE3A23" w:rsidRPr="00CA196C" w:rsidRDefault="00DE3A23" w:rsidP="004E7C36">
      <w:pPr>
        <w:tabs>
          <w:tab w:val="left" w:pos="7619"/>
        </w:tabs>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br w:type="page"/>
      </w:r>
      <w:r w:rsidRPr="00CA196C">
        <w:rPr>
          <w:rFonts w:ascii="Bookman Old Style" w:hAnsi="Bookman Old Style" w:cs="Times New Roman"/>
          <w:sz w:val="24"/>
          <w:szCs w:val="24"/>
        </w:rPr>
        <w:lastRenderedPageBreak/>
        <w:tab/>
      </w:r>
    </w:p>
    <w:p w:rsidR="00DE3A23" w:rsidRPr="00CA196C" w:rsidRDefault="00DE3A23" w:rsidP="00E92676">
      <w:pPr>
        <w:spacing w:before="160" w:after="120" w:line="240" w:lineRule="auto"/>
        <w:jc w:val="both"/>
        <w:rPr>
          <w:rFonts w:ascii="Bookman Old Style" w:hAnsi="Bookman Old Style" w:cs="Times New Roman"/>
          <w:sz w:val="24"/>
          <w:szCs w:val="24"/>
        </w:rPr>
      </w:pPr>
      <w:bookmarkStart w:id="35" w:name="_Toc500667057"/>
    </w:p>
    <w:p w:rsidR="00DE3A23" w:rsidRPr="00CA196C" w:rsidRDefault="00DE3A23" w:rsidP="00E92676">
      <w:pPr>
        <w:spacing w:before="160" w:after="120" w:line="240" w:lineRule="auto"/>
        <w:jc w:val="both"/>
        <w:rPr>
          <w:rFonts w:ascii="Bookman Old Style" w:hAnsi="Bookman Old Style" w:cs="Times New Roman"/>
          <w:sz w:val="24"/>
          <w:szCs w:val="24"/>
        </w:rPr>
      </w:pPr>
    </w:p>
    <w:p w:rsidR="00DE3A23" w:rsidRPr="00CA196C" w:rsidRDefault="00DE3A23" w:rsidP="00E92676">
      <w:pPr>
        <w:spacing w:before="160" w:after="120" w:line="240" w:lineRule="auto"/>
        <w:jc w:val="both"/>
        <w:rPr>
          <w:rFonts w:ascii="Bookman Old Style" w:hAnsi="Bookman Old Style" w:cs="Times New Roman"/>
          <w:sz w:val="24"/>
          <w:szCs w:val="24"/>
        </w:rPr>
      </w:pPr>
    </w:p>
    <w:p w:rsidR="00D477D9" w:rsidRPr="00CA196C" w:rsidRDefault="00D477D9" w:rsidP="00E92676">
      <w:pPr>
        <w:spacing w:before="160" w:after="120" w:line="240" w:lineRule="auto"/>
        <w:jc w:val="both"/>
        <w:rPr>
          <w:rFonts w:ascii="Bookman Old Style" w:hAnsi="Bookman Old Style" w:cs="Times New Roman"/>
          <w:sz w:val="24"/>
          <w:szCs w:val="24"/>
        </w:rPr>
      </w:pPr>
    </w:p>
    <w:p w:rsidR="00D477D9" w:rsidRPr="00CA196C" w:rsidRDefault="00D477D9" w:rsidP="00D477D9">
      <w:pPr>
        <w:rPr>
          <w:rFonts w:ascii="Bookman Old Style" w:hAnsi="Bookman Old Style" w:cs="Times New Roman"/>
          <w:sz w:val="24"/>
          <w:szCs w:val="24"/>
        </w:rPr>
      </w:pPr>
    </w:p>
    <w:p w:rsidR="00D477D9" w:rsidRPr="00CA196C" w:rsidRDefault="00D477D9" w:rsidP="00D477D9">
      <w:pPr>
        <w:rPr>
          <w:rFonts w:ascii="Bookman Old Style" w:hAnsi="Bookman Old Style" w:cs="Times New Roman"/>
          <w:sz w:val="24"/>
          <w:szCs w:val="24"/>
        </w:rPr>
      </w:pPr>
    </w:p>
    <w:p w:rsidR="00D477D9" w:rsidRPr="00CA196C" w:rsidRDefault="00D477D9" w:rsidP="00D477D9">
      <w:pPr>
        <w:rPr>
          <w:rFonts w:ascii="Bookman Old Style" w:hAnsi="Bookman Old Style" w:cs="Times New Roman"/>
          <w:sz w:val="24"/>
          <w:szCs w:val="24"/>
        </w:rPr>
      </w:pPr>
    </w:p>
    <w:p w:rsidR="00DE3A23" w:rsidRPr="00CA196C" w:rsidRDefault="009E6A0A" w:rsidP="008D2E93">
      <w:pPr>
        <w:pStyle w:val="Titre1"/>
      </w:pPr>
      <w:bookmarkStart w:id="36" w:name="_Toc511080856"/>
      <w:bookmarkStart w:id="37" w:name="_Toc511081532"/>
      <w:r w:rsidRPr="00CA196C">
        <w:t xml:space="preserve">III. </w:t>
      </w:r>
      <w:r w:rsidR="00DE3A23" w:rsidRPr="00CA196C">
        <w:t xml:space="preserve">DIAGNOSTIC SOCIOECONOMIQUE DU BURUNDI A LA VEILLE DU </w:t>
      </w:r>
      <w:bookmarkEnd w:id="35"/>
      <w:r w:rsidR="00DE3A23" w:rsidRPr="00CA196C">
        <w:t xml:space="preserve">PND </w:t>
      </w:r>
      <w:r w:rsidR="006429B1" w:rsidRPr="00CA196C">
        <w:t xml:space="preserve">Burundi </w:t>
      </w:r>
      <w:r w:rsidR="00DE3A23" w:rsidRPr="00CA196C">
        <w:t>2018-2027</w:t>
      </w:r>
      <w:bookmarkEnd w:id="36"/>
      <w:bookmarkEnd w:id="37"/>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1F0F96" w:rsidRPr="00CA196C" w:rsidRDefault="001F0F96" w:rsidP="001F0F96">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ED1681" w:rsidRPr="00CA196C" w:rsidRDefault="00ED1681"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786E97" w:rsidRPr="00CA196C" w:rsidRDefault="00786E97">
      <w:pPr>
        <w:rPr>
          <w:rFonts w:ascii="Bookman Old Style" w:eastAsiaTheme="majorEastAsia" w:hAnsi="Bookman Old Style" w:cs="Times New Roman"/>
          <w:b/>
          <w:bCs/>
          <w:sz w:val="24"/>
          <w:szCs w:val="24"/>
        </w:rPr>
      </w:pPr>
      <w:r w:rsidRPr="00CA196C">
        <w:rPr>
          <w:rFonts w:ascii="Bookman Old Style" w:eastAsiaTheme="majorEastAsia" w:hAnsi="Bookman Old Style" w:cs="Times New Roman"/>
          <w:b/>
          <w:bCs/>
          <w:sz w:val="24"/>
          <w:szCs w:val="24"/>
        </w:rPr>
        <w:br w:type="page"/>
      </w:r>
    </w:p>
    <w:p w:rsidR="00DE3A23" w:rsidRPr="00CA196C" w:rsidRDefault="00DE3A23" w:rsidP="00ED27D9">
      <w:pPr>
        <w:pStyle w:val="Titre2"/>
      </w:pPr>
      <w:bookmarkStart w:id="38" w:name="_Toc511080857"/>
      <w:bookmarkStart w:id="39" w:name="_Toc511081533"/>
      <w:r w:rsidRPr="00CA196C">
        <w:lastRenderedPageBreak/>
        <w:t>3.1.</w:t>
      </w:r>
      <w:r w:rsidR="001F6C74" w:rsidRPr="00CA196C">
        <w:t xml:space="preserve"> Etat des lieux</w:t>
      </w:r>
      <w:r w:rsidR="00786599" w:rsidRPr="00CA196C">
        <w:t xml:space="preserve"> par secteur/domaine</w:t>
      </w:r>
      <w:bookmarkEnd w:id="38"/>
      <w:bookmarkEnd w:id="39"/>
    </w:p>
    <w:p w:rsidR="00DE3A23" w:rsidRPr="00CA196C" w:rsidRDefault="009D7C81" w:rsidP="00BD2775">
      <w:pPr>
        <w:pStyle w:val="Titre3"/>
        <w:rPr>
          <w:rFonts w:ascii="Bookman Old Style" w:hAnsi="Bookman Old Style"/>
        </w:rPr>
      </w:pPr>
      <w:bookmarkStart w:id="40" w:name="_Toc511076173"/>
      <w:bookmarkStart w:id="41" w:name="_Toc511080858"/>
      <w:bookmarkStart w:id="42" w:name="_Toc511081375"/>
      <w:bookmarkStart w:id="43" w:name="_Toc511081534"/>
      <w:bookmarkStart w:id="44" w:name="_Toc499201593"/>
      <w:r>
        <w:rPr>
          <w:rFonts w:ascii="Bookman Old Style" w:hAnsi="Bookman Old Style"/>
        </w:rPr>
        <w:t>3.1.1</w:t>
      </w:r>
      <w:r w:rsidR="0039336E" w:rsidRPr="00CA196C">
        <w:rPr>
          <w:rFonts w:ascii="Bookman Old Style" w:hAnsi="Bookman Old Style"/>
        </w:rPr>
        <w:t xml:space="preserve">. </w:t>
      </w:r>
      <w:r w:rsidR="00A830B5">
        <w:rPr>
          <w:rFonts w:ascii="Bookman Old Style" w:hAnsi="Bookman Old Style"/>
        </w:rPr>
        <w:t>Agriculture, Elevage, P</w:t>
      </w:r>
      <w:r w:rsidR="00DE3A23" w:rsidRPr="00CA196C">
        <w:rPr>
          <w:rFonts w:ascii="Bookman Old Style" w:hAnsi="Bookman Old Style"/>
        </w:rPr>
        <w:t>êche et pisciculture</w:t>
      </w:r>
      <w:bookmarkEnd w:id="40"/>
      <w:bookmarkEnd w:id="41"/>
      <w:bookmarkEnd w:id="42"/>
      <w:bookmarkEnd w:id="43"/>
      <w:r w:rsidR="00DE3A23" w:rsidRPr="00CA196C">
        <w:rPr>
          <w:rFonts w:ascii="Bookman Old Style" w:hAnsi="Bookman Old Style"/>
        </w:rPr>
        <w:t xml:space="preserve"> </w:t>
      </w:r>
      <w:bookmarkEnd w:id="44"/>
    </w:p>
    <w:p w:rsidR="00DE3A23" w:rsidRPr="00CA196C" w:rsidRDefault="00DE3A23" w:rsidP="008E29AD">
      <w:pPr>
        <w:numPr>
          <w:ilvl w:val="0"/>
          <w:numId w:val="5"/>
        </w:numPr>
        <w:tabs>
          <w:tab w:val="left" w:pos="567"/>
        </w:tabs>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Au Burundi, l’agriculture contribue à elle seule à hauteur de 39,6 % au PIB, offre 84% d’emplois, fournit 95% de l’offre alimentaire et constitue le principal pourvoyeur de matières premières à l’agro-industrie. C’est un </w:t>
      </w:r>
      <w:r w:rsidRPr="00CA196C">
        <w:rPr>
          <w:rFonts w:ascii="Bookman Old Style" w:hAnsi="Bookman Old Style" w:cs="Times New Roman"/>
          <w:sz w:val="24"/>
          <w:szCs w:val="24"/>
          <w:lang w:val="fr-BE"/>
        </w:rPr>
        <w:t xml:space="preserve">secteur à faible productivité due </w:t>
      </w:r>
      <w:r w:rsidR="004322A9">
        <w:rPr>
          <w:rFonts w:ascii="Bookman Old Style" w:hAnsi="Bookman Old Style" w:cs="Times New Roman"/>
          <w:sz w:val="24"/>
          <w:szCs w:val="24"/>
          <w:lang w:val="fr-BE"/>
        </w:rPr>
        <w:t>aux</w:t>
      </w:r>
      <w:r w:rsidRPr="00CA196C">
        <w:rPr>
          <w:rFonts w:ascii="Bookman Old Style" w:hAnsi="Bookman Old Style" w:cs="Times New Roman"/>
          <w:sz w:val="24"/>
          <w:szCs w:val="24"/>
        </w:rPr>
        <w:t xml:space="preserve"> problèmes d’ordre structurel et conjoncturel</w:t>
      </w:r>
      <w:r w:rsidRPr="00CA196C">
        <w:rPr>
          <w:rFonts w:ascii="Bookman Old Style" w:hAnsi="Bookman Old Style" w:cs="Times New Roman"/>
          <w:sz w:val="24"/>
          <w:szCs w:val="24"/>
          <w:lang w:val="fr-BE"/>
        </w:rPr>
        <w:t>. L</w:t>
      </w:r>
      <w:r w:rsidRPr="00CA196C">
        <w:rPr>
          <w:rFonts w:ascii="Bookman Old Style" w:hAnsi="Bookman Old Style" w:cs="Times New Roman"/>
          <w:sz w:val="24"/>
          <w:szCs w:val="24"/>
        </w:rPr>
        <w:t xml:space="preserve">es rendements agricoles et d’élevage actuels restent inférieurs aux rendements potentiels. En vue de relancer la production agricole et d’atténuer le déficit alimentaire,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s’est doté d’un Plan National d’Investissement Agricole (PNIA) sur la période 2012-2017 qui se décline en 16 Plans Provinciaux d’Investissement Agricole (16 PPIA). Ainsi, un Programme National de Subvention des Engrais (PNSEB), un Programme de Subvention des Semences Sélectionnées, la réorganisation de certaines cultures (café, thé, coton, riz) en filières et des réformes organisationnelles et institutionnelles ont été mis en œuvre. </w:t>
      </w:r>
      <w:r w:rsidRPr="00CA196C">
        <w:rPr>
          <w:rFonts w:ascii="Bookman Old Style" w:eastAsia="Times New Roman" w:hAnsi="Bookman Old Style" w:cs="Times New Roman"/>
          <w:sz w:val="24"/>
          <w:szCs w:val="24"/>
        </w:rPr>
        <w:t>Les cultures vivrières</w:t>
      </w:r>
      <w:r w:rsidRPr="00CA196C">
        <w:rPr>
          <w:rFonts w:ascii="Bookman Old Style" w:eastAsia="Times New Roman" w:hAnsi="Bookman Old Style" w:cs="Times New Roman"/>
          <w:b/>
          <w:sz w:val="24"/>
          <w:szCs w:val="24"/>
        </w:rPr>
        <w:t xml:space="preserve"> </w:t>
      </w:r>
      <w:r w:rsidRPr="00CA196C">
        <w:rPr>
          <w:rFonts w:ascii="Bookman Old Style" w:eastAsia="Times New Roman" w:hAnsi="Bookman Old Style" w:cs="Times New Roman"/>
          <w:sz w:val="24"/>
          <w:szCs w:val="24"/>
        </w:rPr>
        <w:t xml:space="preserve">sont variées et leur production s’est améliorée entre 2011-2013 pour connaître une régression progressive sur la période 2013-2015. </w:t>
      </w:r>
      <w:r w:rsidR="008653C3" w:rsidRPr="00CA196C">
        <w:rPr>
          <w:rFonts w:ascii="Bookman Old Style" w:eastAsia="Times New Roman" w:hAnsi="Bookman Old Style" w:cs="Times New Roman"/>
          <w:sz w:val="24"/>
          <w:szCs w:val="24"/>
        </w:rPr>
        <w:t xml:space="preserve">Quant aux </w:t>
      </w:r>
      <w:r w:rsidRPr="00CA196C">
        <w:rPr>
          <w:rFonts w:ascii="Bookman Old Style" w:hAnsi="Bookman Old Style" w:cs="Times New Roman"/>
          <w:sz w:val="24"/>
          <w:szCs w:val="24"/>
        </w:rPr>
        <w:t>cultures industrielles (café, thé, coton, huile de palme)</w:t>
      </w:r>
      <w:r w:rsidR="00E32B14" w:rsidRPr="00CA196C">
        <w:rPr>
          <w:rFonts w:ascii="Bookman Old Style" w:hAnsi="Bookman Old Style" w:cs="Times New Roman"/>
          <w:sz w:val="24"/>
          <w:szCs w:val="24"/>
        </w:rPr>
        <w:t>, la production</w:t>
      </w:r>
      <w:r w:rsidRPr="00CA196C">
        <w:rPr>
          <w:rFonts w:ascii="Bookman Old Style" w:hAnsi="Bookman Old Style" w:cs="Times New Roman"/>
          <w:sz w:val="24"/>
          <w:szCs w:val="24"/>
        </w:rPr>
        <w:t xml:space="preserve"> du thé a connu une</w:t>
      </w:r>
      <w:r w:rsidR="00E32B14" w:rsidRPr="00CA196C">
        <w:rPr>
          <w:rFonts w:ascii="Bookman Old Style" w:hAnsi="Bookman Old Style" w:cs="Times New Roman"/>
          <w:sz w:val="24"/>
          <w:szCs w:val="24"/>
        </w:rPr>
        <w:t xml:space="preserve"> tendance générale</w:t>
      </w:r>
      <w:r w:rsidRPr="00CA196C">
        <w:rPr>
          <w:rFonts w:ascii="Bookman Old Style" w:hAnsi="Bookman Old Style" w:cs="Times New Roman"/>
          <w:sz w:val="24"/>
          <w:szCs w:val="24"/>
        </w:rPr>
        <w:t xml:space="preserve"> croissan</w:t>
      </w:r>
      <w:r w:rsidR="00E32B14" w:rsidRPr="00CA196C">
        <w:rPr>
          <w:rFonts w:ascii="Bookman Old Style" w:hAnsi="Bookman Old Style" w:cs="Times New Roman"/>
          <w:sz w:val="24"/>
          <w:szCs w:val="24"/>
        </w:rPr>
        <w:t>t</w:t>
      </w:r>
      <w:r w:rsidRPr="00CA196C">
        <w:rPr>
          <w:rFonts w:ascii="Bookman Old Style" w:hAnsi="Bookman Old Style" w:cs="Times New Roman"/>
          <w:sz w:val="24"/>
          <w:szCs w:val="24"/>
        </w:rPr>
        <w:t>e</w:t>
      </w:r>
      <w:r w:rsidR="003A0BBD" w:rsidRPr="00CA196C">
        <w:rPr>
          <w:rFonts w:ascii="Bookman Old Style" w:hAnsi="Bookman Old Style" w:cs="Times New Roman"/>
          <w:sz w:val="24"/>
          <w:szCs w:val="24"/>
        </w:rPr>
        <w:t xml:space="preserve"> jusqu</w:t>
      </w:r>
      <w:r w:rsidR="00E32B14" w:rsidRPr="00CA196C">
        <w:rPr>
          <w:rFonts w:ascii="Bookman Old Style" w:hAnsi="Bookman Old Style" w:cs="Times New Roman"/>
          <w:sz w:val="24"/>
          <w:szCs w:val="24"/>
        </w:rPr>
        <w:t xml:space="preserve">’à plus de 4 000 tonnes depuis 2010. Par contre, la production du café a été volatile  </w:t>
      </w:r>
      <w:r w:rsidRPr="00CA196C">
        <w:rPr>
          <w:rFonts w:ascii="Bookman Old Style" w:hAnsi="Bookman Old Style" w:cs="Times New Roman"/>
          <w:sz w:val="24"/>
          <w:szCs w:val="24"/>
        </w:rPr>
        <w:t xml:space="preserve"> tandis que l’huile de palme et le coton ont connu une progression constante jusqu’en 2012 </w:t>
      </w:r>
      <w:r w:rsidR="007D6EAE" w:rsidRPr="00CA196C">
        <w:rPr>
          <w:rFonts w:ascii="Bookman Old Style" w:hAnsi="Bookman Old Style" w:cs="Times New Roman"/>
          <w:sz w:val="24"/>
          <w:szCs w:val="24"/>
        </w:rPr>
        <w:t>et une baisse</w:t>
      </w:r>
      <w:r w:rsidRPr="00CA196C">
        <w:rPr>
          <w:rFonts w:ascii="Bookman Old Style" w:hAnsi="Bookman Old Style" w:cs="Times New Roman"/>
          <w:sz w:val="24"/>
          <w:szCs w:val="24"/>
        </w:rPr>
        <w:t xml:space="preserve"> en 2013</w:t>
      </w:r>
      <w:r w:rsidR="008653C3" w:rsidRPr="00CA196C">
        <w:rPr>
          <w:rFonts w:ascii="Bookman Old Style" w:hAnsi="Bookman Old Style" w:cs="Times New Roman"/>
          <w:sz w:val="24"/>
          <w:szCs w:val="24"/>
        </w:rPr>
        <w:t xml:space="preserve"> mais les deux cult</w:t>
      </w:r>
      <w:r w:rsidR="007D6EAE" w:rsidRPr="00CA196C">
        <w:rPr>
          <w:rFonts w:ascii="Bookman Old Style" w:hAnsi="Bookman Old Style" w:cs="Times New Roman"/>
          <w:sz w:val="24"/>
          <w:szCs w:val="24"/>
        </w:rPr>
        <w:t>ures ont enregistré une légère augmentation en 2014.</w:t>
      </w:r>
    </w:p>
    <w:p w:rsidR="00E86D60" w:rsidRPr="00CA196C" w:rsidRDefault="00E86D60" w:rsidP="00E86D60">
      <w:pPr>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D76FCA">
      <w:pPr>
        <w:pStyle w:val="Sous-titre"/>
        <w:rPr>
          <w:rFonts w:ascii="Bookman Old Style" w:hAnsi="Bookman Old Style"/>
        </w:rPr>
      </w:pPr>
      <w:bookmarkStart w:id="45" w:name="_Toc511076252"/>
      <w:bookmarkStart w:id="46" w:name="_Toc511080859"/>
      <w:bookmarkStart w:id="47" w:name="_Toc511081535"/>
      <w:r w:rsidRPr="00CA196C">
        <w:rPr>
          <w:rFonts w:ascii="Bookman Old Style" w:hAnsi="Bookman Old Style"/>
        </w:rPr>
        <w:t xml:space="preserve">Graphique </w:t>
      </w:r>
      <w:r w:rsidR="00E86D60" w:rsidRPr="00CA196C">
        <w:rPr>
          <w:rFonts w:ascii="Bookman Old Style" w:hAnsi="Bookman Old Style"/>
        </w:rPr>
        <w:t xml:space="preserve">1. </w:t>
      </w:r>
      <w:r w:rsidRPr="00CA196C">
        <w:rPr>
          <w:rFonts w:ascii="Bookman Old Style" w:hAnsi="Bookman Old Style"/>
        </w:rPr>
        <w:t>Evolution de la production des cultures industrielles</w:t>
      </w:r>
      <w:bookmarkEnd w:id="45"/>
      <w:bookmarkEnd w:id="46"/>
      <w:bookmarkEnd w:id="47"/>
      <w:r w:rsidRPr="00CA196C">
        <w:rPr>
          <w:rFonts w:ascii="Bookman Old Style" w:hAnsi="Bookman Old Style"/>
        </w:rPr>
        <w:t xml:space="preserve"> </w:t>
      </w:r>
    </w:p>
    <w:p w:rsidR="00DE3A23" w:rsidRPr="00CA196C" w:rsidRDefault="00DE3A23" w:rsidP="00E92676">
      <w:pPr>
        <w:spacing w:before="160" w:after="120" w:line="240" w:lineRule="auto"/>
        <w:jc w:val="both"/>
        <w:rPr>
          <w:rFonts w:ascii="Bookman Old Style" w:hAnsi="Bookman Old Style" w:cs="Times New Roman"/>
          <w:noProof/>
          <w:sz w:val="24"/>
          <w:szCs w:val="24"/>
          <w:lang w:eastAsia="fr-FR"/>
        </w:rPr>
      </w:pPr>
      <w:r w:rsidRPr="00CA196C">
        <w:rPr>
          <w:rFonts w:ascii="Bookman Old Style" w:hAnsi="Bookman Old Style" w:cs="Times New Roman"/>
          <w:noProof/>
          <w:sz w:val="24"/>
          <w:szCs w:val="24"/>
          <w:lang w:eastAsia="fr-FR"/>
        </w:rPr>
        <w:t xml:space="preserve">       </w:t>
      </w:r>
      <w:r w:rsidRPr="00CA196C">
        <w:rPr>
          <w:rFonts w:ascii="Bookman Old Style" w:hAnsi="Bookman Old Style" w:cs="Times New Roman"/>
          <w:noProof/>
          <w:sz w:val="24"/>
          <w:szCs w:val="24"/>
          <w:lang w:eastAsia="fr-FR"/>
        </w:rPr>
        <w:drawing>
          <wp:inline distT="0" distB="0" distL="0" distR="0">
            <wp:extent cx="4613681" cy="2892056"/>
            <wp:effectExtent l="19050" t="19050" r="15875" b="2286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0" cstate="print"/>
                    <a:srcRect/>
                    <a:stretch>
                      <a:fillRect/>
                    </a:stretch>
                  </pic:blipFill>
                  <pic:spPr bwMode="auto">
                    <a:xfrm>
                      <a:off x="0" y="0"/>
                      <a:ext cx="4630908" cy="2902855"/>
                    </a:xfrm>
                    <a:prstGeom prst="rect">
                      <a:avLst/>
                    </a:prstGeom>
                    <a:noFill/>
                    <a:ln w="6350" cmpd="sng">
                      <a:solidFill>
                        <a:srgbClr val="000000"/>
                      </a:solidFill>
                      <a:miter lim="800000"/>
                      <a:headEnd/>
                      <a:tailEnd/>
                    </a:ln>
                    <a:effectLst/>
                  </pic:spPr>
                </pic:pic>
              </a:graphicData>
            </a:graphic>
          </wp:inline>
        </w:drawing>
      </w:r>
    </w:p>
    <w:p w:rsidR="00DE3A23" w:rsidRPr="00CA196C" w:rsidRDefault="00DE3A23" w:rsidP="00130D07">
      <w:pPr>
        <w:keepNext/>
        <w:keepLines/>
        <w:numPr>
          <w:ilvl w:val="0"/>
          <w:numId w:val="5"/>
        </w:numPr>
        <w:tabs>
          <w:tab w:val="left" w:pos="567"/>
          <w:tab w:val="left" w:pos="709"/>
          <w:tab w:val="left" w:pos="851"/>
        </w:tabs>
        <w:spacing w:before="200" w:after="0" w:line="240" w:lineRule="auto"/>
        <w:contextualSpacing/>
        <w:jc w:val="both"/>
        <w:outlineLvl w:val="3"/>
        <w:rPr>
          <w:rFonts w:ascii="Bookman Old Style" w:eastAsiaTheme="majorEastAsia" w:hAnsi="Bookman Old Style" w:cs="Times New Roman"/>
          <w:b/>
          <w:bCs/>
          <w:i/>
          <w:iCs/>
          <w:sz w:val="24"/>
          <w:szCs w:val="24"/>
        </w:rPr>
      </w:pPr>
      <w:r w:rsidRPr="00CA196C">
        <w:rPr>
          <w:rFonts w:ascii="Bookman Old Style" w:eastAsiaTheme="majorEastAsia" w:hAnsi="Bookman Old Style" w:cs="Times New Roman"/>
          <w:b/>
          <w:bCs/>
          <w:i/>
          <w:iCs/>
          <w:sz w:val="24"/>
          <w:szCs w:val="24"/>
        </w:rPr>
        <w:lastRenderedPageBreak/>
        <w:t xml:space="preserve"> </w:t>
      </w:r>
      <w:r w:rsidR="004322A9">
        <w:rPr>
          <w:rFonts w:ascii="Bookman Old Style" w:hAnsi="Bookman Old Style" w:cs="Times New Roman"/>
          <w:spacing w:val="1"/>
          <w:sz w:val="24"/>
          <w:szCs w:val="24"/>
        </w:rPr>
        <w:t>Le secteur d’</w:t>
      </w:r>
      <w:r w:rsidRPr="004322A9">
        <w:rPr>
          <w:rFonts w:ascii="Bookman Old Style" w:hAnsi="Bookman Old Style" w:cs="Times New Roman"/>
          <w:b/>
          <w:spacing w:val="1"/>
          <w:sz w:val="24"/>
          <w:szCs w:val="24"/>
        </w:rPr>
        <w:t>élevage</w:t>
      </w:r>
      <w:r w:rsidRPr="00CA196C">
        <w:rPr>
          <w:rFonts w:ascii="Bookman Old Style" w:hAnsi="Bookman Old Style" w:cs="Times New Roman"/>
          <w:spacing w:val="1"/>
          <w:sz w:val="24"/>
          <w:szCs w:val="24"/>
        </w:rPr>
        <w:t xml:space="preserve"> a connu une légère progression consécutive à la mise en œuvre des programmes de repeuplement du cheptel bovin (PAIVA-B, PRODEMA, PPCDR) en faveur des populations rurales. </w:t>
      </w:r>
      <w:r w:rsidRPr="00CA196C">
        <w:rPr>
          <w:rFonts w:ascii="Bookman Old Style" w:hAnsi="Bookman Old Style" w:cs="Times New Roman"/>
          <w:sz w:val="24"/>
          <w:szCs w:val="24"/>
        </w:rPr>
        <w:t xml:space="preserve">Les réformes menées dans </w:t>
      </w:r>
      <w:r w:rsidR="00130D07">
        <w:rPr>
          <w:rFonts w:ascii="Bookman Old Style" w:hAnsi="Bookman Old Style" w:cs="Times New Roman"/>
          <w:sz w:val="24"/>
          <w:szCs w:val="24"/>
        </w:rPr>
        <w:t>ce domaine</w:t>
      </w:r>
      <w:r w:rsidRPr="00CA196C">
        <w:rPr>
          <w:rFonts w:ascii="Bookman Old Style" w:hAnsi="Bookman Old Style" w:cs="Times New Roman"/>
          <w:sz w:val="24"/>
          <w:szCs w:val="24"/>
        </w:rPr>
        <w:t xml:space="preserve"> ont induit des changements positifs dans la promotion du secteur pastoral.</w:t>
      </w:r>
      <w:r w:rsidRPr="00CA196C">
        <w:rPr>
          <w:rFonts w:ascii="Bookman Old Style" w:hAnsi="Bookman Old Style" w:cs="Times New Roman"/>
          <w:spacing w:val="1"/>
          <w:sz w:val="24"/>
          <w:szCs w:val="24"/>
        </w:rPr>
        <w:t xml:space="preserve"> </w:t>
      </w:r>
    </w:p>
    <w:p w:rsidR="00DE3A23" w:rsidRPr="00CA196C" w:rsidRDefault="00DE3A23" w:rsidP="00E92676">
      <w:pPr>
        <w:keepNext/>
        <w:keepLines/>
        <w:spacing w:before="200" w:after="0" w:line="240" w:lineRule="auto"/>
        <w:ind w:left="360"/>
        <w:contextualSpacing/>
        <w:jc w:val="both"/>
        <w:outlineLvl w:val="3"/>
        <w:rPr>
          <w:rFonts w:ascii="Bookman Old Style" w:eastAsiaTheme="majorEastAsia" w:hAnsi="Bookman Old Style" w:cs="Times New Roman"/>
          <w:b/>
          <w:bCs/>
          <w:i/>
          <w:iCs/>
          <w:sz w:val="24"/>
          <w:szCs w:val="24"/>
        </w:rPr>
      </w:pPr>
    </w:p>
    <w:p w:rsidR="00DE3A23" w:rsidRPr="00CA196C" w:rsidRDefault="00DE3A23" w:rsidP="00E92676">
      <w:pPr>
        <w:spacing w:after="60" w:line="240" w:lineRule="auto"/>
        <w:jc w:val="both"/>
        <w:outlineLvl w:val="1"/>
        <w:rPr>
          <w:rFonts w:ascii="Bookman Old Style" w:eastAsia="Times New Roman" w:hAnsi="Bookman Old Style" w:cs="Times New Roman"/>
          <w:b/>
          <w:sz w:val="24"/>
          <w:szCs w:val="24"/>
        </w:rPr>
      </w:pPr>
    </w:p>
    <w:p w:rsidR="00DE3A23" w:rsidRPr="00CA196C" w:rsidRDefault="00E86D60" w:rsidP="00D76FCA">
      <w:pPr>
        <w:pStyle w:val="Sous-titre"/>
        <w:rPr>
          <w:rFonts w:ascii="Bookman Old Style" w:hAnsi="Bookman Old Style"/>
        </w:rPr>
      </w:pPr>
      <w:bookmarkStart w:id="48" w:name="_Toc511076253"/>
      <w:bookmarkStart w:id="49" w:name="_Toc511080860"/>
      <w:bookmarkStart w:id="50" w:name="_Toc511081536"/>
      <w:r w:rsidRPr="00CA196C">
        <w:rPr>
          <w:rFonts w:ascii="Bookman Old Style" w:hAnsi="Bookman Old Style"/>
        </w:rPr>
        <w:t>Graphique 2</w:t>
      </w:r>
      <w:r w:rsidR="00DE3A23" w:rsidRPr="00CA196C">
        <w:rPr>
          <w:rFonts w:ascii="Bookman Old Style" w:hAnsi="Bookman Old Style"/>
        </w:rPr>
        <w:t>. L'évolution des effectifs d'animaux d'élevage de 2012-2015</w:t>
      </w:r>
      <w:bookmarkEnd w:id="48"/>
      <w:bookmarkEnd w:id="49"/>
      <w:bookmarkEnd w:id="50"/>
    </w:p>
    <w:p w:rsidR="00DE3A23" w:rsidRPr="00CA196C" w:rsidRDefault="00DE3A23" w:rsidP="00E92676">
      <w:p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noProof/>
          <w:sz w:val="24"/>
          <w:szCs w:val="24"/>
          <w:lang w:eastAsia="fr-FR"/>
        </w:rPr>
        <w:drawing>
          <wp:inline distT="0" distB="0" distL="0" distR="0">
            <wp:extent cx="5072742" cy="2447925"/>
            <wp:effectExtent l="0" t="0" r="0" b="0"/>
            <wp:docPr id="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spect="1" noChangeArrowheads="1"/>
                    </pic:cNvPicPr>
                  </pic:nvPicPr>
                  <pic:blipFill>
                    <a:blip r:embed="rId31" cstate="print"/>
                    <a:srcRect b="-61"/>
                    <a:stretch>
                      <a:fillRect/>
                    </a:stretch>
                  </pic:blipFill>
                  <pic:spPr bwMode="auto">
                    <a:xfrm>
                      <a:off x="0" y="0"/>
                      <a:ext cx="5087374" cy="2454986"/>
                    </a:xfrm>
                    <a:prstGeom prst="rect">
                      <a:avLst/>
                    </a:prstGeom>
                    <a:noFill/>
                    <a:ln w="9525">
                      <a:noFill/>
                      <a:miter lim="800000"/>
                      <a:headEnd/>
                      <a:tailEnd/>
                    </a:ln>
                  </pic:spPr>
                </pic:pic>
              </a:graphicData>
            </a:graphic>
          </wp:inline>
        </w:drawing>
      </w:r>
    </w:p>
    <w:p w:rsidR="00ED1681" w:rsidRPr="00CA196C" w:rsidRDefault="00DE3A23" w:rsidP="00E92676">
      <w:p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
          <w:sz w:val="24"/>
          <w:szCs w:val="24"/>
          <w:u w:val="single"/>
        </w:rPr>
        <w:t>Source </w:t>
      </w:r>
      <w:r w:rsidRPr="00CA196C">
        <w:rPr>
          <w:rFonts w:ascii="Bookman Old Style" w:hAnsi="Bookman Old Style" w:cs="Times New Roman"/>
          <w:b/>
          <w:sz w:val="24"/>
          <w:szCs w:val="24"/>
        </w:rPr>
        <w:t>:</w:t>
      </w:r>
      <w:r w:rsidRPr="00CA196C">
        <w:rPr>
          <w:rFonts w:ascii="Bookman Old Style" w:hAnsi="Bookman Old Style" w:cs="Times New Roman"/>
          <w:sz w:val="24"/>
          <w:szCs w:val="24"/>
        </w:rPr>
        <w:t xml:space="preserve"> Rapports Enquête Nationale Agricole du Burundi (ENAB) 2012-2015 </w:t>
      </w:r>
    </w:p>
    <w:p w:rsidR="00DE3A23" w:rsidRPr="00CA196C" w:rsidRDefault="00DE3A23" w:rsidP="00130D07">
      <w:pPr>
        <w:keepNext/>
        <w:keepLines/>
        <w:numPr>
          <w:ilvl w:val="0"/>
          <w:numId w:val="5"/>
        </w:numPr>
        <w:tabs>
          <w:tab w:val="left" w:pos="567"/>
        </w:tabs>
        <w:spacing w:before="200" w:after="0" w:line="240" w:lineRule="auto"/>
        <w:contextualSpacing/>
        <w:jc w:val="both"/>
        <w:outlineLvl w:val="3"/>
        <w:rPr>
          <w:rFonts w:ascii="Bookman Old Style" w:eastAsiaTheme="majorEastAsia" w:hAnsi="Bookman Old Style" w:cs="Times New Roman"/>
          <w:b/>
          <w:bCs/>
          <w:i/>
          <w:iCs/>
          <w:sz w:val="24"/>
          <w:szCs w:val="24"/>
        </w:rPr>
      </w:pPr>
      <w:r w:rsidRPr="00CA196C">
        <w:rPr>
          <w:rFonts w:ascii="Bookman Old Style" w:hAnsi="Bookman Old Style" w:cs="Times New Roman"/>
          <w:b/>
          <w:sz w:val="24"/>
          <w:szCs w:val="24"/>
        </w:rPr>
        <w:t>La pêche et la pisciculture</w:t>
      </w:r>
      <w:r w:rsidRPr="00CA196C">
        <w:rPr>
          <w:rFonts w:ascii="Bookman Old Style" w:hAnsi="Bookman Old Style" w:cs="Times New Roman"/>
          <w:sz w:val="24"/>
          <w:szCs w:val="24"/>
        </w:rPr>
        <w:t xml:space="preserve"> enregistrent une production insuffisante pour répondre à la demande. La consommation des produits halieutiques est d’environ 2kg /personne/an contre une moyenne de 8 kg/personne /an pour l’Afrique alors qu’il est recommandé 20 kg / personne/an.</w:t>
      </w:r>
      <w:bookmarkStart w:id="51" w:name="OLE_LINK112"/>
      <w:bookmarkStart w:id="52" w:name="OLE_LINK113"/>
    </w:p>
    <w:p w:rsidR="00DE3A23" w:rsidRPr="00CA196C" w:rsidRDefault="00DE3A23" w:rsidP="00E92676">
      <w:pPr>
        <w:keepNext/>
        <w:keepLines/>
        <w:spacing w:before="200" w:after="0" w:line="240" w:lineRule="auto"/>
        <w:ind w:left="360"/>
        <w:contextualSpacing/>
        <w:jc w:val="both"/>
        <w:outlineLvl w:val="3"/>
        <w:rPr>
          <w:rFonts w:ascii="Bookman Old Style" w:eastAsiaTheme="majorEastAsia" w:hAnsi="Bookman Old Style" w:cs="Times New Roman"/>
          <w:b/>
          <w:bCs/>
          <w:i/>
          <w:iCs/>
          <w:sz w:val="24"/>
          <w:szCs w:val="24"/>
        </w:rPr>
      </w:pPr>
    </w:p>
    <w:p w:rsidR="00DE3A23" w:rsidRPr="00CA196C" w:rsidRDefault="00DE3A23" w:rsidP="00CD26FF">
      <w:pPr>
        <w:keepNext/>
        <w:keepLines/>
        <w:numPr>
          <w:ilvl w:val="0"/>
          <w:numId w:val="5"/>
        </w:numPr>
        <w:spacing w:before="200" w:after="0" w:line="240" w:lineRule="auto"/>
        <w:contextualSpacing/>
        <w:jc w:val="both"/>
        <w:outlineLvl w:val="3"/>
        <w:rPr>
          <w:rFonts w:ascii="Bookman Old Style" w:eastAsiaTheme="majorEastAsia" w:hAnsi="Bookman Old Style" w:cs="Times New Roman"/>
          <w:b/>
          <w:bCs/>
          <w:i/>
          <w:iCs/>
          <w:sz w:val="24"/>
          <w:szCs w:val="24"/>
        </w:rPr>
      </w:pPr>
      <w:r w:rsidRPr="00CA196C">
        <w:rPr>
          <w:rFonts w:ascii="Bookman Old Style" w:hAnsi="Bookman Old Style" w:cs="Times New Roman"/>
          <w:sz w:val="24"/>
          <w:szCs w:val="24"/>
        </w:rPr>
        <w:t>Les défis du secteur agricole et élevage sont à la fois d’ordre structurel et conjoncturel: (i) l’accroissement de l’offre énergétique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les infrastructures de transformation et de conservation</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l’accès au crédit agricole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recherche et la vulgarisation</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 l’ouverture aux marchés national, sous-régional et international</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la maitrise des aléas climatiques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 pression démographique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la protection des terres; (ix) la gestion des terres ; (x) la mécanisation agricole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 l’encadrement des agriculteurs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 la maitrise des maladies et ravageurs des plantes et animaux</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(xiii) les semences sélectionnées</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(xiv)</w:t>
      </w:r>
      <w:r w:rsidR="003A0BB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les centres vétérinaires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(xv) l’intensification de la pisciculture et de l’apiculture</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(xvi) la préservation des zones agricoles</w:t>
      </w:r>
      <w:r w:rsidR="003A0BBD" w:rsidRPr="00CA196C">
        <w:rPr>
          <w:rFonts w:ascii="Bookman Old Style" w:hAnsi="Bookman Old Style" w:cs="Times New Roman"/>
          <w:sz w:val="24"/>
          <w:szCs w:val="24"/>
        </w:rPr>
        <w:t xml:space="preserve"> ; </w:t>
      </w:r>
      <w:r w:rsidR="00130D07">
        <w:rPr>
          <w:rFonts w:ascii="Bookman Old Style" w:hAnsi="Bookman Old Style" w:cs="Times New Roman"/>
          <w:sz w:val="24"/>
          <w:szCs w:val="24"/>
        </w:rPr>
        <w:t>(</w:t>
      </w:r>
      <w:r w:rsidRPr="00CA196C">
        <w:rPr>
          <w:rFonts w:ascii="Bookman Old Style" w:hAnsi="Bookman Old Style" w:cs="Times New Roman"/>
          <w:sz w:val="24"/>
          <w:szCs w:val="24"/>
        </w:rPr>
        <w:t>xvii) l'</w:t>
      </w:r>
      <w:r w:rsidR="00130D07">
        <w:rPr>
          <w:rFonts w:ascii="Bookman Old Style" w:hAnsi="Bookman Old Style" w:cs="Times New Roman"/>
          <w:sz w:val="24"/>
          <w:szCs w:val="24"/>
        </w:rPr>
        <w:t>irrigation et l’</w:t>
      </w:r>
      <w:r w:rsidRPr="00CA196C">
        <w:rPr>
          <w:rFonts w:ascii="Bookman Old Style" w:hAnsi="Bookman Old Style" w:cs="Times New Roman"/>
          <w:sz w:val="24"/>
          <w:szCs w:val="24"/>
        </w:rPr>
        <w:t>utilisation de l’eau de pluie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w:t>
      </w:r>
      <w:r w:rsidR="003A0BBD" w:rsidRPr="00CA196C">
        <w:rPr>
          <w:rFonts w:ascii="Bookman Old Style" w:hAnsi="Bookman Old Style" w:cs="Times New Roman"/>
          <w:sz w:val="24"/>
          <w:szCs w:val="24"/>
        </w:rPr>
        <w:t>v</w:t>
      </w:r>
      <w:r w:rsidR="00C3294E" w:rsidRPr="00CA196C">
        <w:rPr>
          <w:rFonts w:ascii="Bookman Old Style" w:hAnsi="Bookman Old Style" w:cs="Times New Roman"/>
          <w:sz w:val="24"/>
          <w:szCs w:val="24"/>
        </w:rPr>
        <w:t>iii</w:t>
      </w:r>
      <w:r w:rsidRPr="00CA196C">
        <w:rPr>
          <w:rFonts w:ascii="Bookman Old Style" w:hAnsi="Bookman Old Style" w:cs="Times New Roman"/>
          <w:sz w:val="24"/>
          <w:szCs w:val="24"/>
        </w:rPr>
        <w:t>) la stabulation permanente et (x</w:t>
      </w:r>
      <w:r w:rsidR="003A0BBD" w:rsidRPr="00CA196C">
        <w:rPr>
          <w:rFonts w:ascii="Bookman Old Style" w:hAnsi="Bookman Old Style" w:cs="Times New Roman"/>
          <w:sz w:val="24"/>
          <w:szCs w:val="24"/>
        </w:rPr>
        <w:t>i</w:t>
      </w:r>
      <w:r w:rsidR="00C3294E" w:rsidRPr="00CA196C">
        <w:rPr>
          <w:rFonts w:ascii="Bookman Old Style" w:hAnsi="Bookman Old Style" w:cs="Times New Roman"/>
          <w:sz w:val="24"/>
          <w:szCs w:val="24"/>
        </w:rPr>
        <w:t>x</w:t>
      </w:r>
      <w:r w:rsidRPr="00CA196C">
        <w:rPr>
          <w:rFonts w:ascii="Bookman Old Style" w:hAnsi="Bookman Old Style" w:cs="Times New Roman"/>
          <w:sz w:val="24"/>
          <w:szCs w:val="24"/>
        </w:rPr>
        <w:t>) le personnel vétérinaire qualifié de niveau supérieur .</w:t>
      </w:r>
    </w:p>
    <w:p w:rsidR="00ED1681" w:rsidRPr="00CA196C" w:rsidRDefault="009D7C81" w:rsidP="00BD2775">
      <w:pPr>
        <w:pStyle w:val="Titre3"/>
        <w:rPr>
          <w:rFonts w:ascii="Bookman Old Style" w:hAnsi="Bookman Old Style"/>
        </w:rPr>
      </w:pPr>
      <w:bookmarkStart w:id="53" w:name="_Toc511076174"/>
      <w:bookmarkStart w:id="54" w:name="_Toc511080861"/>
      <w:bookmarkStart w:id="55" w:name="_Toc511081376"/>
      <w:bookmarkStart w:id="56" w:name="_Toc511081537"/>
      <w:bookmarkStart w:id="57" w:name="_Toc499201594"/>
      <w:bookmarkEnd w:id="51"/>
      <w:bookmarkEnd w:id="52"/>
      <w:r>
        <w:rPr>
          <w:rFonts w:ascii="Bookman Old Style" w:hAnsi="Bookman Old Style"/>
        </w:rPr>
        <w:t>3.1.2</w:t>
      </w:r>
      <w:r w:rsidR="0039336E" w:rsidRPr="00CA196C">
        <w:rPr>
          <w:rFonts w:ascii="Bookman Old Style" w:hAnsi="Bookman Old Style"/>
        </w:rPr>
        <w:t xml:space="preserve">. </w:t>
      </w:r>
      <w:r w:rsidR="00DE3A23" w:rsidRPr="00CA196C">
        <w:rPr>
          <w:rFonts w:ascii="Bookman Old Style" w:hAnsi="Bookman Old Style"/>
        </w:rPr>
        <w:t>Infrastructures d’appui à la production</w:t>
      </w:r>
      <w:bookmarkEnd w:id="53"/>
      <w:bookmarkEnd w:id="54"/>
      <w:bookmarkEnd w:id="55"/>
      <w:bookmarkEnd w:id="56"/>
      <w:r w:rsidR="00DE3A23" w:rsidRPr="00CA196C">
        <w:rPr>
          <w:rFonts w:ascii="Bookman Old Style" w:hAnsi="Bookman Old Style"/>
        </w:rPr>
        <w:t xml:space="preserve"> </w:t>
      </w:r>
      <w:bookmarkEnd w:id="57"/>
    </w:p>
    <w:p w:rsidR="00DE3A23" w:rsidRPr="00CA196C" w:rsidRDefault="00DE3A23" w:rsidP="00130D07">
      <w:pPr>
        <w:numPr>
          <w:ilvl w:val="0"/>
          <w:numId w:val="5"/>
        </w:numPr>
        <w:tabs>
          <w:tab w:val="left" w:pos="567"/>
          <w:tab w:val="left" w:pos="709"/>
        </w:tabs>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Les infrastructures d’appui aux secteurs productifs présentent un grand intérêt pour le Burundi en vue de créer les conditions favorables </w:t>
      </w:r>
      <w:r w:rsidR="00130D07">
        <w:rPr>
          <w:rFonts w:ascii="Bookman Old Style" w:hAnsi="Bookman Old Style" w:cs="Times New Roman"/>
          <w:sz w:val="24"/>
          <w:szCs w:val="24"/>
        </w:rPr>
        <w:t>au</w:t>
      </w:r>
      <w:r w:rsidRPr="00CA196C">
        <w:rPr>
          <w:rFonts w:ascii="Bookman Old Style" w:hAnsi="Bookman Old Style" w:cs="Times New Roman"/>
          <w:sz w:val="24"/>
          <w:szCs w:val="24"/>
        </w:rPr>
        <w:t xml:space="preserve"> développement socio-économique du pays. </w:t>
      </w:r>
      <w:r w:rsidRPr="00CA196C">
        <w:rPr>
          <w:rFonts w:ascii="Bookman Old Style" w:hAnsi="Bookman Old Style" w:cs="Times New Roman"/>
          <w:b/>
          <w:sz w:val="24"/>
          <w:szCs w:val="24"/>
        </w:rPr>
        <w:t xml:space="preserve">Le secteur de l'énergie </w:t>
      </w:r>
      <w:r w:rsidRPr="00CA196C">
        <w:rPr>
          <w:rFonts w:ascii="Bookman Old Style" w:hAnsi="Bookman Old Style" w:cs="Times New Roman"/>
          <w:sz w:val="24"/>
          <w:szCs w:val="24"/>
        </w:rPr>
        <w:t xml:space="preserve">est </w:t>
      </w:r>
      <w:r w:rsidRPr="00CA196C">
        <w:rPr>
          <w:rFonts w:ascii="Bookman Old Style" w:hAnsi="Bookman Old Style" w:cs="Times New Roman"/>
          <w:sz w:val="24"/>
          <w:szCs w:val="24"/>
        </w:rPr>
        <w:lastRenderedPageBreak/>
        <w:t>dominé essentiellement par les énergies traditionnelles (bois, charbon de bois, biomasse, etc.) et par l'énergie moderne (l'électricité et les produits pétroliers). Environ 98 % de la population burundaise, aussi bien urbaine que rurale</w:t>
      </w:r>
      <w:r w:rsidR="00851DB8"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 utilisent le bois et le charbon de bois comme source d’énergie surtout pour le chauffage et la cuisson des aliments</w:t>
      </w:r>
      <w:r w:rsidR="00851DB8"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ce qui </w:t>
      </w:r>
      <w:r w:rsidR="008653C3" w:rsidRPr="00CA196C">
        <w:rPr>
          <w:rFonts w:ascii="Bookman Old Style" w:hAnsi="Bookman Old Style" w:cs="Times New Roman"/>
          <w:sz w:val="24"/>
          <w:szCs w:val="24"/>
        </w:rPr>
        <w:t>accentue le</w:t>
      </w:r>
      <w:r w:rsidRPr="00CA196C">
        <w:rPr>
          <w:rFonts w:ascii="Bookman Old Style" w:hAnsi="Bookman Old Style" w:cs="Times New Roman"/>
          <w:sz w:val="24"/>
          <w:szCs w:val="24"/>
        </w:rPr>
        <w:t xml:space="preserve"> déboisement estimé à 2% par an en 2013</w:t>
      </w:r>
      <w:r w:rsidRPr="00CA196C">
        <w:rPr>
          <w:rFonts w:ascii="Bookman Old Style" w:hAnsi="Bookman Old Style" w:cs="Times New Roman"/>
          <w:sz w:val="24"/>
          <w:szCs w:val="24"/>
          <w:vertAlign w:val="superscript"/>
        </w:rPr>
        <w:footnoteReference w:id="4"/>
      </w:r>
      <w:r w:rsidRPr="00CA196C">
        <w:rPr>
          <w:rFonts w:ascii="Bookman Old Style" w:hAnsi="Bookman Old Style" w:cs="Times New Roman"/>
          <w:sz w:val="24"/>
          <w:szCs w:val="24"/>
        </w:rPr>
        <w:t xml:space="preserve">. Sur un potentiel hydroélectrique évalué à 1700MW, seuls 300 MW sont techniquement et économiquement exploitables. La puissance électrique installée est actuellement proche de 50 MW dont 32,9 MW de production nationale d’origine hydraulique. </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La consommation électrique est très faible et est inférieure à 30 KWh/habitant/an. </w:t>
      </w:r>
      <w:bookmarkStart w:id="58" w:name="OLE_LINK50"/>
      <w:bookmarkStart w:id="59" w:name="OLE_LINK51"/>
      <w:r w:rsidRPr="00CA196C">
        <w:rPr>
          <w:rFonts w:ascii="Bookman Old Style" w:hAnsi="Bookman Old Style" w:cs="Times New Roman"/>
          <w:sz w:val="24"/>
          <w:szCs w:val="24"/>
        </w:rPr>
        <w:t>Ce qui est en</w:t>
      </w:r>
      <w:r w:rsidR="0072683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dessous de la moyenne africaine estimée à 150 kWh/habitant/an. La demande croissante est contrainte par les capacités de production et le déficit en électricité est de </w:t>
      </w:r>
      <w:bookmarkEnd w:id="58"/>
      <w:bookmarkEnd w:id="59"/>
      <w:r w:rsidRPr="00CA196C">
        <w:rPr>
          <w:rFonts w:ascii="Bookman Old Style" w:hAnsi="Bookman Old Style" w:cs="Times New Roman"/>
          <w:sz w:val="24"/>
          <w:szCs w:val="24"/>
        </w:rPr>
        <w:t>25 MW. Le  taux d’accès à l'électricité est de moins de 5% de la population</w:t>
      </w:r>
      <w:r w:rsidR="0072683F" w:rsidRPr="00CA196C">
        <w:rPr>
          <w:rFonts w:ascii="Bookman Old Style" w:hAnsi="Bookman Old Style" w:cs="Times New Roman"/>
          <w:sz w:val="24"/>
          <w:szCs w:val="24"/>
        </w:rPr>
        <w:t xml:space="preserve"> et l</w:t>
      </w:r>
      <w:r w:rsidRPr="00CA196C">
        <w:rPr>
          <w:rFonts w:ascii="Bookman Old Style" w:hAnsi="Bookman Old Style" w:cs="Times New Roman"/>
          <w:sz w:val="24"/>
          <w:szCs w:val="24"/>
        </w:rPr>
        <w:t>e nombre de ménages ayant accès à l'électricité est évalué à</w:t>
      </w:r>
      <w:r w:rsidRPr="00CA196C">
        <w:rPr>
          <w:rFonts w:ascii="Bookman Old Style" w:hAnsi="Bookman Old Style" w:cs="Times New Roman"/>
          <w:iCs/>
          <w:sz w:val="24"/>
          <w:szCs w:val="24"/>
        </w:rPr>
        <w:t xml:space="preserve"> 7% correspondant à 52,1% des ménages urbains et 2% des ménages ruraux</w:t>
      </w:r>
      <w:r w:rsidRPr="00CA196C">
        <w:rPr>
          <w:rFonts w:ascii="Bookman Old Style" w:hAnsi="Bookman Old Style" w:cs="Times New Roman"/>
          <w:sz w:val="24"/>
          <w:szCs w:val="24"/>
        </w:rPr>
        <w:t>.</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130D07">
      <w:pPr>
        <w:numPr>
          <w:ilvl w:val="0"/>
          <w:numId w:val="5"/>
        </w:numPr>
        <w:tabs>
          <w:tab w:val="left" w:pos="426"/>
        </w:tabs>
        <w:autoSpaceDE w:val="0"/>
        <w:autoSpaceDN w:val="0"/>
        <w:adjustRightInd w:val="0"/>
        <w:spacing w:before="160" w:after="120" w:line="240" w:lineRule="auto"/>
        <w:ind w:left="284" w:hanging="284"/>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 développement du secteur présente beaucoup de potentialités mais se heurte à plusieurs défis : (i) l’accroissement de l’offre énergétique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pression démographique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réhabilitation et la construction des infrastructures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maîtrise des pertes énergétiques et des coûts de production</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la maîtrise des coûts des produits pétroliers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le  renforcement des capacités du personnel du secteur énergétique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 diversification des sources d’énergie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l'entretien et </w:t>
      </w:r>
      <w:r w:rsidR="003A0BBD" w:rsidRPr="00CA196C">
        <w:rPr>
          <w:rFonts w:ascii="Bookman Old Style" w:hAnsi="Bookman Old Style" w:cs="Times New Roman"/>
          <w:sz w:val="24"/>
          <w:szCs w:val="24"/>
        </w:rPr>
        <w:t xml:space="preserve">la </w:t>
      </w:r>
      <w:r w:rsidRPr="00CA196C">
        <w:rPr>
          <w:rFonts w:ascii="Bookman Old Style" w:hAnsi="Bookman Old Style" w:cs="Times New Roman"/>
          <w:sz w:val="24"/>
          <w:szCs w:val="24"/>
        </w:rPr>
        <w:t>maintenance des équipements énergétiques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l'utilisation rationnelle des sources d'énergie traditionnelle (le </w:t>
      </w:r>
      <w:r w:rsidR="003A0BBD" w:rsidRPr="00CA196C">
        <w:rPr>
          <w:rFonts w:ascii="Bookman Old Style" w:hAnsi="Bookman Old Style" w:cs="Times New Roman"/>
          <w:sz w:val="24"/>
          <w:szCs w:val="24"/>
        </w:rPr>
        <w:t>bois, charbon de bois, ..) et (</w:t>
      </w:r>
      <w:r w:rsidRPr="00CA196C">
        <w:rPr>
          <w:rFonts w:ascii="Bookman Old Style" w:hAnsi="Bookman Old Style" w:cs="Times New Roman"/>
          <w:sz w:val="24"/>
          <w:szCs w:val="24"/>
        </w:rPr>
        <w:t>x) l’atténuation d</w:t>
      </w:r>
      <w:r w:rsidRPr="00CA196C">
        <w:rPr>
          <w:rFonts w:ascii="Bookman Old Style" w:hAnsi="Bookman Old Style" w:cs="Times New Roman"/>
          <w:sz w:val="24"/>
          <w:szCs w:val="24"/>
          <w:lang w:eastAsia="fr-FR"/>
        </w:rPr>
        <w:t>es perturbations climatiques</w:t>
      </w:r>
      <w:r w:rsidRPr="00CA196C">
        <w:rPr>
          <w:rFonts w:ascii="Bookman Old Style" w:hAnsi="Bookman Old Style" w:cs="Times New Roman"/>
          <w:sz w:val="24"/>
          <w:szCs w:val="24"/>
        </w:rPr>
        <w:t>.</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130D07">
      <w:pPr>
        <w:numPr>
          <w:ilvl w:val="0"/>
          <w:numId w:val="5"/>
        </w:numPr>
        <w:tabs>
          <w:tab w:val="left" w:pos="567"/>
          <w:tab w:val="left" w:pos="709"/>
        </w:tabs>
        <w:autoSpaceDE w:val="0"/>
        <w:autoSpaceDN w:val="0"/>
        <w:adjustRightInd w:val="0"/>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hAnsi="Bookman Old Style" w:cs="Times New Roman"/>
          <w:b/>
          <w:sz w:val="24"/>
          <w:szCs w:val="24"/>
        </w:rPr>
        <w:t>En matière d'approvisionnement en eau et assainissement de base</w:t>
      </w:r>
      <w:r w:rsidRPr="00CA196C">
        <w:rPr>
          <w:rFonts w:ascii="Bookman Old Style" w:hAnsi="Bookman Old Style" w:cs="Times New Roman"/>
          <w:sz w:val="24"/>
          <w:szCs w:val="24"/>
        </w:rPr>
        <w:t>, le taux de couverture en eau potable en milieu urbain s’est amélioré sensiblement passant de 75% à  83% entre 2010 et 2013</w:t>
      </w:r>
      <w:r w:rsidR="003A0BBD" w:rsidRPr="00CA196C">
        <w:rPr>
          <w:rFonts w:ascii="Bookman Old Style" w:hAnsi="Bookman Old Style" w:cs="Times New Roman"/>
          <w:sz w:val="24"/>
          <w:szCs w:val="24"/>
        </w:rPr>
        <w:t xml:space="preserve"> </w:t>
      </w:r>
      <w:r w:rsidR="0072683F" w:rsidRPr="00CA196C">
        <w:rPr>
          <w:rFonts w:ascii="Bookman Old Style" w:hAnsi="Bookman Old Style" w:cs="Times New Roman"/>
          <w:sz w:val="24"/>
          <w:szCs w:val="24"/>
        </w:rPr>
        <w:t>(soit une augmentation de 8 points de pourcentage)</w:t>
      </w:r>
      <w:r w:rsidRPr="00CA196C">
        <w:rPr>
          <w:rFonts w:ascii="Bookman Old Style" w:hAnsi="Bookman Old Style" w:cs="Times New Roman"/>
          <w:sz w:val="24"/>
          <w:szCs w:val="24"/>
        </w:rPr>
        <w:t>. Quant au milieu rural, le taux de couverture en eau potable a connu une légère régression suite à la croissance démographique plus rapide que celle des infrastructures,  passant de 63% en 2010 à 60% en 2013</w:t>
      </w:r>
      <w:r w:rsidRPr="00CA196C">
        <w:rPr>
          <w:rFonts w:ascii="Bookman Old Style" w:hAnsi="Bookman Old Style" w:cs="Times New Roman"/>
          <w:vertAlign w:val="superscript"/>
        </w:rPr>
        <w:footnoteReference w:id="5"/>
      </w:r>
      <w:r w:rsidR="00130D07">
        <w:rPr>
          <w:rFonts w:ascii="Bookman Old Style" w:hAnsi="Bookman Old Style" w:cs="Times New Roman"/>
          <w:sz w:val="24"/>
          <w:szCs w:val="24"/>
        </w:rPr>
        <w:t xml:space="preserve"> </w:t>
      </w:r>
      <w:r w:rsidR="0072683F" w:rsidRPr="00CA196C">
        <w:rPr>
          <w:rFonts w:ascii="Bookman Old Style" w:hAnsi="Bookman Old Style" w:cs="Times New Roman"/>
          <w:sz w:val="24"/>
          <w:szCs w:val="24"/>
        </w:rPr>
        <w:t>(soit une baisse de 3 points)</w:t>
      </w:r>
      <w:r w:rsidRPr="00CA196C">
        <w:rPr>
          <w:rFonts w:ascii="Bookman Old Style" w:hAnsi="Bookman Old Style" w:cs="Times New Roman"/>
          <w:sz w:val="24"/>
          <w:szCs w:val="24"/>
        </w:rPr>
        <w:t xml:space="preserve">. </w:t>
      </w:r>
      <w:r w:rsidRPr="00CA196C">
        <w:rPr>
          <w:rFonts w:ascii="Bookman Old Style" w:eastAsia="Times New Roman" w:hAnsi="Bookman Old Style" w:cs="Times New Roman"/>
          <w:sz w:val="24"/>
          <w:szCs w:val="24"/>
        </w:rPr>
        <w:t>En ce qui concerne l’assainissement de base, seuls 27%  et 15% respectivement de la population urbaine et rurale ont accès à des installations sanitaires adéquates et 16% au niveau national.</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130D07">
      <w:pPr>
        <w:numPr>
          <w:ilvl w:val="0"/>
          <w:numId w:val="5"/>
        </w:numPr>
        <w:tabs>
          <w:tab w:val="left" w:pos="567"/>
          <w:tab w:val="left" w:pos="709"/>
        </w:tabs>
        <w:autoSpaceDE w:val="0"/>
        <w:autoSpaceDN w:val="0"/>
        <w:adjustRightInd w:val="0"/>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hAnsi="Bookman Old Style" w:cs="Times New Roman"/>
          <w:sz w:val="24"/>
          <w:szCs w:val="24"/>
        </w:rPr>
        <w:t>Le secteur de l’eau potable et de l’assainissement de base connaît des défis dont les plus importants sont les suivants: (i) les investissements dans le  secteur de l’eau potable et l’assainissement de base pour augmenter le taux d’accès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l’amélioration de la gestion des </w:t>
      </w:r>
      <w:r w:rsidRPr="00CA196C">
        <w:rPr>
          <w:rFonts w:ascii="Bookman Old Style" w:hAnsi="Bookman Old Style" w:cs="Times New Roman"/>
          <w:sz w:val="24"/>
          <w:szCs w:val="24"/>
        </w:rPr>
        <w:lastRenderedPageBreak/>
        <w:t>infrastructures en eau et assainissement</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le changement de comportement de la population en matière d’assainissement de base et d’hygiène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construction des réseaux d’évacuation des eaux usées dans les grandes agglomérations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le personnel qualifié et suffisant</w:t>
      </w:r>
      <w:r w:rsidR="0072683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(vi) l’appropriation de la gestion des infrastructures d’adduction d’eau potable (AEP) existantes par les communes</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(vii) la libéralisation du secteur Eau Potable et Assainissement de base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la mise à l’échelle de l’approche Assainissement Total Piloté par la Communauté(ATPC)</w:t>
      </w:r>
      <w:r w:rsidR="003A0BBD"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(ix) le </w:t>
      </w:r>
      <w:r w:rsidRPr="00CA196C">
        <w:rPr>
          <w:rFonts w:ascii="Bookman Old Style" w:hAnsi="Bookman Old Style" w:cs="Times New Roman"/>
          <w:sz w:val="24"/>
          <w:szCs w:val="24"/>
          <w:lang w:eastAsia="fr-FR"/>
        </w:rPr>
        <w:t xml:space="preserve">développement d’un cadre légal et institutionnel pour la gestion des infrastructures d’assainissement et adéquation des infrastructures hydrauliques et d’assainissement. </w:t>
      </w:r>
      <w:bookmarkStart w:id="60" w:name="_Toc499201597"/>
      <w:bookmarkStart w:id="61" w:name="OLE_LINK84"/>
      <w:bookmarkStart w:id="62" w:name="OLE_LINK85"/>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130D07" w:rsidP="00CD26FF">
      <w:pPr>
        <w:numPr>
          <w:ilvl w:val="0"/>
          <w:numId w:val="5"/>
        </w:numPr>
        <w:autoSpaceDE w:val="0"/>
        <w:autoSpaceDN w:val="0"/>
        <w:adjustRightInd w:val="0"/>
        <w:spacing w:before="160" w:after="120" w:line="240" w:lineRule="auto"/>
        <w:contextualSpacing/>
        <w:jc w:val="both"/>
        <w:rPr>
          <w:rFonts w:ascii="Bookman Old Style" w:eastAsia="Times New Roman" w:hAnsi="Bookman Old Style" w:cs="Times New Roman"/>
          <w:sz w:val="24"/>
          <w:szCs w:val="24"/>
        </w:rPr>
      </w:pPr>
      <w:r>
        <w:rPr>
          <w:rFonts w:ascii="Bookman Old Style" w:eastAsiaTheme="majorEastAsia" w:hAnsi="Bookman Old Style" w:cs="Times New Roman"/>
          <w:b/>
          <w:bCs/>
          <w:i/>
          <w:iCs/>
          <w:sz w:val="24"/>
          <w:szCs w:val="24"/>
        </w:rPr>
        <w:t>Pour le secteur des t</w:t>
      </w:r>
      <w:r w:rsidR="00DE3A23" w:rsidRPr="00CA196C">
        <w:rPr>
          <w:rFonts w:ascii="Bookman Old Style" w:eastAsiaTheme="majorEastAsia" w:hAnsi="Bookman Old Style" w:cs="Times New Roman"/>
          <w:b/>
          <w:bCs/>
          <w:i/>
          <w:iCs/>
          <w:sz w:val="24"/>
          <w:szCs w:val="24"/>
        </w:rPr>
        <w:t>ransports</w:t>
      </w:r>
      <w:bookmarkEnd w:id="60"/>
      <w:r w:rsidR="00DE3A23" w:rsidRPr="00CA196C">
        <w:rPr>
          <w:rFonts w:ascii="Bookman Old Style" w:eastAsiaTheme="majorEastAsia" w:hAnsi="Bookman Old Style" w:cs="Times New Roman"/>
          <w:b/>
          <w:bCs/>
          <w:i/>
          <w:iCs/>
          <w:sz w:val="24"/>
          <w:szCs w:val="24"/>
        </w:rPr>
        <w:t xml:space="preserve">,  </w:t>
      </w:r>
      <w:bookmarkEnd w:id="61"/>
      <w:bookmarkEnd w:id="62"/>
      <w:r w:rsidR="00DE3A23" w:rsidRPr="004322A9">
        <w:rPr>
          <w:rFonts w:ascii="Bookman Old Style" w:eastAsiaTheme="majorEastAsia" w:hAnsi="Bookman Old Style" w:cs="Times New Roman"/>
          <w:bCs/>
          <w:i/>
          <w:iCs/>
          <w:sz w:val="24"/>
          <w:szCs w:val="24"/>
        </w:rPr>
        <w:t>sur</w:t>
      </w:r>
      <w:r w:rsidR="00DE3A23" w:rsidRPr="00CA196C">
        <w:rPr>
          <w:rFonts w:ascii="Bookman Old Style" w:eastAsiaTheme="majorEastAsia" w:hAnsi="Bookman Old Style" w:cs="Times New Roman"/>
          <w:b/>
          <w:bCs/>
          <w:i/>
          <w:iCs/>
          <w:sz w:val="24"/>
          <w:szCs w:val="24"/>
        </w:rPr>
        <w:t xml:space="preserve"> </w:t>
      </w:r>
      <w:r w:rsidR="00DE3A23" w:rsidRPr="00CA196C">
        <w:rPr>
          <w:rFonts w:ascii="Bookman Old Style" w:hAnsi="Bookman Old Style" w:cs="Times New Roman"/>
          <w:sz w:val="24"/>
          <w:szCs w:val="24"/>
        </w:rPr>
        <w:t xml:space="preserve">un total de 5 211 km du réseau routier national classé, 1 </w:t>
      </w:r>
      <w:r w:rsidR="003A0BBD" w:rsidRPr="00CA196C">
        <w:rPr>
          <w:rFonts w:ascii="Bookman Old Style" w:hAnsi="Bookman Old Style" w:cs="Times New Roman"/>
          <w:sz w:val="24"/>
          <w:szCs w:val="24"/>
        </w:rPr>
        <w:t>646</w:t>
      </w:r>
      <w:r w:rsidR="00DE3A23" w:rsidRPr="00CA196C">
        <w:rPr>
          <w:rFonts w:ascii="Bookman Old Style" w:hAnsi="Bookman Old Style" w:cs="Times New Roman"/>
          <w:sz w:val="24"/>
          <w:szCs w:val="24"/>
        </w:rPr>
        <w:t xml:space="preserve"> km sont bitumés, 160 km de la voirie urbaine ont été pavés, tous les chefs-lieux des provinces sont reliés par une route revêtue tandis qu’au niveau communal les routes et les pistes sont en terre et en mauvais état. Certaines routes nationales sont reliées au réseau routier sous régional vers la Tanzanie, la République Démocratique du Congo et le Rwanda. Les défis majeurs  du secteur routier sont : (i) le système de planification et de suivi</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(ii) </w:t>
      </w:r>
      <w:r w:rsidR="0072683F" w:rsidRPr="00CA196C">
        <w:rPr>
          <w:rFonts w:ascii="Bookman Old Style" w:hAnsi="Bookman Old Style" w:cs="Times New Roman"/>
          <w:sz w:val="24"/>
          <w:szCs w:val="24"/>
        </w:rPr>
        <w:t xml:space="preserve">la création d’une </w:t>
      </w:r>
      <w:r w:rsidR="00DE3A23" w:rsidRPr="00CA196C">
        <w:rPr>
          <w:rFonts w:ascii="Bookman Old Style" w:hAnsi="Bookman Old Style" w:cs="Times New Roman"/>
          <w:sz w:val="24"/>
          <w:szCs w:val="24"/>
        </w:rPr>
        <w:t xml:space="preserve"> banque de données routières</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(iii) la gestion des ressources humaines et matérielles; (iv) la politique de gestion des carrières</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 les capacités des entreprises nationales et des bureaux d’études performantes</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 la décentralisation des services routiers</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(vii) le réseau routier provincial et communal bitumé</w:t>
      </w:r>
      <w:r w:rsidR="003A0BBD"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(vii</w:t>
      </w:r>
      <w:r>
        <w:rPr>
          <w:rFonts w:ascii="Bookman Old Style" w:hAnsi="Bookman Old Style" w:cs="Times New Roman"/>
          <w:sz w:val="24"/>
          <w:szCs w:val="24"/>
        </w:rPr>
        <w:t>i</w:t>
      </w:r>
      <w:r w:rsidR="00DE3A23" w:rsidRPr="00CA196C">
        <w:rPr>
          <w:rFonts w:ascii="Bookman Old Style" w:hAnsi="Bookman Old Style" w:cs="Times New Roman"/>
          <w:sz w:val="24"/>
          <w:szCs w:val="24"/>
        </w:rPr>
        <w:t xml:space="preserve">) </w:t>
      </w:r>
      <w:r w:rsidR="0072683F" w:rsidRPr="00CA196C">
        <w:rPr>
          <w:rFonts w:ascii="Bookman Old Style" w:hAnsi="Bookman Old Style" w:cs="Times New Roman"/>
          <w:sz w:val="24"/>
          <w:szCs w:val="24"/>
        </w:rPr>
        <w:t>l’</w:t>
      </w:r>
      <w:r w:rsidR="00DE3A23" w:rsidRPr="00CA196C">
        <w:rPr>
          <w:rFonts w:ascii="Bookman Old Style" w:hAnsi="Bookman Old Style" w:cs="Times New Roman"/>
          <w:sz w:val="24"/>
          <w:szCs w:val="24"/>
        </w:rPr>
        <w:t xml:space="preserve">état des routes intercommunales et </w:t>
      </w:r>
      <w:r w:rsidR="003A0BBD" w:rsidRPr="00CA196C">
        <w:rPr>
          <w:rFonts w:ascii="Bookman Old Style" w:hAnsi="Bookman Old Style" w:cs="Times New Roman"/>
          <w:sz w:val="24"/>
          <w:szCs w:val="24"/>
        </w:rPr>
        <w:t>provinciales ;</w:t>
      </w:r>
      <w:r w:rsidR="00DE3A23" w:rsidRPr="00CA196C">
        <w:rPr>
          <w:rFonts w:ascii="Bookman Old Style" w:hAnsi="Bookman Old Style" w:cs="Times New Roman"/>
          <w:sz w:val="24"/>
          <w:szCs w:val="24"/>
        </w:rPr>
        <w:t xml:space="preserve"> (</w:t>
      </w:r>
      <w:r>
        <w:rPr>
          <w:rFonts w:ascii="Bookman Old Style" w:hAnsi="Bookman Old Style" w:cs="Times New Roman"/>
          <w:sz w:val="24"/>
          <w:szCs w:val="24"/>
        </w:rPr>
        <w:t>ix</w:t>
      </w:r>
      <w:r w:rsidR="00DE3A23" w:rsidRPr="00CA196C">
        <w:rPr>
          <w:rFonts w:ascii="Bookman Old Style" w:hAnsi="Bookman Old Style" w:cs="Times New Roman"/>
          <w:sz w:val="24"/>
          <w:szCs w:val="24"/>
        </w:rPr>
        <w:t xml:space="preserve">) </w:t>
      </w:r>
      <w:r w:rsidR="0072683F" w:rsidRPr="00CA196C">
        <w:rPr>
          <w:rFonts w:ascii="Bookman Old Style" w:hAnsi="Bookman Old Style" w:cs="Times New Roman"/>
          <w:sz w:val="24"/>
          <w:szCs w:val="24"/>
        </w:rPr>
        <w:t>la disponibilité d</w:t>
      </w:r>
      <w:r w:rsidR="00DE3A23" w:rsidRPr="00CA196C">
        <w:rPr>
          <w:rFonts w:ascii="Bookman Old Style" w:hAnsi="Bookman Old Style" w:cs="Times New Roman"/>
          <w:sz w:val="24"/>
          <w:szCs w:val="24"/>
        </w:rPr>
        <w:t>es équipements et matéri</w:t>
      </w:r>
      <w:r>
        <w:rPr>
          <w:rFonts w:ascii="Bookman Old Style" w:hAnsi="Bookman Old Style" w:cs="Times New Roman"/>
          <w:sz w:val="24"/>
          <w:szCs w:val="24"/>
        </w:rPr>
        <w:t>els de transports modernes et (</w:t>
      </w:r>
      <w:r w:rsidR="00DE3A23" w:rsidRPr="00CA196C">
        <w:rPr>
          <w:rFonts w:ascii="Bookman Old Style" w:hAnsi="Bookman Old Style" w:cs="Times New Roman"/>
          <w:sz w:val="24"/>
          <w:szCs w:val="24"/>
        </w:rPr>
        <w:t>x) l'entretien des pistes rurales.</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9C4A60" w:rsidP="00CD26FF">
      <w:pPr>
        <w:numPr>
          <w:ilvl w:val="0"/>
          <w:numId w:val="5"/>
        </w:numPr>
        <w:autoSpaceDE w:val="0"/>
        <w:autoSpaceDN w:val="0"/>
        <w:adjustRightInd w:val="0"/>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hAnsi="Bookman Old Style" w:cs="Times New Roman"/>
          <w:sz w:val="24"/>
          <w:szCs w:val="24"/>
        </w:rPr>
        <w:t xml:space="preserve">Au niveau du </w:t>
      </w:r>
      <w:r w:rsidR="00DE3A23" w:rsidRPr="00CA196C">
        <w:rPr>
          <w:rFonts w:ascii="Bookman Old Style" w:hAnsi="Bookman Old Style" w:cs="Times New Roman"/>
          <w:b/>
          <w:sz w:val="24"/>
          <w:szCs w:val="24"/>
        </w:rPr>
        <w:t>transport lacustre</w:t>
      </w:r>
      <w:r w:rsidR="00DE3A23" w:rsidRPr="00CA196C">
        <w:rPr>
          <w:rFonts w:ascii="Bookman Old Style" w:hAnsi="Bookman Old Style" w:cs="Times New Roman"/>
          <w:sz w:val="24"/>
          <w:szCs w:val="24"/>
        </w:rPr>
        <w:t>, le port de Bujumbura sur le Lac Tanganyika (long de 650 km) dessert une dizaine de ports et est appelé à jouer le rôle de plaque tournante au niveau des échanges interrégionaux et jeter ainsi les bases d’une croissance économique soutenue et durable. Le développement du transport lacustre reste confronté aux défis majeurs ci-après : (i) l'investissement pour le développement des infrastructures</w:t>
      </w:r>
      <w:r w:rsidR="001C731D" w:rsidRPr="00CA196C">
        <w:rPr>
          <w:rFonts w:ascii="Bookman Old Style" w:hAnsi="Bookman Old Style" w:cs="Times New Roman"/>
          <w:sz w:val="24"/>
          <w:szCs w:val="24"/>
        </w:rPr>
        <w:t xml:space="preserve"> et </w:t>
      </w:r>
      <w:r w:rsidR="00DE3A23" w:rsidRPr="00CA196C">
        <w:rPr>
          <w:rFonts w:ascii="Bookman Old Style" w:hAnsi="Bookman Old Style" w:cs="Times New Roman"/>
          <w:sz w:val="24"/>
          <w:szCs w:val="24"/>
        </w:rPr>
        <w:t xml:space="preserve"> (ii) </w:t>
      </w:r>
      <w:r w:rsidR="001C731D" w:rsidRPr="00CA196C">
        <w:rPr>
          <w:rFonts w:ascii="Bookman Old Style" w:hAnsi="Bookman Old Style" w:cs="Times New Roman"/>
          <w:sz w:val="24"/>
          <w:szCs w:val="24"/>
        </w:rPr>
        <w:t xml:space="preserve"> la disponibilité d</w:t>
      </w:r>
      <w:r w:rsidR="00DE3A23" w:rsidRPr="00CA196C">
        <w:rPr>
          <w:rFonts w:ascii="Bookman Old Style" w:hAnsi="Bookman Old Style" w:cs="Times New Roman"/>
          <w:sz w:val="24"/>
          <w:szCs w:val="24"/>
        </w:rPr>
        <w:t>es équipements et infrastructures modernes.</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Concernant </w:t>
      </w:r>
      <w:r w:rsidR="00130D07">
        <w:rPr>
          <w:rFonts w:ascii="Bookman Old Style" w:hAnsi="Bookman Old Style" w:cs="Times New Roman"/>
          <w:b/>
          <w:sz w:val="24"/>
          <w:szCs w:val="24"/>
        </w:rPr>
        <w:t>le t</w:t>
      </w:r>
      <w:r w:rsidRPr="00CA196C">
        <w:rPr>
          <w:rFonts w:ascii="Bookman Old Style" w:hAnsi="Bookman Old Style" w:cs="Times New Roman"/>
          <w:b/>
          <w:sz w:val="24"/>
          <w:szCs w:val="24"/>
        </w:rPr>
        <w:t>ransport aérien</w:t>
      </w:r>
      <w:r w:rsidRPr="00CA196C">
        <w:rPr>
          <w:rFonts w:ascii="Bookman Old Style" w:hAnsi="Bookman Old Style" w:cs="Times New Roman"/>
          <w:sz w:val="24"/>
          <w:szCs w:val="24"/>
        </w:rPr>
        <w:t>, des actions d’amélioration des services aéroportuaires ont été réalisées à savoir: (i) l'acquisition des équipements de sécurité et de facilitation aéroportuaires (scanners, télésurveillance, portiques et détecteurs de métaux, …)</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l'acquisition des équipements d’aide à la navigation aérienne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l'acquisition du système de téléaffichage</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réhabilitation de la piste d’aviation</w:t>
      </w:r>
      <w:r w:rsidR="003A0BBD"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 xml:space="preserve">(v) la construction de la clôture aéroportuaire et de la piste de patrouille de la clôture et (vi) l'éclairage de l’aéroport. Malgré toutes ces réalisations, le  transport aérien accuse des défis majeurs à </w:t>
      </w:r>
      <w:r w:rsidR="003A0BBD" w:rsidRPr="00CA196C">
        <w:rPr>
          <w:rFonts w:ascii="Bookman Old Style" w:hAnsi="Bookman Old Style" w:cs="Times New Roman"/>
          <w:sz w:val="24"/>
          <w:szCs w:val="24"/>
        </w:rPr>
        <w:t>re</w:t>
      </w:r>
      <w:r w:rsidRPr="00CA196C">
        <w:rPr>
          <w:rFonts w:ascii="Bookman Old Style" w:hAnsi="Bookman Old Style" w:cs="Times New Roman"/>
          <w:sz w:val="24"/>
          <w:szCs w:val="24"/>
        </w:rPr>
        <w:t>lever pour répondre  aux standards internationaux: (i) l’élévation de l’aéroport international de Bujumbura aux normes internationales</w:t>
      </w:r>
      <w:r w:rsidR="003A0BBD"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w:t>
      </w:r>
      <w:r w:rsidR="001C731D" w:rsidRPr="00CA196C">
        <w:rPr>
          <w:rFonts w:ascii="Bookman Old Style" w:hAnsi="Bookman Old Style" w:cs="Times New Roman"/>
          <w:sz w:val="24"/>
          <w:szCs w:val="24"/>
        </w:rPr>
        <w:t>la construction d’</w:t>
      </w:r>
      <w:r w:rsidRPr="00CA196C">
        <w:rPr>
          <w:rFonts w:ascii="Bookman Old Style" w:hAnsi="Bookman Old Style" w:cs="Times New Roman"/>
          <w:sz w:val="24"/>
          <w:szCs w:val="24"/>
        </w:rPr>
        <w:t>un autre aéroport international  et (iii) la redynamisation d’Air Burundi.</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130D07">
      <w:pPr>
        <w:numPr>
          <w:ilvl w:val="0"/>
          <w:numId w:val="5"/>
        </w:numPr>
        <w:tabs>
          <w:tab w:val="left" w:pos="567"/>
        </w:tabs>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lastRenderedPageBreak/>
        <w:t xml:space="preserve"> Pour le </w:t>
      </w:r>
      <w:r w:rsidR="00130D07">
        <w:rPr>
          <w:rFonts w:ascii="Bookman Old Style" w:hAnsi="Bookman Old Style" w:cs="Times New Roman"/>
          <w:b/>
          <w:sz w:val="24"/>
          <w:szCs w:val="24"/>
        </w:rPr>
        <w:t>c</w:t>
      </w:r>
      <w:r w:rsidRPr="00CA196C">
        <w:rPr>
          <w:rFonts w:ascii="Bookman Old Style" w:hAnsi="Bookman Old Style" w:cs="Times New Roman"/>
          <w:b/>
          <w:sz w:val="24"/>
          <w:szCs w:val="24"/>
        </w:rPr>
        <w:t>hemin de fer, des</w:t>
      </w:r>
      <w:r w:rsidRPr="00CA196C">
        <w:rPr>
          <w:rFonts w:ascii="Bookman Old Style" w:hAnsi="Bookman Old Style" w:cs="Times New Roman"/>
          <w:sz w:val="24"/>
          <w:szCs w:val="24"/>
        </w:rPr>
        <w:t xml:space="preserve"> études ont été menées en vue du développement du transport par voie ferrée à travers l’interconnexion avec les réseaux ferroviaires des pays voisins connectés aux ports situés sur l’océan indien. Il s’agit de : (i) l’étude de faisabilité du projet de chemin de fer Dar-es-Salaam-Isaka-Keza-Kigali/Gitega-Musongati (projet commun entre le Burundi, la Tanzanie et le Rwanda)</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l’étude de préfaisabilité du projet de chemin de fer Uvinza-Musongati (projet commun entre le Burundi et la Tanzanie) et (iii) une étude réalisée dans le cadre de l’EAC Transport Strategy, 2011, qui démontre l’intérêt qu’aurait le Burundi à choisir la voie multimodale (1429 km) comprenant la voie ferrée de Dar-es-Salaam au port de Kigoma et le transport lacustre de Kigoma à Bujumbura. Le défi majeur dans ce secteur reste l’investissement.</w:t>
      </w:r>
      <w:bookmarkStart w:id="63" w:name="_Toc499201598"/>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130D07" w:rsidP="00130D07">
      <w:pPr>
        <w:numPr>
          <w:ilvl w:val="0"/>
          <w:numId w:val="5"/>
        </w:numPr>
        <w:tabs>
          <w:tab w:val="left" w:pos="567"/>
        </w:tabs>
        <w:autoSpaceDE w:val="0"/>
        <w:autoSpaceDN w:val="0"/>
        <w:adjustRightInd w:val="0"/>
        <w:spacing w:before="160" w:after="120" w:line="240" w:lineRule="auto"/>
        <w:contextualSpacing/>
        <w:jc w:val="both"/>
        <w:rPr>
          <w:rFonts w:ascii="Bookman Old Style" w:hAnsi="Bookman Old Style" w:cs="Times New Roman"/>
          <w:sz w:val="24"/>
          <w:szCs w:val="24"/>
        </w:rPr>
      </w:pPr>
      <w:r>
        <w:rPr>
          <w:rFonts w:ascii="Bookman Old Style" w:eastAsiaTheme="majorEastAsia" w:hAnsi="Bookman Old Style" w:cs="Times New Roman"/>
          <w:b/>
          <w:bCs/>
          <w:i/>
          <w:iCs/>
          <w:sz w:val="24"/>
          <w:szCs w:val="24"/>
        </w:rPr>
        <w:t>Dans le s</w:t>
      </w:r>
      <w:r w:rsidR="00DE3A23" w:rsidRPr="00CA196C">
        <w:rPr>
          <w:rFonts w:ascii="Bookman Old Style" w:eastAsiaTheme="majorEastAsia" w:hAnsi="Bookman Old Style" w:cs="Times New Roman"/>
          <w:b/>
          <w:bCs/>
          <w:i/>
          <w:iCs/>
          <w:sz w:val="24"/>
          <w:szCs w:val="24"/>
        </w:rPr>
        <w:t>ecteur du bâtiment public</w:t>
      </w:r>
      <w:bookmarkEnd w:id="63"/>
      <w:r w:rsidR="00DE3A23" w:rsidRPr="00CA196C">
        <w:rPr>
          <w:rFonts w:ascii="Bookman Old Style" w:hAnsi="Bookman Old Style" w:cs="Times New Roman"/>
          <w:sz w:val="24"/>
          <w:szCs w:val="24"/>
        </w:rPr>
        <w:t>, des réalisations ont été enregistrées au niveau de la réhabilitation des maisons de résidence des gouverneurs des provinces (Cankuzo, Cibitoke et Kirundo), l’extension des bureaux abritant le Ministère des Relations Extérieures et de la Coopération Internationale, la construction des cours et tribunaux, la construction de la chancellerie du Burundi à Addis-Abeba (inachevée), la construction des écoles, des centres de santé et des hôpitaux, la construction du Building abritant le Ministère des Finances, du Budget et de la Privatisation, la construction du palais présidentiel (en cours) et la gestion d</w:t>
      </w:r>
      <w:r w:rsidR="00D57BC9" w:rsidRPr="00CA196C">
        <w:rPr>
          <w:rFonts w:ascii="Bookman Old Style" w:hAnsi="Bookman Old Style" w:cs="Times New Roman"/>
          <w:sz w:val="24"/>
          <w:szCs w:val="24"/>
        </w:rPr>
        <w:t>es immeubles de l’Etat. Le sous-secteur</w:t>
      </w:r>
      <w:r w:rsidR="00DE3A23" w:rsidRPr="00CA196C">
        <w:rPr>
          <w:rFonts w:ascii="Bookman Old Style" w:hAnsi="Bookman Old Style" w:cs="Times New Roman"/>
          <w:sz w:val="24"/>
          <w:szCs w:val="24"/>
        </w:rPr>
        <w:t xml:space="preserve"> des bâtiments publics connaît beaucoup de défis à lever : (i) la </w:t>
      </w:r>
      <w:r w:rsidR="001C731D" w:rsidRPr="00CA196C">
        <w:rPr>
          <w:rFonts w:ascii="Bookman Old Style" w:hAnsi="Bookman Old Style" w:cs="Times New Roman"/>
          <w:sz w:val="24"/>
          <w:szCs w:val="24"/>
        </w:rPr>
        <w:t xml:space="preserve">création d’une </w:t>
      </w:r>
      <w:r w:rsidR="00DE3A23" w:rsidRPr="00CA196C">
        <w:rPr>
          <w:rFonts w:ascii="Bookman Old Style" w:hAnsi="Bookman Old Style" w:cs="Times New Roman"/>
          <w:sz w:val="24"/>
          <w:szCs w:val="24"/>
        </w:rPr>
        <w:t>banque de données statistiques sur les immeubles de l’Etat</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(ii)  l’</w:t>
      </w:r>
      <w:r w:rsidR="001C731D" w:rsidRPr="00CA196C">
        <w:rPr>
          <w:rFonts w:ascii="Bookman Old Style" w:hAnsi="Bookman Old Style" w:cs="Times New Roman"/>
          <w:sz w:val="24"/>
          <w:szCs w:val="24"/>
        </w:rPr>
        <w:t>amélioration de l’</w:t>
      </w:r>
      <w:r w:rsidR="00DE3A23" w:rsidRPr="00CA196C">
        <w:rPr>
          <w:rFonts w:ascii="Bookman Old Style" w:hAnsi="Bookman Old Style" w:cs="Times New Roman"/>
          <w:sz w:val="24"/>
          <w:szCs w:val="24"/>
        </w:rPr>
        <w:t>état des bâtiments publics</w:t>
      </w:r>
      <w:r w:rsidR="00D57BC9" w:rsidRPr="00CA196C">
        <w:rPr>
          <w:rFonts w:ascii="Bookman Old Style" w:hAnsi="Bookman Old Style" w:cs="Times New Roman"/>
          <w:sz w:val="24"/>
          <w:szCs w:val="24"/>
        </w:rPr>
        <w:t> ;</w:t>
      </w:r>
      <w:r w:rsidR="001C731D" w:rsidRPr="00CA196C">
        <w:rPr>
          <w:rFonts w:ascii="Bookman Old Style" w:hAnsi="Bookman Old Style" w:cs="Times New Roman"/>
          <w:sz w:val="24"/>
          <w:szCs w:val="24"/>
        </w:rPr>
        <w:t xml:space="preserve"> </w:t>
      </w:r>
      <w:r w:rsidR="00DE3A23" w:rsidRPr="00CA196C">
        <w:rPr>
          <w:rFonts w:ascii="Bookman Old Style" w:hAnsi="Bookman Old Style" w:cs="Times New Roman"/>
          <w:sz w:val="24"/>
          <w:szCs w:val="24"/>
        </w:rPr>
        <w:t xml:space="preserve"> (iii) l</w:t>
      </w:r>
      <w:r w:rsidR="001C731D" w:rsidRPr="00CA196C">
        <w:rPr>
          <w:rFonts w:ascii="Bookman Old Style" w:hAnsi="Bookman Old Style" w:cs="Times New Roman"/>
          <w:sz w:val="24"/>
          <w:szCs w:val="24"/>
        </w:rPr>
        <w:t>a mobilisation de l</w:t>
      </w:r>
      <w:r w:rsidR="00DE3A23" w:rsidRPr="00CA196C">
        <w:rPr>
          <w:rFonts w:ascii="Bookman Old Style" w:hAnsi="Bookman Old Style" w:cs="Times New Roman"/>
          <w:sz w:val="24"/>
          <w:szCs w:val="24"/>
        </w:rPr>
        <w:t>’épargne intérieure</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(iv) la politique de planification des constructions et d’entretien des bâtiments publics</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 les capacités de coordination des équipements et bâtiments publics</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 l’harmonisation des normes de construction</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(vii) les études d’impact environnemental</w:t>
      </w:r>
      <w:r w:rsidR="00D57BC9" w:rsidRPr="00CA196C">
        <w:rPr>
          <w:rFonts w:ascii="Bookman Old Style" w:hAnsi="Bookman Old Style" w:cs="Times New Roman"/>
          <w:sz w:val="24"/>
          <w:szCs w:val="24"/>
        </w:rPr>
        <w:t> ;</w:t>
      </w:r>
      <w:r w:rsidR="00DE3A23" w:rsidRPr="00CA196C">
        <w:rPr>
          <w:rFonts w:ascii="Bookman Old Style" w:hAnsi="Bookman Old Style" w:cs="Times New Roman"/>
          <w:sz w:val="24"/>
          <w:szCs w:val="24"/>
        </w:rPr>
        <w:t xml:space="preserve"> (viii) l</w:t>
      </w:r>
      <w:r w:rsidR="001C731D" w:rsidRPr="00CA196C">
        <w:rPr>
          <w:rFonts w:ascii="Bookman Old Style" w:hAnsi="Bookman Old Style" w:cs="Times New Roman"/>
          <w:sz w:val="24"/>
          <w:szCs w:val="24"/>
        </w:rPr>
        <w:t>a construction d</w:t>
      </w:r>
      <w:r w:rsidR="00DE3A23" w:rsidRPr="00CA196C">
        <w:rPr>
          <w:rFonts w:ascii="Bookman Old Style" w:hAnsi="Bookman Old Style" w:cs="Times New Roman"/>
          <w:sz w:val="24"/>
          <w:szCs w:val="24"/>
        </w:rPr>
        <w:t>es bâtiments pour les services publics et (ix) la location des bâtiments.</w:t>
      </w:r>
    </w:p>
    <w:p w:rsidR="00DE3A23" w:rsidRPr="00CA196C" w:rsidRDefault="00DE3A23" w:rsidP="001F0F96">
      <w:pPr>
        <w:autoSpaceDE w:val="0"/>
        <w:autoSpaceDN w:val="0"/>
        <w:adjustRightInd w:val="0"/>
        <w:spacing w:before="160" w:after="120" w:line="240" w:lineRule="auto"/>
        <w:contextualSpacing/>
        <w:jc w:val="both"/>
        <w:rPr>
          <w:rFonts w:ascii="Bookman Old Style" w:hAnsi="Bookman Old Style" w:cs="Times New Roman"/>
          <w:sz w:val="24"/>
          <w:szCs w:val="24"/>
        </w:rPr>
      </w:pP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t>En matière de Technologies de l’Information et de la Communication(TIC), l</w:t>
      </w:r>
      <w:r w:rsidRPr="00CA196C">
        <w:rPr>
          <w:rFonts w:ascii="Bookman Old Style" w:hAnsi="Bookman Old Style" w:cs="Times New Roman"/>
          <w:bCs/>
          <w:sz w:val="24"/>
          <w:szCs w:val="24"/>
        </w:rPr>
        <w:t>es progrès enregistrés concernent l’élargissement de la bande passante internet</w:t>
      </w:r>
      <w:r w:rsidRPr="00CA196C">
        <w:rPr>
          <w:rFonts w:ascii="Bookman Old Style" w:hAnsi="Bookman Old Style" w:cs="Times New Roman"/>
          <w:b/>
          <w:bCs/>
          <w:sz w:val="24"/>
          <w:szCs w:val="24"/>
        </w:rPr>
        <w:t xml:space="preserve"> </w:t>
      </w:r>
      <w:r w:rsidRPr="00CA196C">
        <w:rPr>
          <w:rFonts w:ascii="Bookman Old Style" w:hAnsi="Bookman Old Style" w:cs="Times New Roman"/>
          <w:sz w:val="24"/>
          <w:szCs w:val="24"/>
        </w:rPr>
        <w:t>qui est passée de 250 méga bits par seconde (MBPS) à 763 MBPS entre 2007 et 2014 et le taux d’accès aux services internet se situe à  8,2% en fin 2015. Le taux de pénétration  est relativement élevé pour les téléphones mobiles avec 48% contre 8,2% pour l’internet et 0,</w:t>
      </w:r>
      <w:r w:rsidR="00D57BC9" w:rsidRPr="00CA196C">
        <w:rPr>
          <w:rFonts w:ascii="Bookman Old Style" w:hAnsi="Bookman Old Style" w:cs="Times New Roman"/>
          <w:sz w:val="24"/>
          <w:szCs w:val="24"/>
        </w:rPr>
        <w:t>4</w:t>
      </w:r>
      <w:r w:rsidRPr="00CA196C">
        <w:rPr>
          <w:rFonts w:ascii="Bookman Old Style" w:hAnsi="Bookman Old Style" w:cs="Times New Roman"/>
          <w:sz w:val="24"/>
          <w:szCs w:val="24"/>
        </w:rPr>
        <w:t>% pour les téléphones fixes. Le développement des TIC se heurte à d’importants défis dont: (i) l’adaptation du Cadre réglementaire des TIC</w:t>
      </w:r>
      <w:r w:rsidR="00D57BC9" w:rsidRPr="00CA196C">
        <w:rPr>
          <w:rFonts w:ascii="Bookman Old Style" w:hAnsi="Bookman Old Style" w:cs="Times New Roman"/>
          <w:sz w:val="24"/>
          <w:szCs w:val="24"/>
        </w:rPr>
        <w:t> ;</w:t>
      </w:r>
      <w:r w:rsidR="001C73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(ii) l</w:t>
      </w:r>
      <w:r w:rsidR="001C731D" w:rsidRPr="00CA196C">
        <w:rPr>
          <w:rFonts w:ascii="Bookman Old Style" w:hAnsi="Bookman Old Style" w:cs="Times New Roman"/>
          <w:sz w:val="24"/>
          <w:szCs w:val="24"/>
        </w:rPr>
        <w:t>a disponibilité de l</w:t>
      </w:r>
      <w:r w:rsidRPr="00CA196C">
        <w:rPr>
          <w:rFonts w:ascii="Bookman Old Style" w:hAnsi="Bookman Old Style" w:cs="Times New Roman"/>
          <w:sz w:val="24"/>
          <w:szCs w:val="24"/>
        </w:rPr>
        <w:t>’énergie</w:t>
      </w:r>
      <w:r w:rsidR="00D57BC9"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(iii) les capacités en ressources humaines, et (iv) l’accès universel aux TIC.</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eastAsia="Times New Roman" w:hAnsi="Bookman Old Style" w:cs="Times New Roman"/>
          <w:b/>
          <w:sz w:val="24"/>
          <w:szCs w:val="24"/>
          <w:lang w:eastAsia="fr-FR"/>
        </w:rPr>
      </w:pPr>
      <w:r w:rsidRPr="00CA196C">
        <w:rPr>
          <w:rFonts w:ascii="Bookman Old Style" w:hAnsi="Bookman Old Style" w:cs="Times New Roman"/>
          <w:b/>
          <w:sz w:val="24"/>
          <w:szCs w:val="24"/>
        </w:rPr>
        <w:t>Le secteur des médias</w:t>
      </w:r>
      <w:r w:rsidRPr="00CA196C">
        <w:rPr>
          <w:rFonts w:ascii="Bookman Old Style" w:hAnsi="Bookman Old Style" w:cs="Times New Roman"/>
          <w:sz w:val="24"/>
          <w:szCs w:val="24"/>
        </w:rPr>
        <w:t xml:space="preserve"> comporte le secteur public, privé et communautaire. Le poste radio est le moyen le plus </w:t>
      </w:r>
      <w:r w:rsidR="001C731D" w:rsidRPr="00CA196C">
        <w:rPr>
          <w:rFonts w:ascii="Bookman Old Style" w:hAnsi="Bookman Old Style" w:cs="Times New Roman"/>
          <w:sz w:val="24"/>
          <w:szCs w:val="24"/>
        </w:rPr>
        <w:t xml:space="preserve">utilisé </w:t>
      </w:r>
      <w:r w:rsidRPr="00CA196C">
        <w:rPr>
          <w:rFonts w:ascii="Bookman Old Style" w:hAnsi="Bookman Old Style" w:cs="Times New Roman"/>
          <w:sz w:val="24"/>
          <w:szCs w:val="24"/>
        </w:rPr>
        <w:t>de communication par les ménages (38,7%) ainsi que le téléphone mobile qui est</w:t>
      </w:r>
      <w:r w:rsidR="00D57BC9" w:rsidRPr="00CA196C">
        <w:rPr>
          <w:rFonts w:ascii="Bookman Old Style" w:hAnsi="Bookman Old Style" w:cs="Times New Roman"/>
          <w:sz w:val="24"/>
          <w:szCs w:val="24"/>
        </w:rPr>
        <w:t xml:space="preserve"> également</w:t>
      </w:r>
      <w:r w:rsidRPr="00CA196C">
        <w:rPr>
          <w:rFonts w:ascii="Bookman Old Style" w:hAnsi="Bookman Old Style" w:cs="Times New Roman"/>
          <w:sz w:val="24"/>
          <w:szCs w:val="24"/>
        </w:rPr>
        <w:t xml:space="preserve"> utilisé comme poste récepteur radio. Le nombre d’abonnés à la téléphonie mobile a pratiquement triplé entre 2010 et 2015 </w:t>
      </w:r>
      <w:r w:rsidR="001C731D" w:rsidRPr="00CA196C">
        <w:rPr>
          <w:rFonts w:ascii="Bookman Old Style" w:hAnsi="Bookman Old Style" w:cs="Times New Roman"/>
          <w:sz w:val="24"/>
          <w:szCs w:val="24"/>
        </w:rPr>
        <w:t>avec un</w:t>
      </w:r>
      <w:r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lastRenderedPageBreak/>
        <w:t xml:space="preserve">taux de pénétration </w:t>
      </w:r>
      <w:r w:rsidR="001C731D" w:rsidRPr="00CA196C">
        <w:rPr>
          <w:rFonts w:ascii="Bookman Old Style" w:hAnsi="Bookman Old Style" w:cs="Times New Roman"/>
          <w:sz w:val="24"/>
          <w:szCs w:val="24"/>
        </w:rPr>
        <w:t xml:space="preserve">de </w:t>
      </w:r>
      <w:r w:rsidRPr="00CA196C">
        <w:rPr>
          <w:rFonts w:ascii="Bookman Old Style" w:hAnsi="Bookman Old Style" w:cs="Times New Roman"/>
          <w:sz w:val="24"/>
          <w:szCs w:val="24"/>
        </w:rPr>
        <w:t>48% à la fin 2015. L’utilisation de la télévision est limitée aux ménages urbains relativement aisés ayant accès à l’électricité.</w:t>
      </w:r>
      <w:r w:rsidRPr="00CA196C">
        <w:rPr>
          <w:rFonts w:ascii="Bookman Old Style" w:eastAsia="Times New Roman" w:hAnsi="Bookman Old Style" w:cs="Times New Roman"/>
          <w:sz w:val="24"/>
          <w:szCs w:val="24"/>
          <w:lang w:eastAsia="fr-FR"/>
        </w:rPr>
        <w:t xml:space="preserve"> Le secteur des médias connaît les défis ci-après: (i) l</w:t>
      </w:r>
      <w:r w:rsidR="001C731D" w:rsidRPr="00CA196C">
        <w:rPr>
          <w:rFonts w:ascii="Bookman Old Style" w:eastAsia="Times New Roman" w:hAnsi="Bookman Old Style" w:cs="Times New Roman"/>
          <w:sz w:val="24"/>
          <w:szCs w:val="24"/>
          <w:lang w:eastAsia="fr-FR"/>
        </w:rPr>
        <w:t>’élaboration d’un</w:t>
      </w:r>
      <w:r w:rsidRPr="00CA196C">
        <w:rPr>
          <w:rFonts w:ascii="Bookman Old Style" w:eastAsia="Times New Roman" w:hAnsi="Bookman Old Style" w:cs="Times New Roman"/>
          <w:sz w:val="24"/>
          <w:szCs w:val="24"/>
          <w:lang w:eastAsia="fr-FR"/>
        </w:rPr>
        <w:t xml:space="preserve"> cadre légal et réglementaire</w:t>
      </w:r>
      <w:r w:rsidR="00D57BC9" w:rsidRPr="00CA196C">
        <w:rPr>
          <w:rFonts w:ascii="Bookman Old Style" w:eastAsia="Times New Roman" w:hAnsi="Bookman Old Style" w:cs="Times New Roman"/>
          <w:sz w:val="24"/>
          <w:szCs w:val="24"/>
          <w:lang w:eastAsia="fr-FR"/>
        </w:rPr>
        <w:t> ;</w:t>
      </w:r>
      <w:r w:rsidR="001C731D" w:rsidRPr="00CA196C">
        <w:rPr>
          <w:rFonts w:ascii="Bookman Old Style" w:eastAsia="Times New Roman" w:hAnsi="Bookman Old Style" w:cs="Times New Roman"/>
          <w:sz w:val="24"/>
          <w:szCs w:val="24"/>
          <w:lang w:eastAsia="fr-FR"/>
        </w:rPr>
        <w:t xml:space="preserve"> </w:t>
      </w:r>
      <w:r w:rsidRPr="00CA196C">
        <w:rPr>
          <w:rFonts w:ascii="Bookman Old Style" w:eastAsia="Times New Roman" w:hAnsi="Bookman Old Style" w:cs="Times New Roman"/>
          <w:sz w:val="24"/>
          <w:szCs w:val="24"/>
          <w:lang w:eastAsia="fr-FR"/>
        </w:rPr>
        <w:t>(ii)</w:t>
      </w:r>
      <w:r w:rsidR="001C731D" w:rsidRPr="00CA196C">
        <w:rPr>
          <w:rFonts w:ascii="Bookman Old Style" w:eastAsia="Times New Roman" w:hAnsi="Bookman Old Style" w:cs="Times New Roman"/>
          <w:sz w:val="24"/>
          <w:szCs w:val="24"/>
          <w:lang w:eastAsia="fr-FR"/>
        </w:rPr>
        <w:t xml:space="preserve"> la création de</w:t>
      </w:r>
      <w:r w:rsidRPr="00CA196C">
        <w:rPr>
          <w:rFonts w:ascii="Bookman Old Style" w:eastAsia="Times New Roman" w:hAnsi="Bookman Old Style" w:cs="Times New Roman"/>
          <w:sz w:val="24"/>
          <w:szCs w:val="24"/>
          <w:lang w:eastAsia="fr-FR"/>
        </w:rPr>
        <w:t xml:space="preserve"> </w:t>
      </w:r>
      <w:r w:rsidRPr="00CA196C">
        <w:rPr>
          <w:rFonts w:ascii="Bookman Old Style" w:hAnsi="Bookman Old Style" w:cs="Times New Roman"/>
          <w:sz w:val="24"/>
          <w:szCs w:val="24"/>
        </w:rPr>
        <w:t>l'institut de formation des journalistes</w:t>
      </w:r>
      <w:r w:rsidR="00D57BC9" w:rsidRPr="00CA196C">
        <w:rPr>
          <w:rFonts w:ascii="Bookman Old Style" w:hAnsi="Bookman Old Style" w:cs="Times New Roman"/>
          <w:sz w:val="24"/>
          <w:szCs w:val="24"/>
        </w:rPr>
        <w:t> ;</w:t>
      </w:r>
      <w:r w:rsidR="001C73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(iii) l'exploitation efficiente du réseau du système de communication du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(COMGOV) et des médias</w:t>
      </w:r>
      <w:r w:rsidR="00D57BC9" w:rsidRPr="00CA196C">
        <w:rPr>
          <w:rFonts w:ascii="Bookman Old Style" w:hAnsi="Bookman Old Style" w:cs="Times New Roman"/>
          <w:sz w:val="24"/>
          <w:szCs w:val="24"/>
        </w:rPr>
        <w:t> ;</w:t>
      </w:r>
      <w:r w:rsidR="001C73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(iv) la couverture Nationale des ondes de la RTNB</w:t>
      </w:r>
      <w:r w:rsidR="00497902"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la maîtrise de la régulation des fréquences radios</w:t>
      </w:r>
      <w:r w:rsidR="00D57BC9"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(vi) le renforcement des capacités des médias</w:t>
      </w:r>
      <w:r w:rsidR="00D57BC9" w:rsidRPr="00CA196C">
        <w:rPr>
          <w:rFonts w:ascii="Bookman Old Style" w:hAnsi="Bookman Old Style" w:cs="Times New Roman"/>
          <w:sz w:val="24"/>
          <w:szCs w:val="24"/>
        </w:rPr>
        <w:t xml:space="preserve"> et </w:t>
      </w:r>
      <w:r w:rsidRPr="00CA196C">
        <w:rPr>
          <w:rFonts w:ascii="Bookman Old Style" w:hAnsi="Bookman Old Style" w:cs="Times New Roman"/>
          <w:sz w:val="24"/>
          <w:szCs w:val="24"/>
        </w:rPr>
        <w:t xml:space="preserve">(vii) la diversité des émissions (économie, environnement, santé, éducation, droit, etc.).  </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lang w:eastAsia="fr-FR"/>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imes New Roman" w:hAnsi="Bookman Old Style" w:cs="Times New Roman"/>
          <w:b/>
          <w:sz w:val="24"/>
          <w:szCs w:val="24"/>
          <w:lang w:eastAsia="fr-FR"/>
        </w:rPr>
        <w:t>Les services postaux</w:t>
      </w:r>
      <w:r w:rsidRPr="00CA196C">
        <w:rPr>
          <w:rFonts w:ascii="Bookman Old Style" w:eastAsia="Times New Roman" w:hAnsi="Bookman Old Style" w:cs="Times New Roman"/>
          <w:sz w:val="24"/>
          <w:szCs w:val="24"/>
          <w:lang w:eastAsia="fr-FR"/>
        </w:rPr>
        <w:t xml:space="preserve"> ont été décentralisés et sont offerts dans toutes les communes du Burundi: </w:t>
      </w:r>
      <w:r w:rsidRPr="00CA196C">
        <w:rPr>
          <w:rFonts w:ascii="Bookman Old Style" w:hAnsi="Bookman Old Style" w:cs="Times New Roman"/>
          <w:sz w:val="24"/>
          <w:szCs w:val="24"/>
        </w:rPr>
        <w:t>141 bureaux postaux sont fonctionnels</w:t>
      </w:r>
      <w:r w:rsidRPr="00CA196C">
        <w:rPr>
          <w:rFonts w:ascii="Bookman Old Style" w:eastAsia="Times New Roman" w:hAnsi="Bookman Old Style" w:cs="Times New Roman"/>
          <w:sz w:val="24"/>
          <w:szCs w:val="24"/>
          <w:lang w:eastAsia="fr-FR"/>
        </w:rPr>
        <w:t>. Cependant, ce secteur fait face aux défis suivants: (i) l’</w:t>
      </w:r>
      <w:r w:rsidRPr="00CA196C">
        <w:rPr>
          <w:rFonts w:ascii="Bookman Old Style" w:hAnsi="Bookman Old Style" w:cs="Times New Roman"/>
          <w:sz w:val="24"/>
          <w:szCs w:val="24"/>
        </w:rPr>
        <w:t>informatisation et l’interconnexion des bureaux postaux avec le siège</w:t>
      </w:r>
      <w:r w:rsidR="00D57BC9" w:rsidRPr="00CA196C">
        <w:rPr>
          <w:rFonts w:ascii="Bookman Old Style" w:hAnsi="Bookman Old Style" w:cs="Times New Roman"/>
          <w:sz w:val="24"/>
          <w:szCs w:val="24"/>
        </w:rPr>
        <w:t> ;</w:t>
      </w:r>
      <w:r w:rsidR="000A2326"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(ii) l’électrification du monde rural</w:t>
      </w:r>
      <w:r w:rsidR="00D57BC9"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 xml:space="preserve">(iii) </w:t>
      </w:r>
      <w:r w:rsidR="000A2326" w:rsidRPr="00CA196C">
        <w:rPr>
          <w:rFonts w:ascii="Bookman Old Style" w:hAnsi="Bookman Old Style" w:cs="Times New Roman"/>
          <w:sz w:val="24"/>
          <w:szCs w:val="24"/>
        </w:rPr>
        <w:t xml:space="preserve">la création d’un </w:t>
      </w:r>
      <w:r w:rsidRPr="00CA196C">
        <w:rPr>
          <w:rFonts w:ascii="Bookman Old Style" w:hAnsi="Bookman Old Style" w:cs="Times New Roman"/>
          <w:sz w:val="24"/>
          <w:szCs w:val="24"/>
        </w:rPr>
        <w:t xml:space="preserve">cadre réglementaire sur les communications </w:t>
      </w:r>
      <w:r w:rsidR="00D57BC9" w:rsidRPr="00CA196C">
        <w:rPr>
          <w:rFonts w:ascii="Bookman Old Style" w:hAnsi="Bookman Old Style" w:cs="Times New Roman"/>
          <w:sz w:val="24"/>
          <w:szCs w:val="24"/>
        </w:rPr>
        <w:t>électroniques et les postes et</w:t>
      </w:r>
      <w:r w:rsidRPr="00CA196C">
        <w:rPr>
          <w:rFonts w:ascii="Bookman Old Style" w:hAnsi="Bookman Old Style" w:cs="Times New Roman"/>
          <w:sz w:val="24"/>
          <w:szCs w:val="24"/>
        </w:rPr>
        <w:t xml:space="preserve"> (iv) la sécurisation des équipements et des fonds des services postes.</w:t>
      </w:r>
    </w:p>
    <w:p w:rsidR="00DE3A23" w:rsidRPr="00CA196C" w:rsidRDefault="00DE3A23" w:rsidP="00BD2775">
      <w:pPr>
        <w:pStyle w:val="Titre3"/>
        <w:rPr>
          <w:rFonts w:ascii="Bookman Old Style" w:hAnsi="Bookman Old Style"/>
        </w:rPr>
      </w:pPr>
      <w:bookmarkStart w:id="64" w:name="_Toc511076175"/>
      <w:bookmarkStart w:id="65" w:name="_Toc511080862"/>
      <w:bookmarkStart w:id="66" w:name="_Toc511081377"/>
      <w:bookmarkStart w:id="67" w:name="_Toc511081538"/>
      <w:bookmarkStart w:id="68" w:name="_Toc499201600"/>
      <w:r w:rsidRPr="00CA196C">
        <w:rPr>
          <w:rFonts w:ascii="Bookman Old Style" w:hAnsi="Bookman Old Style"/>
        </w:rPr>
        <w:t>3.</w:t>
      </w:r>
      <w:r w:rsidR="007D3AFD" w:rsidRPr="00CA196C">
        <w:rPr>
          <w:rFonts w:ascii="Bookman Old Style" w:hAnsi="Bookman Old Style"/>
        </w:rPr>
        <w:t>1.</w:t>
      </w:r>
      <w:r w:rsidR="009D7C81">
        <w:rPr>
          <w:rFonts w:ascii="Bookman Old Style" w:hAnsi="Bookman Old Style"/>
        </w:rPr>
        <w:t>3</w:t>
      </w:r>
      <w:r w:rsidRPr="00CA196C">
        <w:rPr>
          <w:rFonts w:ascii="Bookman Old Style" w:hAnsi="Bookman Old Style"/>
        </w:rPr>
        <w:t>. Exploitation des mines et carrières</w:t>
      </w:r>
      <w:bookmarkEnd w:id="64"/>
      <w:bookmarkEnd w:id="65"/>
      <w:bookmarkEnd w:id="66"/>
      <w:bookmarkEnd w:id="67"/>
      <w:r w:rsidRPr="00CA196C">
        <w:rPr>
          <w:rFonts w:ascii="Bookman Old Style" w:hAnsi="Bookman Old Style"/>
        </w:rPr>
        <w:t xml:space="preserve"> </w:t>
      </w:r>
      <w:bookmarkEnd w:id="68"/>
    </w:p>
    <w:p w:rsidR="00DE3A23" w:rsidRPr="00CA196C" w:rsidRDefault="00DE3A23" w:rsidP="00CD26FF">
      <w:pPr>
        <w:keepNext/>
        <w:numPr>
          <w:ilvl w:val="0"/>
          <w:numId w:val="5"/>
        </w:numPr>
        <w:spacing w:before="240" w:after="60" w:line="240" w:lineRule="auto"/>
        <w:contextualSpacing/>
        <w:jc w:val="both"/>
        <w:outlineLvl w:val="2"/>
        <w:rPr>
          <w:rFonts w:ascii="Bookman Old Style" w:eastAsia="Times New Roman" w:hAnsi="Bookman Old Style" w:cs="Times New Roman"/>
          <w:b/>
          <w:bCs/>
          <w:i/>
          <w:sz w:val="24"/>
          <w:szCs w:val="24"/>
          <w:u w:color="000000"/>
          <w:bdr w:val="nil"/>
        </w:rPr>
      </w:pPr>
      <w:bookmarkStart w:id="69" w:name="_Toc511080863"/>
      <w:bookmarkStart w:id="70" w:name="_Toc511081539"/>
      <w:r w:rsidRPr="00CA196C">
        <w:rPr>
          <w:rFonts w:ascii="Bookman Old Style" w:hAnsi="Bookman Old Style" w:cs="Times New Roman"/>
          <w:sz w:val="24"/>
          <w:szCs w:val="24"/>
        </w:rPr>
        <w:t xml:space="preserve">Le Burundi </w:t>
      </w:r>
      <w:r w:rsidR="00000CF6" w:rsidRPr="00CA196C">
        <w:rPr>
          <w:rFonts w:ascii="Bookman Old Style" w:hAnsi="Bookman Old Style" w:cs="Times New Roman"/>
          <w:sz w:val="24"/>
          <w:szCs w:val="24"/>
        </w:rPr>
        <w:t>dispose d’</w:t>
      </w:r>
      <w:r w:rsidRPr="00CA196C">
        <w:rPr>
          <w:rFonts w:ascii="Bookman Old Style" w:hAnsi="Bookman Old Style" w:cs="Times New Roman"/>
          <w:sz w:val="24"/>
          <w:szCs w:val="24"/>
        </w:rPr>
        <w:t>un potentiel minier non encore exploité: le nickel, le vanadium, les phosphates et la carbonatite, l’or, la cassitérite et ses minéraux accompagnateurs, les platinoïdes, les terres rares, les divers minéraux industriels et les combustibles minéraux tels que la tourbe et les indices d’hydrocarbures. Pour développer ce secteur et le transformer en un véritable moteur de croissance, beaucoup de mesures</w:t>
      </w:r>
      <w:r w:rsidRPr="00CA196C">
        <w:rPr>
          <w:rFonts w:ascii="Bookman Old Style" w:hAnsi="Bookman Old Style" w:cs="Times New Roman"/>
          <w:sz w:val="24"/>
          <w:szCs w:val="24"/>
          <w:vertAlign w:val="superscript"/>
        </w:rPr>
        <w:footnoteReference w:id="6"/>
      </w:r>
      <w:r w:rsidRPr="00CA196C">
        <w:rPr>
          <w:rFonts w:ascii="Bookman Old Style" w:hAnsi="Bookman Old Style" w:cs="Times New Roman"/>
          <w:sz w:val="24"/>
          <w:szCs w:val="24"/>
        </w:rPr>
        <w:t xml:space="preserve"> </w:t>
      </w:r>
      <w:r w:rsidR="00D57BC9" w:rsidRPr="00CA196C">
        <w:rPr>
          <w:rFonts w:ascii="Bookman Old Style" w:hAnsi="Bookman Old Style" w:cs="Times New Roman"/>
          <w:sz w:val="24"/>
          <w:szCs w:val="24"/>
        </w:rPr>
        <w:t xml:space="preserve">ont été prises </w:t>
      </w:r>
      <w:r w:rsidRPr="00CA196C">
        <w:rPr>
          <w:rFonts w:ascii="Bookman Old Style" w:hAnsi="Bookman Old Style" w:cs="Times New Roman"/>
          <w:sz w:val="24"/>
          <w:szCs w:val="24"/>
        </w:rPr>
        <w:t>et des résultats satisfaisants ont été enregistrés: 24 autorisations d’exploitations des carrières ont été accordées</w:t>
      </w:r>
      <w:r w:rsidR="00000CF6"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41 comptoirs d’or et 61 comptoirs pour les autres minerais ont été autorisés et ouverts</w:t>
      </w:r>
      <w:r w:rsidR="00000CF6" w:rsidRPr="00CA196C">
        <w:rPr>
          <w:rFonts w:ascii="Bookman Old Style" w:hAnsi="Bookman Old Style" w:cs="Times New Roman"/>
          <w:sz w:val="24"/>
          <w:szCs w:val="24"/>
        </w:rPr>
        <w:t>,</w:t>
      </w:r>
      <w:r w:rsidR="00B97547"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112 profils, 93 puits et 57 zones filoniennes ont été identifiés. A ces résultats s’ajoutent l’échantillonnage de 4 tranchées, la formalisation de 62 coopératives minières</w:t>
      </w:r>
      <w:r w:rsidR="00B9754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l’inventaire de 57 sites d’exploitation artisanale des substances minérales et l’utilisation de 4</w:t>
      </w:r>
      <w:r w:rsidR="00B9754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642 étiquètes sur 5</w:t>
      </w:r>
      <w:r w:rsidR="00B9754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000 données.</w:t>
      </w:r>
      <w:bookmarkEnd w:id="69"/>
      <w:bookmarkEnd w:id="70"/>
    </w:p>
    <w:p w:rsidR="00DE3A23" w:rsidRPr="00CA196C" w:rsidRDefault="00DE3A23" w:rsidP="00E92676">
      <w:pPr>
        <w:keepNext/>
        <w:spacing w:before="240" w:after="60" w:line="240" w:lineRule="auto"/>
        <w:ind w:left="360"/>
        <w:contextualSpacing/>
        <w:jc w:val="both"/>
        <w:outlineLvl w:val="2"/>
        <w:rPr>
          <w:rFonts w:ascii="Bookman Old Style" w:eastAsia="Times New Roman" w:hAnsi="Bookman Old Style" w:cs="Times New Roman"/>
          <w:b/>
          <w:bCs/>
          <w:i/>
          <w:sz w:val="24"/>
          <w:szCs w:val="24"/>
          <w:u w:color="000000"/>
          <w:bdr w:val="nil"/>
        </w:rPr>
      </w:pPr>
    </w:p>
    <w:p w:rsidR="00DE3A23" w:rsidRPr="00CA196C" w:rsidRDefault="00DE3A23" w:rsidP="00CD26FF">
      <w:pPr>
        <w:keepNext/>
        <w:numPr>
          <w:ilvl w:val="0"/>
          <w:numId w:val="5"/>
        </w:numPr>
        <w:spacing w:before="240" w:after="60" w:line="240" w:lineRule="auto"/>
        <w:contextualSpacing/>
        <w:jc w:val="both"/>
        <w:outlineLvl w:val="2"/>
        <w:rPr>
          <w:rFonts w:ascii="Bookman Old Style" w:eastAsia="Times New Roman" w:hAnsi="Bookman Old Style" w:cs="Times New Roman"/>
          <w:b/>
          <w:bCs/>
          <w:i/>
          <w:sz w:val="24"/>
          <w:szCs w:val="24"/>
          <w:u w:color="000000"/>
          <w:bdr w:val="nil"/>
        </w:rPr>
      </w:pPr>
      <w:bookmarkStart w:id="71" w:name="_Toc511080864"/>
      <w:bookmarkStart w:id="72" w:name="_Toc511081540"/>
      <w:r w:rsidRPr="00CA196C">
        <w:rPr>
          <w:rFonts w:ascii="Bookman Old Style" w:hAnsi="Bookman Old Style" w:cs="Times New Roman"/>
          <w:sz w:val="24"/>
          <w:szCs w:val="24"/>
        </w:rPr>
        <w:t>Bien que ce secteur ait enregistré des résultats appréciables des défis subsistent: (i) la modernisation et coordination de l’exploitation des mines et carrières</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base de données géologiques et minières actualisée</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le contrôle de la production minière artisanale et de son exportation</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l’énergie</w:t>
      </w:r>
      <w:r w:rsidR="00B97547" w:rsidRPr="00CA196C">
        <w:rPr>
          <w:rFonts w:ascii="Bookman Old Style" w:hAnsi="Bookman Old Style" w:cs="Times New Roman"/>
          <w:sz w:val="24"/>
          <w:szCs w:val="24"/>
        </w:rPr>
        <w:t xml:space="preserve"> suffisante</w:t>
      </w:r>
      <w:r w:rsidRPr="00CA196C">
        <w:rPr>
          <w:rFonts w:ascii="Bookman Old Style" w:hAnsi="Bookman Old Style" w:cs="Times New Roman"/>
          <w:sz w:val="24"/>
          <w:szCs w:val="24"/>
        </w:rPr>
        <w:t xml:space="preserve"> et le transport</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le personnel technique qualifié</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les équipements d’exploration, d’exploitation géologique et d’analyses chimiques</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l’application des études sur l’impact environnemental</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la protection sociale des exploitants du secteur miniers</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le désintéressement des investisseurs dans le secteur</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 la vulgarisation </w:t>
      </w:r>
      <w:r w:rsidRPr="00CA196C">
        <w:rPr>
          <w:rFonts w:ascii="Bookman Old Style" w:hAnsi="Bookman Old Style" w:cs="Times New Roman"/>
          <w:sz w:val="24"/>
          <w:szCs w:val="24"/>
        </w:rPr>
        <w:lastRenderedPageBreak/>
        <w:t>du Code Minier</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 l’accès au financement</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(xiii) l’indemnisation de la population en cas de l’expropriation</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 xiv) la décentralisation des comptoirs miniers vers les lieux proches des régions minières</w:t>
      </w:r>
      <w:r w:rsidR="00D57BC9"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 xv) le  suivi par l’Etat de la production minière à partir de la zone d’exploitation</w:t>
      </w:r>
      <w:r w:rsidR="00D57BC9"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(xvi) l’harmonisation des taxes sur les produits miniers au niveau des communes.</w:t>
      </w:r>
      <w:bookmarkEnd w:id="71"/>
      <w:bookmarkEnd w:id="72"/>
      <w:r w:rsidRPr="00CA196C">
        <w:rPr>
          <w:rFonts w:ascii="Bookman Old Style" w:hAnsi="Bookman Old Style" w:cs="Times New Roman"/>
          <w:sz w:val="24"/>
          <w:szCs w:val="24"/>
        </w:rPr>
        <w:t xml:space="preserve"> </w:t>
      </w:r>
    </w:p>
    <w:p w:rsidR="00DE3A23" w:rsidRPr="00CA196C" w:rsidRDefault="00DE3A23" w:rsidP="00BD2775">
      <w:pPr>
        <w:pStyle w:val="Titre3"/>
        <w:rPr>
          <w:rFonts w:ascii="Bookman Old Style" w:hAnsi="Bookman Old Style"/>
        </w:rPr>
      </w:pPr>
      <w:bookmarkStart w:id="73" w:name="_Toc511076176"/>
      <w:bookmarkStart w:id="74" w:name="_Toc511080865"/>
      <w:bookmarkStart w:id="75" w:name="_Toc511081378"/>
      <w:bookmarkStart w:id="76" w:name="_Toc511081541"/>
      <w:bookmarkStart w:id="77" w:name="_Toc499201602"/>
      <w:r w:rsidRPr="00CA196C">
        <w:rPr>
          <w:rFonts w:ascii="Bookman Old Style" w:hAnsi="Bookman Old Style"/>
        </w:rPr>
        <w:t>3.</w:t>
      </w:r>
      <w:r w:rsidR="007D3AFD" w:rsidRPr="00CA196C">
        <w:rPr>
          <w:rFonts w:ascii="Bookman Old Style" w:hAnsi="Bookman Old Style"/>
        </w:rPr>
        <w:t>1.</w:t>
      </w:r>
      <w:r w:rsidR="009D7C81">
        <w:rPr>
          <w:rFonts w:ascii="Bookman Old Style" w:hAnsi="Bookman Old Style"/>
        </w:rPr>
        <w:t>4</w:t>
      </w:r>
      <w:r w:rsidR="00A830B5">
        <w:rPr>
          <w:rFonts w:ascii="Bookman Old Style" w:hAnsi="Bookman Old Style"/>
        </w:rPr>
        <w:t>. Industrie et A</w:t>
      </w:r>
      <w:r w:rsidRPr="00CA196C">
        <w:rPr>
          <w:rFonts w:ascii="Bookman Old Style" w:hAnsi="Bookman Old Style"/>
        </w:rPr>
        <w:t>rtisanat</w:t>
      </w:r>
      <w:bookmarkEnd w:id="73"/>
      <w:bookmarkEnd w:id="74"/>
      <w:bookmarkEnd w:id="75"/>
      <w:bookmarkEnd w:id="76"/>
      <w:r w:rsidRPr="00CA196C">
        <w:rPr>
          <w:rFonts w:ascii="Bookman Old Style" w:hAnsi="Bookman Old Style"/>
        </w:rPr>
        <w:t xml:space="preserve"> </w:t>
      </w:r>
      <w:bookmarkEnd w:id="77"/>
    </w:p>
    <w:p w:rsidR="008653C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Cs/>
          <w:iCs/>
          <w:sz w:val="24"/>
          <w:szCs w:val="24"/>
        </w:rPr>
        <w:t xml:space="preserve">Le secteur industriel est peu </w:t>
      </w:r>
      <w:r w:rsidR="00786E97" w:rsidRPr="00CA196C">
        <w:rPr>
          <w:rFonts w:ascii="Bookman Old Style" w:hAnsi="Bookman Old Style" w:cs="Times New Roman"/>
          <w:bCs/>
          <w:iCs/>
          <w:sz w:val="24"/>
          <w:szCs w:val="24"/>
        </w:rPr>
        <w:t>développé</w:t>
      </w:r>
      <w:r w:rsidRPr="00CA196C">
        <w:rPr>
          <w:rFonts w:ascii="Bookman Old Style" w:hAnsi="Bookman Old Style" w:cs="Times New Roman"/>
          <w:bCs/>
          <w:iCs/>
          <w:sz w:val="24"/>
          <w:szCs w:val="24"/>
        </w:rPr>
        <w:t xml:space="preserve"> et sa contribution au Produit Intérieur Brut (PIB) reste faible avec </w:t>
      </w:r>
      <w:r w:rsidRPr="00CA196C">
        <w:rPr>
          <w:rFonts w:ascii="Bookman Old Style" w:hAnsi="Bookman Old Style" w:cs="Times New Roman"/>
          <w:sz w:val="24"/>
          <w:szCs w:val="24"/>
        </w:rPr>
        <w:t>17,1% au PIB et emploie environ 2 % de la population</w:t>
      </w:r>
      <w:r w:rsidRPr="00CA196C">
        <w:rPr>
          <w:rFonts w:ascii="Bookman Old Style" w:hAnsi="Bookman Old Style" w:cs="Times New Roman"/>
          <w:vertAlign w:val="superscript"/>
        </w:rPr>
        <w:footnoteReference w:id="7"/>
      </w:r>
      <w:r w:rsidRPr="00CA196C">
        <w:rPr>
          <w:rFonts w:ascii="Bookman Old Style" w:hAnsi="Bookman Old Style" w:cs="Times New Roman"/>
          <w:sz w:val="24"/>
          <w:szCs w:val="24"/>
        </w:rPr>
        <w:t>. Les</w:t>
      </w:r>
      <w:r w:rsidRPr="00CA196C">
        <w:rPr>
          <w:rFonts w:ascii="Bookman Old Style" w:hAnsi="Bookman Old Style" w:cs="Times New Roman"/>
          <w:bCs/>
          <w:iCs/>
          <w:sz w:val="24"/>
          <w:szCs w:val="24"/>
        </w:rPr>
        <w:t xml:space="preserve"> réformes entreprises au cours de ces dernières années visant notamment à promouvoir le développement industriel ont fait que l’indice de la production industrielle est passé de 120,1 en 2011 à 133,5 en 2015</w:t>
      </w:r>
      <w:r w:rsidRPr="00CA196C">
        <w:rPr>
          <w:rFonts w:ascii="Bookman Old Style" w:hAnsi="Bookman Old Style" w:cs="Times New Roman"/>
          <w:bCs/>
          <w:iCs/>
          <w:vertAlign w:val="superscript"/>
        </w:rPr>
        <w:footnoteReference w:id="8"/>
      </w:r>
      <w:r w:rsidRPr="00CA196C">
        <w:rPr>
          <w:rFonts w:ascii="Bookman Old Style" w:hAnsi="Bookman Old Style" w:cs="Times New Roman"/>
          <w:bCs/>
          <w:iCs/>
          <w:sz w:val="24"/>
          <w:szCs w:val="24"/>
        </w:rPr>
        <w:t>. Ces réformes ont porté sur: (i) l’amélioration du climat des affaires</w:t>
      </w:r>
      <w:r w:rsidR="00D57BC9"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(ii) le développement du secteur privé</w:t>
      </w:r>
      <w:r w:rsidR="00B97547" w:rsidRPr="00CA196C">
        <w:rPr>
          <w:rFonts w:ascii="Bookman Old Style" w:hAnsi="Bookman Old Style" w:cs="Times New Roman"/>
          <w:bCs/>
          <w:iCs/>
          <w:sz w:val="24"/>
          <w:szCs w:val="24"/>
        </w:rPr>
        <w:t>,</w:t>
      </w:r>
      <w:r w:rsidRPr="00CA196C">
        <w:rPr>
          <w:rFonts w:ascii="Bookman Old Style" w:hAnsi="Bookman Old Style" w:cs="Times New Roman"/>
          <w:bCs/>
          <w:iCs/>
          <w:sz w:val="24"/>
          <w:szCs w:val="24"/>
        </w:rPr>
        <w:t xml:space="preserve"> (iii) la simplification des procédures d’établissement et de création des sociétés</w:t>
      </w:r>
      <w:r w:rsidR="00B97547" w:rsidRPr="00CA196C">
        <w:rPr>
          <w:rFonts w:ascii="Bookman Old Style" w:hAnsi="Bookman Old Style" w:cs="Times New Roman"/>
          <w:bCs/>
          <w:iCs/>
          <w:sz w:val="24"/>
          <w:szCs w:val="24"/>
        </w:rPr>
        <w:t>,</w:t>
      </w:r>
      <w:r w:rsidRPr="00CA196C">
        <w:rPr>
          <w:rFonts w:ascii="Bookman Old Style" w:hAnsi="Bookman Old Style" w:cs="Times New Roman"/>
          <w:bCs/>
          <w:iCs/>
          <w:sz w:val="24"/>
          <w:szCs w:val="24"/>
        </w:rPr>
        <w:t xml:space="preserve"> (iv) la protection de la propriété industrielle</w:t>
      </w:r>
      <w:r w:rsidR="00D57BC9"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(v) l’encouragement à l’utilisation des TIC</w:t>
      </w:r>
      <w:r w:rsidR="00B97547" w:rsidRPr="00CA196C">
        <w:rPr>
          <w:rFonts w:ascii="Bookman Old Style" w:hAnsi="Bookman Old Style" w:cs="Times New Roman"/>
          <w:bCs/>
          <w:iCs/>
          <w:sz w:val="24"/>
          <w:szCs w:val="24"/>
        </w:rPr>
        <w:t xml:space="preserve">  </w:t>
      </w:r>
      <w:r w:rsidRPr="00CA196C">
        <w:rPr>
          <w:rFonts w:ascii="Bookman Old Style" w:hAnsi="Bookman Old Style" w:cs="Times New Roman"/>
          <w:bCs/>
          <w:iCs/>
          <w:sz w:val="24"/>
          <w:szCs w:val="24"/>
        </w:rPr>
        <w:t xml:space="preserve">et (vi) la promulgation du nouveau code des investissements. </w:t>
      </w:r>
    </w:p>
    <w:p w:rsidR="008653C3" w:rsidRPr="00CA196C" w:rsidRDefault="008653C3" w:rsidP="008653C3">
      <w:pPr>
        <w:autoSpaceDE w:val="0"/>
        <w:autoSpaceDN w:val="0"/>
        <w:adjustRightInd w:val="0"/>
        <w:spacing w:before="160" w:after="120" w:line="240" w:lineRule="auto"/>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Cs/>
          <w:iCs/>
          <w:sz w:val="24"/>
          <w:szCs w:val="24"/>
        </w:rPr>
        <w:t>Bien que le secteur industriel ait connu des progrès, il reste confronté à plusieurs défis dont: (i) la</w:t>
      </w:r>
      <w:r w:rsidR="00B97547" w:rsidRPr="00CA196C">
        <w:rPr>
          <w:rFonts w:ascii="Bookman Old Style" w:hAnsi="Bookman Old Style" w:cs="Times New Roman"/>
          <w:bCs/>
          <w:iCs/>
          <w:sz w:val="24"/>
          <w:szCs w:val="24"/>
        </w:rPr>
        <w:t xml:space="preserve"> finalisation de la</w:t>
      </w:r>
      <w:r w:rsidRPr="00CA196C">
        <w:rPr>
          <w:rFonts w:ascii="Bookman Old Style" w:hAnsi="Bookman Old Style" w:cs="Times New Roman"/>
          <w:bCs/>
          <w:iCs/>
          <w:sz w:val="24"/>
          <w:szCs w:val="24"/>
        </w:rPr>
        <w:t xml:space="preserve"> politique nationale d’industrialisation</w:t>
      </w:r>
      <w:r w:rsidR="0002438E" w:rsidRPr="00CA196C">
        <w:rPr>
          <w:rFonts w:ascii="Bookman Old Style" w:hAnsi="Bookman Old Style" w:cs="Times New Roman"/>
          <w:bCs/>
          <w:iCs/>
          <w:sz w:val="24"/>
          <w:szCs w:val="24"/>
        </w:rPr>
        <w:t> ;</w:t>
      </w:r>
      <w:r w:rsidR="00B97547" w:rsidRPr="00CA196C">
        <w:rPr>
          <w:rFonts w:ascii="Bookman Old Style" w:hAnsi="Bookman Old Style" w:cs="Times New Roman"/>
          <w:bCs/>
          <w:iCs/>
          <w:sz w:val="24"/>
          <w:szCs w:val="24"/>
        </w:rPr>
        <w:t xml:space="preserve"> </w:t>
      </w:r>
      <w:r w:rsidRPr="00CA196C">
        <w:rPr>
          <w:rFonts w:ascii="Bookman Old Style" w:hAnsi="Bookman Old Style" w:cs="Times New Roman"/>
          <w:bCs/>
          <w:iCs/>
          <w:sz w:val="24"/>
          <w:szCs w:val="24"/>
        </w:rPr>
        <w:t>(ii) les infrastructures d’appui à la production (énergie, transport, TICs, etc</w:t>
      </w:r>
      <w:r w:rsidR="0002438E" w:rsidRPr="00CA196C">
        <w:rPr>
          <w:rFonts w:ascii="Bookman Old Style" w:hAnsi="Bookman Old Style" w:cs="Times New Roman"/>
          <w:bCs/>
          <w:iCs/>
          <w:sz w:val="24"/>
          <w:szCs w:val="24"/>
        </w:rPr>
        <w:t xml:space="preserve">.) ; </w:t>
      </w:r>
      <w:r w:rsidRPr="00CA196C">
        <w:rPr>
          <w:rFonts w:ascii="Bookman Old Style" w:hAnsi="Bookman Old Style" w:cs="Times New Roman"/>
          <w:bCs/>
          <w:iCs/>
          <w:sz w:val="24"/>
          <w:szCs w:val="24"/>
        </w:rPr>
        <w:t>(iii) l’accès aux ressources financières</w:t>
      </w:r>
      <w:r w:rsidR="0002438E" w:rsidRPr="00CA196C">
        <w:rPr>
          <w:rFonts w:ascii="Bookman Old Style" w:hAnsi="Bookman Old Style" w:cs="Times New Roman"/>
          <w:bCs/>
          <w:iCs/>
          <w:sz w:val="24"/>
          <w:szCs w:val="24"/>
        </w:rPr>
        <w:t xml:space="preserve"> ; </w:t>
      </w:r>
      <w:r w:rsidRPr="00CA196C">
        <w:rPr>
          <w:rFonts w:ascii="Bookman Old Style" w:hAnsi="Bookman Old Style" w:cs="Times New Roman"/>
          <w:bCs/>
          <w:iCs/>
          <w:sz w:val="24"/>
          <w:szCs w:val="24"/>
        </w:rPr>
        <w:t>(iv) une politique fiscale favorable au développement industriel</w:t>
      </w:r>
      <w:r w:rsidR="0002438E" w:rsidRPr="00CA196C">
        <w:rPr>
          <w:rFonts w:ascii="Bookman Old Style" w:hAnsi="Bookman Old Style" w:cs="Times New Roman"/>
          <w:bCs/>
          <w:iCs/>
          <w:sz w:val="24"/>
          <w:szCs w:val="24"/>
        </w:rPr>
        <w:t> ;</w:t>
      </w:r>
      <w:r w:rsidR="00B97547" w:rsidRPr="00CA196C">
        <w:rPr>
          <w:rFonts w:ascii="Bookman Old Style" w:hAnsi="Bookman Old Style" w:cs="Times New Roman"/>
          <w:bCs/>
          <w:iCs/>
          <w:sz w:val="24"/>
          <w:szCs w:val="24"/>
        </w:rPr>
        <w:t xml:space="preserve"> </w:t>
      </w:r>
      <w:r w:rsidRPr="00CA196C">
        <w:rPr>
          <w:rFonts w:ascii="Bookman Old Style" w:hAnsi="Bookman Old Style" w:cs="Times New Roman"/>
          <w:bCs/>
          <w:iCs/>
          <w:sz w:val="24"/>
          <w:szCs w:val="24"/>
        </w:rPr>
        <w:t>(v) l</w:t>
      </w:r>
      <w:r w:rsidR="00B97547" w:rsidRPr="00CA196C">
        <w:rPr>
          <w:rFonts w:ascii="Bookman Old Style" w:hAnsi="Bookman Old Style" w:cs="Times New Roman"/>
          <w:bCs/>
          <w:iCs/>
          <w:sz w:val="24"/>
          <w:szCs w:val="24"/>
        </w:rPr>
        <w:t>a mobilisation d</w:t>
      </w:r>
      <w:r w:rsidRPr="00CA196C">
        <w:rPr>
          <w:rFonts w:ascii="Bookman Old Style" w:hAnsi="Bookman Old Style" w:cs="Times New Roman"/>
          <w:bCs/>
          <w:iCs/>
          <w:sz w:val="24"/>
          <w:szCs w:val="24"/>
        </w:rPr>
        <w:t>es Investissements Directs Etrangers (IDEs)</w:t>
      </w:r>
      <w:r w:rsidR="0002438E"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(vi) le niveau technologique</w:t>
      </w:r>
      <w:r w:rsidR="0002438E"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(vii) un cadre d’information, de recherche ou de gestion en matière d’industrialisation</w:t>
      </w:r>
      <w:r w:rsidR="0002438E"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(viii) les disparités régionales en matière d’implantation industrielle</w:t>
      </w:r>
      <w:r w:rsidR="0002438E" w:rsidRPr="00CA196C">
        <w:rPr>
          <w:rFonts w:ascii="Bookman Old Style" w:hAnsi="Bookman Old Style" w:cs="Times New Roman"/>
          <w:bCs/>
          <w:iCs/>
          <w:sz w:val="24"/>
          <w:szCs w:val="24"/>
        </w:rPr>
        <w:t> ;</w:t>
      </w:r>
      <w:r w:rsidRPr="00CA196C">
        <w:rPr>
          <w:rFonts w:ascii="Bookman Old Style" w:hAnsi="Bookman Old Style" w:cs="Times New Roman"/>
          <w:bCs/>
          <w:iCs/>
          <w:sz w:val="24"/>
          <w:szCs w:val="24"/>
        </w:rPr>
        <w:t xml:space="preserve"> (ix) la promotion des industries de transformation et (x) la disponibilité des matières premières.</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t>L’artisanat</w:t>
      </w:r>
      <w:r w:rsidRPr="00CA196C">
        <w:rPr>
          <w:rFonts w:ascii="Bookman Old Style" w:hAnsi="Bookman Old Style" w:cs="Times New Roman"/>
          <w:sz w:val="24"/>
          <w:szCs w:val="24"/>
        </w:rPr>
        <w:t xml:space="preserve"> est présen</w:t>
      </w:r>
      <w:r w:rsidR="0002438E" w:rsidRPr="00CA196C">
        <w:rPr>
          <w:rFonts w:ascii="Bookman Old Style" w:hAnsi="Bookman Old Style" w:cs="Times New Roman"/>
          <w:sz w:val="24"/>
          <w:szCs w:val="24"/>
        </w:rPr>
        <w:t xml:space="preserve">t sur tout le territoire </w:t>
      </w:r>
      <w:r w:rsidRPr="00CA196C">
        <w:rPr>
          <w:rFonts w:ascii="Bookman Old Style" w:hAnsi="Bookman Old Style" w:cs="Times New Roman"/>
          <w:sz w:val="24"/>
          <w:szCs w:val="24"/>
        </w:rPr>
        <w:t xml:space="preserve">et il est essentiellement une activité informelle, souvent de subsistance, et complète l’agriculture. La matière première utilisée est constituée de ressources naturelles locales d’origine végétale, minérale et/ou animale ou de matières premières recyclées entre autres les déchets métalliques. Les artisans burundais participent régulièrement à la foire régionale dénommée </w:t>
      </w:r>
      <w:r w:rsidRPr="00CA196C">
        <w:rPr>
          <w:rFonts w:ascii="Bookman Old Style" w:hAnsi="Bookman Old Style" w:cs="Times New Roman"/>
          <w:i/>
          <w:sz w:val="24"/>
          <w:szCs w:val="24"/>
        </w:rPr>
        <w:t xml:space="preserve">« Jua kali/nguvu kazi » </w:t>
      </w:r>
      <w:r w:rsidRPr="00CA196C">
        <w:rPr>
          <w:rFonts w:ascii="Bookman Old Style" w:hAnsi="Bookman Old Style" w:cs="Times New Roman"/>
          <w:sz w:val="24"/>
          <w:szCs w:val="24"/>
        </w:rPr>
        <w:t xml:space="preserve">au cours de laquelle </w:t>
      </w:r>
      <w:r w:rsidR="0002438E" w:rsidRPr="00CA196C">
        <w:rPr>
          <w:rFonts w:ascii="Bookman Old Style" w:hAnsi="Bookman Old Style" w:cs="Times New Roman"/>
          <w:sz w:val="24"/>
          <w:szCs w:val="24"/>
        </w:rPr>
        <w:t>ils</w:t>
      </w:r>
      <w:r w:rsidRPr="00CA196C">
        <w:rPr>
          <w:rFonts w:ascii="Bookman Old Style" w:hAnsi="Bookman Old Style" w:cs="Times New Roman"/>
          <w:sz w:val="24"/>
          <w:szCs w:val="24"/>
        </w:rPr>
        <w:t xml:space="preserve"> font connaitre leurs produits et échangent l’expérience avec d’autres artisans de la Communauté Est-Africaine.</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Malgré ses potentialités</w:t>
      </w:r>
      <w:r w:rsidR="0002438E" w:rsidRPr="00CA196C">
        <w:rPr>
          <w:rFonts w:ascii="Bookman Old Style" w:hAnsi="Bookman Old Style" w:cs="Times New Roman"/>
          <w:sz w:val="24"/>
          <w:szCs w:val="24"/>
        </w:rPr>
        <w:t>, le secteur artisanal</w:t>
      </w:r>
      <w:r w:rsidRPr="00CA196C">
        <w:rPr>
          <w:rFonts w:ascii="Bookman Old Style" w:hAnsi="Bookman Old Style" w:cs="Times New Roman"/>
          <w:sz w:val="24"/>
          <w:szCs w:val="24"/>
        </w:rPr>
        <w:t xml:space="preserve"> rencontre beaucoup de défis: (i) la  politique de développement du secteur artisanal</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w:t>
      </w:r>
      <w:r w:rsidRPr="00CA196C">
        <w:rPr>
          <w:rFonts w:ascii="Bookman Old Style" w:hAnsi="Bookman Old Style" w:cs="Times New Roman"/>
          <w:sz w:val="24"/>
          <w:szCs w:val="24"/>
          <w:lang w:val="fr-BE"/>
        </w:rPr>
        <w:t xml:space="preserve"> législation adaptée aux activités du secteur</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(iii) les capacités professionnelles et entrepreneuriales des artisans</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(iv) l’information sur le </w:t>
      </w:r>
      <w:r w:rsidRPr="00CA196C">
        <w:rPr>
          <w:rFonts w:ascii="Bookman Old Style" w:hAnsi="Bookman Old Style" w:cs="Times New Roman"/>
          <w:sz w:val="24"/>
          <w:szCs w:val="24"/>
          <w:lang w:val="fr-BE"/>
        </w:rPr>
        <w:lastRenderedPageBreak/>
        <w:t>développement de nouvelles filières plus compétitives</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(v) l’approvisionnement en matières premières et l’acquisition de l’équipement de production</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(vi) les marchés d’écoulement des produits artisanaux</w:t>
      </w:r>
      <w:r w:rsidR="0002438E" w:rsidRPr="00CA196C">
        <w:rPr>
          <w:rFonts w:ascii="Bookman Old Style" w:hAnsi="Bookman Old Style" w:cs="Times New Roman"/>
          <w:sz w:val="24"/>
          <w:szCs w:val="24"/>
          <w:lang w:val="fr-BE"/>
        </w:rPr>
        <w:t> ;</w:t>
      </w:r>
      <w:r w:rsidRPr="00CA196C">
        <w:rPr>
          <w:rFonts w:ascii="Bookman Old Style" w:hAnsi="Bookman Old Style" w:cs="Times New Roman"/>
          <w:sz w:val="24"/>
          <w:szCs w:val="24"/>
          <w:lang w:val="fr-BE"/>
        </w:rPr>
        <w:t xml:space="preserve"> (vii) l’accès des artisans au crédit</w:t>
      </w:r>
      <w:r w:rsidR="0002438E" w:rsidRPr="00CA196C">
        <w:rPr>
          <w:rFonts w:ascii="Bookman Old Style" w:hAnsi="Bookman Old Style" w:cs="Times New Roman"/>
          <w:sz w:val="24"/>
          <w:szCs w:val="24"/>
          <w:lang w:val="fr-BE"/>
        </w:rPr>
        <w:t> ;</w:t>
      </w:r>
      <w:r w:rsidR="0002438E" w:rsidRPr="00CA196C">
        <w:rPr>
          <w:rFonts w:ascii="Bookman Old Style" w:hAnsi="Bookman Old Style" w:cs="Times New Roman"/>
          <w:sz w:val="24"/>
          <w:szCs w:val="24"/>
        </w:rPr>
        <w:t xml:space="preserve"> (viii) les artisans qualifiés ;</w:t>
      </w:r>
      <w:r w:rsidRPr="00CA196C">
        <w:rPr>
          <w:rFonts w:ascii="Bookman Old Style" w:hAnsi="Bookman Old Style" w:cs="Times New Roman"/>
          <w:sz w:val="24"/>
          <w:szCs w:val="24"/>
        </w:rPr>
        <w:t xml:space="preserve"> (ix) l’encadrement des artisans</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 l</w:t>
      </w:r>
      <w:r w:rsidR="00B97547" w:rsidRPr="00CA196C">
        <w:rPr>
          <w:rFonts w:ascii="Bookman Old Style" w:hAnsi="Bookman Old Style" w:cs="Times New Roman"/>
          <w:sz w:val="24"/>
          <w:szCs w:val="24"/>
        </w:rPr>
        <w:t>a disponibilité de l’</w:t>
      </w:r>
      <w:r w:rsidRPr="00CA196C">
        <w:rPr>
          <w:rFonts w:ascii="Bookman Old Style" w:hAnsi="Bookman Old Style" w:cs="Times New Roman"/>
          <w:sz w:val="24"/>
          <w:szCs w:val="24"/>
        </w:rPr>
        <w:t>’énergie</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w:t>
      </w:r>
      <w:r w:rsidR="0002438E"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une politique de multiplication et de protection de certaines espèces végétales</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 la préservation de la matière première naturelle</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(xiii) la valorisation des produits locaux et (xiv) la </w:t>
      </w:r>
      <w:r w:rsidR="00B97547" w:rsidRPr="00CA196C">
        <w:rPr>
          <w:rFonts w:ascii="Bookman Old Style" w:hAnsi="Bookman Old Style" w:cs="Times New Roman"/>
          <w:sz w:val="24"/>
          <w:szCs w:val="24"/>
        </w:rPr>
        <w:t xml:space="preserve">création d’une </w:t>
      </w:r>
      <w:r w:rsidRPr="00CA196C">
        <w:rPr>
          <w:rFonts w:ascii="Bookman Old Style" w:hAnsi="Bookman Old Style" w:cs="Times New Roman"/>
          <w:sz w:val="24"/>
          <w:szCs w:val="24"/>
        </w:rPr>
        <w:t>base de données sur l’artisanat.</w:t>
      </w:r>
    </w:p>
    <w:p w:rsidR="00DE3A23" w:rsidRPr="00CA196C" w:rsidRDefault="00DE3A23" w:rsidP="00BD2775">
      <w:pPr>
        <w:pStyle w:val="Titre3"/>
        <w:rPr>
          <w:rFonts w:ascii="Bookman Old Style" w:hAnsi="Bookman Old Style"/>
        </w:rPr>
      </w:pPr>
      <w:bookmarkStart w:id="78" w:name="_Toc511076177"/>
      <w:bookmarkStart w:id="79" w:name="_Toc511080866"/>
      <w:bookmarkStart w:id="80" w:name="_Toc511081379"/>
      <w:bookmarkStart w:id="81" w:name="_Toc511081542"/>
      <w:bookmarkStart w:id="82" w:name="_Toc499201605"/>
      <w:r w:rsidRPr="00CA196C">
        <w:rPr>
          <w:rFonts w:ascii="Bookman Old Style" w:hAnsi="Bookman Old Style"/>
        </w:rPr>
        <w:t>3.</w:t>
      </w:r>
      <w:r w:rsidR="007D3AFD" w:rsidRPr="00CA196C">
        <w:rPr>
          <w:rFonts w:ascii="Bookman Old Style" w:hAnsi="Bookman Old Style"/>
        </w:rPr>
        <w:t>1.</w:t>
      </w:r>
      <w:r w:rsidR="009D7C81">
        <w:rPr>
          <w:rFonts w:ascii="Bookman Old Style" w:hAnsi="Bookman Old Style"/>
        </w:rPr>
        <w:t>5</w:t>
      </w:r>
      <w:r w:rsidR="00A830B5">
        <w:rPr>
          <w:rFonts w:ascii="Bookman Old Style" w:hAnsi="Bookman Old Style"/>
        </w:rPr>
        <w:t>. Climat des affaires, C</w:t>
      </w:r>
      <w:r w:rsidRPr="00CA196C">
        <w:rPr>
          <w:rFonts w:ascii="Bookman Old Style" w:hAnsi="Bookman Old Style"/>
        </w:rPr>
        <w:t>ommerce et Tourisme</w:t>
      </w:r>
      <w:bookmarkEnd w:id="78"/>
      <w:bookmarkEnd w:id="79"/>
      <w:bookmarkEnd w:id="80"/>
      <w:bookmarkEnd w:id="81"/>
      <w:r w:rsidRPr="00CA196C">
        <w:rPr>
          <w:rFonts w:ascii="Bookman Old Style" w:hAnsi="Bookman Old Style"/>
        </w:rPr>
        <w:t xml:space="preserve">  </w:t>
      </w:r>
      <w:bookmarkEnd w:id="82"/>
    </w:p>
    <w:p w:rsidR="00ED1681" w:rsidRPr="00CA196C" w:rsidRDefault="00ED1681" w:rsidP="00E92676">
      <w:pPr>
        <w:keepNext/>
        <w:spacing w:before="240" w:after="60" w:line="240" w:lineRule="auto"/>
        <w:jc w:val="both"/>
        <w:outlineLvl w:val="2"/>
        <w:rPr>
          <w:rFonts w:ascii="Bookman Old Style" w:eastAsia="Times New Roman" w:hAnsi="Bookman Old Style" w:cs="Times New Roman"/>
          <w:b/>
          <w:bCs/>
          <w:i/>
          <w:sz w:val="24"/>
          <w:szCs w:val="24"/>
          <w:u w:color="000000"/>
          <w:bdr w:val="nil"/>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Cs/>
          <w:sz w:val="24"/>
          <w:szCs w:val="24"/>
        </w:rPr>
        <w:t xml:space="preserve">Dans le cadre de </w:t>
      </w:r>
      <w:r w:rsidRPr="00CA196C">
        <w:rPr>
          <w:rFonts w:ascii="Bookman Old Style" w:hAnsi="Bookman Old Style" w:cs="Times New Roman"/>
          <w:b/>
          <w:bCs/>
          <w:sz w:val="24"/>
          <w:szCs w:val="24"/>
        </w:rPr>
        <w:t>l’amélioration du climat des affaires</w:t>
      </w:r>
      <w:r w:rsidRPr="00CA196C">
        <w:rPr>
          <w:rFonts w:ascii="Bookman Old Style" w:hAnsi="Bookman Old Style" w:cs="Times New Roman"/>
          <w:sz w:val="24"/>
          <w:szCs w:val="24"/>
        </w:rPr>
        <w:t xml:space="preserve">, d’importantes avancées ont été enregistrées avec notamment la promulgation des textes d’application en rapport avec la loi sur les faillites, le code des sociétés, la loi sur la privatisation, la loi sur le concordat ainsi que l’harmonisation de certains textes de lois avec ceux de la </w:t>
      </w:r>
      <w:r w:rsidR="0002438E" w:rsidRPr="00CA196C">
        <w:rPr>
          <w:rFonts w:ascii="Bookman Old Style" w:hAnsi="Bookman Old Style" w:cs="Times New Roman"/>
          <w:sz w:val="24"/>
          <w:szCs w:val="24"/>
        </w:rPr>
        <w:t>C</w:t>
      </w:r>
      <w:r w:rsidR="00C03579" w:rsidRPr="00CA196C">
        <w:rPr>
          <w:rFonts w:ascii="Bookman Old Style" w:hAnsi="Bookman Old Style" w:cs="Times New Roman"/>
          <w:sz w:val="24"/>
          <w:szCs w:val="24"/>
        </w:rPr>
        <w:t xml:space="preserve">ommunauté </w:t>
      </w:r>
      <w:r w:rsidR="0002438E" w:rsidRPr="00CA196C">
        <w:rPr>
          <w:rFonts w:ascii="Bookman Old Style" w:hAnsi="Bookman Old Style" w:cs="Times New Roman"/>
          <w:sz w:val="24"/>
          <w:szCs w:val="24"/>
        </w:rPr>
        <w:t>E</w:t>
      </w:r>
      <w:r w:rsidR="00C03579" w:rsidRPr="00CA196C">
        <w:rPr>
          <w:rFonts w:ascii="Bookman Old Style" w:hAnsi="Bookman Old Style" w:cs="Times New Roman"/>
          <w:sz w:val="24"/>
          <w:szCs w:val="24"/>
        </w:rPr>
        <w:t xml:space="preserve">st </w:t>
      </w:r>
      <w:r w:rsidR="0002438E" w:rsidRPr="00CA196C">
        <w:rPr>
          <w:rFonts w:ascii="Bookman Old Style" w:hAnsi="Bookman Old Style" w:cs="Times New Roman"/>
          <w:sz w:val="24"/>
          <w:szCs w:val="24"/>
        </w:rPr>
        <w:t>A</w:t>
      </w:r>
      <w:r w:rsidR="00C03579" w:rsidRPr="00CA196C">
        <w:rPr>
          <w:rFonts w:ascii="Bookman Old Style" w:hAnsi="Bookman Old Style" w:cs="Times New Roman"/>
          <w:sz w:val="24"/>
          <w:szCs w:val="24"/>
        </w:rPr>
        <w:t>fricaine</w:t>
      </w:r>
      <w:r w:rsidRPr="00CA196C">
        <w:rPr>
          <w:rFonts w:ascii="Bookman Old Style" w:hAnsi="Bookman Old Style" w:cs="Times New Roman"/>
          <w:sz w:val="24"/>
          <w:szCs w:val="24"/>
        </w:rPr>
        <w:t>. Les résultats enregistrés dans ce domaine ont porté sur l’allégement des procédures administratives à travers la création de trois guichets uniques (le Transfert et l’enregistrement des Propriétés, la Création d’Entreprise et l’octroi du permis de construire)</w:t>
      </w:r>
      <w:r w:rsidR="0002438E" w:rsidRPr="00CA196C">
        <w:rPr>
          <w:rFonts w:ascii="Bookman Old Style" w:hAnsi="Bookman Old Style" w:cs="Times New Roman"/>
          <w:sz w:val="24"/>
          <w:szCs w:val="24"/>
        </w:rPr>
        <w:t>.</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131DFF">
        <w:rPr>
          <w:rFonts w:ascii="Bookman Old Style" w:hAnsi="Bookman Old Style" w:cs="Times New Roman"/>
          <w:sz w:val="24"/>
          <w:szCs w:val="24"/>
        </w:rPr>
        <w:t>Malgré les performances enregistrées dans l’amélioration du climat des affaires, il reste encore des défis à relever : (i) la facilitation des échanges</w:t>
      </w:r>
      <w:r w:rsidR="0002438E" w:rsidRPr="00131DFF">
        <w:rPr>
          <w:rFonts w:ascii="Bookman Old Style" w:hAnsi="Bookman Old Style" w:cs="Times New Roman"/>
          <w:sz w:val="24"/>
          <w:szCs w:val="24"/>
        </w:rPr>
        <w:t> ;</w:t>
      </w:r>
      <w:r w:rsidRPr="00131DFF">
        <w:rPr>
          <w:rFonts w:ascii="Bookman Old Style" w:hAnsi="Bookman Old Style" w:cs="Times New Roman"/>
          <w:sz w:val="24"/>
          <w:szCs w:val="24"/>
        </w:rPr>
        <w:t xml:space="preserve"> (ii) le règlement des différends commerciaux</w:t>
      </w:r>
      <w:r w:rsidR="005542D0" w:rsidRPr="00131DFF">
        <w:rPr>
          <w:rFonts w:ascii="Bookman Old Style" w:hAnsi="Bookman Old Style" w:cs="Times New Roman"/>
          <w:sz w:val="24"/>
          <w:szCs w:val="24"/>
        </w:rPr>
        <w:t> ;</w:t>
      </w:r>
      <w:r w:rsidRPr="00131DFF">
        <w:rPr>
          <w:rFonts w:ascii="Bookman Old Style" w:hAnsi="Bookman Old Style" w:cs="Times New Roman"/>
          <w:sz w:val="24"/>
          <w:szCs w:val="24"/>
        </w:rPr>
        <w:t xml:space="preserve"> (iii) la gestion des contrats</w:t>
      </w:r>
      <w:r w:rsidR="0002438E" w:rsidRPr="00131DFF">
        <w:rPr>
          <w:rFonts w:ascii="Bookman Old Style" w:hAnsi="Bookman Old Style" w:cs="Times New Roman"/>
          <w:sz w:val="24"/>
          <w:szCs w:val="24"/>
        </w:rPr>
        <w:t> ;</w:t>
      </w:r>
      <w:r w:rsidRPr="00131DFF">
        <w:rPr>
          <w:rFonts w:ascii="Bookman Old Style" w:hAnsi="Bookman Old Style" w:cs="Times New Roman"/>
          <w:sz w:val="24"/>
          <w:szCs w:val="24"/>
        </w:rPr>
        <w:t xml:space="preserve"> (iv) la réduction de la durée et des coûts des procédures</w:t>
      </w:r>
      <w:r w:rsidR="0002438E"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(v) l’accès à l’électricité</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l’accès au crédit</w:t>
      </w:r>
      <w:r w:rsidR="00353E7F"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(vii) l’attractivité des investissements étrangers</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le développement du</w:t>
      </w:r>
      <w:r w:rsidR="0002438E" w:rsidRPr="00CA196C">
        <w:rPr>
          <w:rFonts w:ascii="Bookman Old Style" w:hAnsi="Bookman Old Style" w:cs="Times New Roman"/>
          <w:sz w:val="24"/>
          <w:szCs w:val="24"/>
        </w:rPr>
        <w:t xml:space="preserve"> partenariat Public-Privé (PPP) ;</w:t>
      </w:r>
      <w:r w:rsidRPr="00CA196C">
        <w:rPr>
          <w:rFonts w:ascii="Bookman Old Style" w:hAnsi="Bookman Old Style" w:cs="Times New Roman"/>
          <w:sz w:val="24"/>
          <w:szCs w:val="24"/>
        </w:rPr>
        <w:t xml:space="preserve"> (ix) l’informatisation et la modernisation du Guichet Unique de Création de Sociétés</w:t>
      </w:r>
      <w:r w:rsidR="0002438E"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 la base de données sur les entreprises et (xi) la diversification des exportations.</w:t>
      </w:r>
      <w:bookmarkStart w:id="83" w:name="_Toc499201607"/>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 xml:space="preserve"> En ce qui concerne la promotion du commerce et de la qualité des produits</w:t>
      </w:r>
      <w:bookmarkEnd w:id="83"/>
      <w:r w:rsidRPr="00CA196C">
        <w:rPr>
          <w:rFonts w:ascii="Bookman Old Style" w:eastAsiaTheme="majorEastAsia" w:hAnsi="Bookman Old Style" w:cs="Times New Roman"/>
          <w:b/>
          <w:bCs/>
          <w:i/>
          <w:iCs/>
          <w:sz w:val="24"/>
          <w:szCs w:val="24"/>
        </w:rPr>
        <w:t>, l</w:t>
      </w:r>
      <w:r w:rsidRPr="00CA196C">
        <w:rPr>
          <w:rFonts w:ascii="Bookman Old Style" w:hAnsi="Bookman Old Style" w:cs="Times New Roman"/>
          <w:sz w:val="24"/>
          <w:szCs w:val="24"/>
        </w:rPr>
        <w:t>es réalisations enregistrées au cours de</w:t>
      </w:r>
      <w:r w:rsidR="002D05F7" w:rsidRPr="00CA196C">
        <w:rPr>
          <w:rFonts w:ascii="Bookman Old Style" w:hAnsi="Bookman Old Style" w:cs="Times New Roman"/>
          <w:sz w:val="24"/>
          <w:szCs w:val="24"/>
        </w:rPr>
        <w:t>s dernières années</w:t>
      </w:r>
      <w:r w:rsidRPr="00CA196C">
        <w:rPr>
          <w:rFonts w:ascii="Bookman Old Style" w:hAnsi="Bookman Old Style" w:cs="Times New Roman"/>
          <w:sz w:val="24"/>
          <w:szCs w:val="24"/>
        </w:rPr>
        <w:t xml:space="preserve"> s’articulent autour du suivi régulier des stocks de produits de première nécessité, la révision du code des sociétés privées et à participation publique et l’initiation et la mise en œuvre des réformes aux niveaux de la normalisation et de l’assurance qualité des produits. Les défis observés dans ce secteur sont : (i) la liberté d’échanges commerciaux inter-provinces</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diversification des exportations</w:t>
      </w:r>
      <w:r w:rsidR="00353E7F"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(iii) l’augmentation de la production à forte valeur ajoutée</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stabilité des capitaux</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la valorisation des opportunités commerciales</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la coordination des négociations commerciales régionales (COMESA, CEA, SADC-COME</w:t>
      </w:r>
      <w:r w:rsidR="005542D0" w:rsidRPr="00CA196C">
        <w:rPr>
          <w:rFonts w:ascii="Bookman Old Style" w:hAnsi="Bookman Old Style" w:cs="Times New Roman"/>
          <w:sz w:val="24"/>
          <w:szCs w:val="24"/>
        </w:rPr>
        <w:t>SA-CEA) et multilatérales (OMC) ;</w:t>
      </w:r>
      <w:r w:rsidRPr="00CA196C">
        <w:rPr>
          <w:rFonts w:ascii="Bookman Old Style" w:hAnsi="Bookman Old Style" w:cs="Times New Roman"/>
          <w:sz w:val="24"/>
          <w:szCs w:val="24"/>
        </w:rPr>
        <w:t xml:space="preserve"> (vii)</w:t>
      </w:r>
      <w:r w:rsidR="005542D0" w:rsidRPr="00CA196C">
        <w:rPr>
          <w:rFonts w:ascii="Bookman Old Style" w:hAnsi="Bookman Old Style" w:cs="Times New Roman"/>
          <w:sz w:val="24"/>
          <w:szCs w:val="24"/>
        </w:rPr>
        <w:t xml:space="preserve"> la stabilité du taux de change ;</w:t>
      </w:r>
      <w:r w:rsidRPr="00CA196C">
        <w:rPr>
          <w:rFonts w:ascii="Bookman Old Style" w:hAnsi="Bookman Old Style" w:cs="Times New Roman"/>
          <w:sz w:val="24"/>
          <w:szCs w:val="24"/>
        </w:rPr>
        <w:t xml:space="preserve"> (viii) le transport des produits périssables</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la normalisation et le contrôle de la qualité des produits</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 la lutte contre la fraude commerciale et fiscale et de la concurrence déloyale</w:t>
      </w:r>
      <w:r w:rsidR="005542D0"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(xi) le coût raisonnable de l’assurance pour le commerce et (xii) la connaissance des lois régissant le commerce.</w:t>
      </w:r>
      <w:bookmarkStart w:id="84" w:name="_Toc499201608"/>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Au niveau du développement du tourisme et promotion de la culture</w:t>
      </w:r>
      <w:bookmarkEnd w:id="84"/>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 xml:space="preserve">les résultats enregistrés ces 5 dernières années sont mitigés: l’offre n’est pas développée et la demande intérieure des produits touristiques est quasi-inexistante. Certains résultats peuvent être signalés à savoir: la constitution d’une base de données statistiques, la recherche de nouveaux produits touristiques, la réhabilitation des sites de Ruvubu et Kiganda, la route d’accès au site touristique de Kagera et des eaux thermales de Mugara, la délimitation et la protection de quelques sites, l’identification de nouveaux sites touristiques, les formations sur les techniques d’accueil et de guidance à l’intention des tours opérateurs et des hôteliers ainsi que l’accroissement des capacités d’accueil des hôtels observé ces dernières années grâce au dynamisme de l’entreprenariat privé. </w:t>
      </w:r>
      <w:r w:rsidRPr="00CA196C">
        <w:rPr>
          <w:rFonts w:ascii="Bookman Old Style" w:hAnsi="Bookman Old Style" w:cs="Times New Roman"/>
          <w:bCs/>
          <w:sz w:val="24"/>
          <w:szCs w:val="24"/>
        </w:rPr>
        <w:t>Ce secteur du tourisme connaît beaucoup de défis: (i) le cadre d’orientation de développement du secteur du tourisme</w:t>
      </w:r>
      <w:r w:rsidR="005542D0" w:rsidRPr="00CA196C">
        <w:rPr>
          <w:rFonts w:ascii="Bookman Old Style" w:hAnsi="Bookman Old Style" w:cs="Times New Roman"/>
          <w:bCs/>
          <w:sz w:val="24"/>
          <w:szCs w:val="24"/>
        </w:rPr>
        <w:t> ;</w:t>
      </w:r>
      <w:r w:rsidR="00353E7F" w:rsidRPr="00CA196C">
        <w:rPr>
          <w:rFonts w:ascii="Bookman Old Style" w:hAnsi="Bookman Old Style" w:cs="Times New Roman"/>
          <w:bCs/>
          <w:sz w:val="24"/>
          <w:szCs w:val="24"/>
        </w:rPr>
        <w:t xml:space="preserve"> </w:t>
      </w:r>
      <w:r w:rsidRPr="00CA196C">
        <w:rPr>
          <w:rFonts w:ascii="Bookman Old Style" w:hAnsi="Bookman Old Style" w:cs="Times New Roman"/>
          <w:bCs/>
          <w:sz w:val="24"/>
          <w:szCs w:val="24"/>
        </w:rPr>
        <w:t>(ii) le classemen</w:t>
      </w:r>
      <w:r w:rsidR="005542D0" w:rsidRPr="00CA196C">
        <w:rPr>
          <w:rFonts w:ascii="Bookman Old Style" w:hAnsi="Bookman Old Style" w:cs="Times New Roman"/>
          <w:bCs/>
          <w:sz w:val="24"/>
          <w:szCs w:val="24"/>
        </w:rPr>
        <w:t>t des hôtels et des restaurants ;</w:t>
      </w:r>
      <w:r w:rsidR="00A830B5">
        <w:rPr>
          <w:rFonts w:ascii="Bookman Old Style" w:hAnsi="Bookman Old Style" w:cs="Times New Roman"/>
          <w:bCs/>
          <w:sz w:val="24"/>
          <w:szCs w:val="24"/>
        </w:rPr>
        <w:t xml:space="preserve"> (</w:t>
      </w:r>
      <w:r w:rsidRPr="00CA196C">
        <w:rPr>
          <w:rFonts w:ascii="Bookman Old Style" w:hAnsi="Bookman Old Style" w:cs="Times New Roman"/>
          <w:bCs/>
          <w:sz w:val="24"/>
          <w:szCs w:val="24"/>
        </w:rPr>
        <w:t>iii) le développement des infrastructures adaptées aux conférences internationales et autres grands événements</w:t>
      </w:r>
      <w:r w:rsidR="005542D0" w:rsidRPr="00CA196C">
        <w:rPr>
          <w:rFonts w:ascii="Bookman Old Style" w:hAnsi="Bookman Old Style" w:cs="Times New Roman"/>
          <w:bCs/>
          <w:sz w:val="24"/>
          <w:szCs w:val="24"/>
        </w:rPr>
        <w:t> ;</w:t>
      </w:r>
      <w:r w:rsidRPr="00CA196C">
        <w:rPr>
          <w:rFonts w:ascii="Bookman Old Style" w:hAnsi="Bookman Old Style" w:cs="Times New Roman"/>
          <w:bCs/>
          <w:sz w:val="24"/>
          <w:szCs w:val="24"/>
        </w:rPr>
        <w:t xml:space="preserve"> (iv) les capacités en ressources humaines adaptées</w:t>
      </w:r>
      <w:r w:rsidR="005542D0" w:rsidRPr="00CA196C">
        <w:rPr>
          <w:rFonts w:ascii="Bookman Old Style" w:hAnsi="Bookman Old Style" w:cs="Times New Roman"/>
          <w:bCs/>
          <w:sz w:val="24"/>
          <w:szCs w:val="24"/>
        </w:rPr>
        <w:t> ;</w:t>
      </w:r>
      <w:r w:rsidR="00353E7F" w:rsidRPr="00CA196C">
        <w:rPr>
          <w:rFonts w:ascii="Bookman Old Style" w:hAnsi="Bookman Old Style" w:cs="Times New Roman"/>
          <w:bCs/>
          <w:sz w:val="24"/>
          <w:szCs w:val="24"/>
        </w:rPr>
        <w:t xml:space="preserve"> </w:t>
      </w:r>
      <w:r w:rsidR="00910355" w:rsidRPr="00CA196C">
        <w:rPr>
          <w:rFonts w:ascii="Bookman Old Style" w:hAnsi="Bookman Old Style" w:cs="Times New Roman"/>
          <w:bCs/>
          <w:sz w:val="24"/>
          <w:szCs w:val="24"/>
        </w:rPr>
        <w:t>(v) la mobilité des personnes ;</w:t>
      </w:r>
      <w:r w:rsidRPr="00CA196C">
        <w:rPr>
          <w:rFonts w:ascii="Bookman Old Style" w:hAnsi="Bookman Old Style" w:cs="Times New Roman"/>
          <w:bCs/>
          <w:sz w:val="24"/>
          <w:szCs w:val="24"/>
        </w:rPr>
        <w:t xml:space="preserve"> (vi) les infrastructures d’accueil des zones touristiques adaptées</w:t>
      </w:r>
      <w:r w:rsidR="00353E7F" w:rsidRPr="00CA196C">
        <w:rPr>
          <w:rFonts w:ascii="Bookman Old Style" w:hAnsi="Bookman Old Style" w:cs="Times New Roman"/>
          <w:bCs/>
          <w:sz w:val="24"/>
          <w:szCs w:val="24"/>
        </w:rPr>
        <w:t xml:space="preserve"> et</w:t>
      </w:r>
      <w:r w:rsidRPr="00CA196C">
        <w:rPr>
          <w:rFonts w:ascii="Bookman Old Style" w:hAnsi="Bookman Old Style" w:cs="Times New Roman"/>
          <w:bCs/>
          <w:sz w:val="24"/>
          <w:szCs w:val="24"/>
        </w:rPr>
        <w:t xml:space="preserve"> (vii) le respect du cadre légal pour la sauvegarde des aires protégées.</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Cs/>
          <w:sz w:val="24"/>
          <w:szCs w:val="24"/>
        </w:rPr>
        <w:t>Dans le domaine de la culture</w:t>
      </w:r>
      <w:r w:rsidRPr="00CA196C">
        <w:rPr>
          <w:rFonts w:ascii="Bookman Old Style" w:hAnsi="Bookman Old Style" w:cs="Times New Roman"/>
          <w:sz w:val="24"/>
          <w:szCs w:val="24"/>
        </w:rPr>
        <w:t xml:space="preserve">, les performances réalisées </w:t>
      </w:r>
      <w:r w:rsidR="00353E7F" w:rsidRPr="00CA196C">
        <w:rPr>
          <w:rFonts w:ascii="Bookman Old Style" w:hAnsi="Bookman Old Style" w:cs="Times New Roman"/>
          <w:sz w:val="24"/>
          <w:szCs w:val="24"/>
        </w:rPr>
        <w:t>c</w:t>
      </w:r>
      <w:r w:rsidR="00ED1681" w:rsidRPr="00CA196C">
        <w:rPr>
          <w:rFonts w:ascii="Bookman Old Style" w:hAnsi="Bookman Old Style" w:cs="Times New Roman"/>
          <w:sz w:val="24"/>
          <w:szCs w:val="24"/>
        </w:rPr>
        <w:t>o</w:t>
      </w:r>
      <w:r w:rsidR="00353E7F" w:rsidRPr="00CA196C">
        <w:rPr>
          <w:rFonts w:ascii="Bookman Old Style" w:hAnsi="Bookman Old Style" w:cs="Times New Roman"/>
          <w:sz w:val="24"/>
          <w:szCs w:val="24"/>
        </w:rPr>
        <w:t>ncernent</w:t>
      </w:r>
      <w:r w:rsidR="00ED1681"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la mise en place du Bureau du Droit des Auteurs, l’inscription du Tambour sur la liste du patrimoine mondial,  la préparation des textes d’adhésion aux Conventions de Berne et de Rome sur la protection des œuvres littéraires et artistiques et d’autres traités internationaux, la réhabilitation de 8 centres de lecture et d’animation culturelle (CLAC), la construction de 40 CLAC, l’équipement de 6 CLAC et la formation de 22 animateurs, la validation de la Politique Nationale de la Propriété Intellectuelle ainsi que la mise à jour de l’inventaire du patrimoine culturel immatériel burundais. Malgré les performances enregistrées dans le domaine de la culture, de</w:t>
      </w:r>
      <w:r w:rsidR="00353E7F" w:rsidRPr="00CA196C">
        <w:rPr>
          <w:rFonts w:ascii="Bookman Old Style" w:hAnsi="Bookman Old Style" w:cs="Times New Roman"/>
          <w:sz w:val="24"/>
          <w:szCs w:val="24"/>
        </w:rPr>
        <w:t>s</w:t>
      </w:r>
      <w:r w:rsidRPr="00CA196C">
        <w:rPr>
          <w:rFonts w:ascii="Bookman Old Style" w:hAnsi="Bookman Old Style" w:cs="Times New Roman"/>
          <w:sz w:val="24"/>
          <w:szCs w:val="24"/>
        </w:rPr>
        <w:t xml:space="preserve"> défis</w:t>
      </w:r>
      <w:r w:rsidR="00353E7F" w:rsidRPr="00CA196C">
        <w:rPr>
          <w:rFonts w:ascii="Bookman Old Style" w:hAnsi="Bookman Old Style" w:cs="Times New Roman"/>
          <w:sz w:val="24"/>
          <w:szCs w:val="24"/>
        </w:rPr>
        <w:t xml:space="preserve"> restent</w:t>
      </w:r>
      <w:r w:rsidRPr="00CA196C">
        <w:rPr>
          <w:rFonts w:ascii="Bookman Old Style" w:hAnsi="Bookman Old Style" w:cs="Times New Roman"/>
          <w:sz w:val="24"/>
          <w:szCs w:val="24"/>
        </w:rPr>
        <w:t>: (i) la visibilité des activités culturell</w:t>
      </w:r>
      <w:r w:rsidR="00910355" w:rsidRPr="00CA196C">
        <w:rPr>
          <w:rFonts w:ascii="Bookman Old Style" w:hAnsi="Bookman Old Style" w:cs="Times New Roman"/>
          <w:sz w:val="24"/>
          <w:szCs w:val="24"/>
        </w:rPr>
        <w:t>es et des beaux-arts du Burundi ;</w:t>
      </w:r>
      <w:r w:rsidRPr="00CA196C">
        <w:rPr>
          <w:rFonts w:ascii="Bookman Old Style" w:hAnsi="Bookman Old Style" w:cs="Times New Roman"/>
          <w:sz w:val="24"/>
          <w:szCs w:val="24"/>
        </w:rPr>
        <w:t xml:space="preserve"> (ii) l’augmentation des centre</w:t>
      </w:r>
      <w:r w:rsidR="00910355" w:rsidRPr="00CA196C">
        <w:rPr>
          <w:rFonts w:ascii="Bookman Old Style" w:hAnsi="Bookman Old Style" w:cs="Times New Roman"/>
          <w:sz w:val="24"/>
          <w:szCs w:val="24"/>
        </w:rPr>
        <w:t>s d’exposition des objets d’art ;</w:t>
      </w:r>
      <w:r w:rsidRPr="00CA196C">
        <w:rPr>
          <w:rFonts w:ascii="Bookman Old Style" w:hAnsi="Bookman Old Style" w:cs="Times New Roman"/>
          <w:sz w:val="24"/>
          <w:szCs w:val="24"/>
        </w:rPr>
        <w:t xml:space="preserve"> (iii) le soutien aux orchestres traditionnels (inanga, ikembe, etc)</w:t>
      </w:r>
      <w:r w:rsidR="00910355" w:rsidRPr="00CA196C">
        <w:rPr>
          <w:rFonts w:ascii="Bookman Old Style" w:hAnsi="Bookman Old Style" w:cs="Times New Roman"/>
          <w:sz w:val="24"/>
          <w:szCs w:val="24"/>
        </w:rPr>
        <w:t xml:space="preserve"> et</w:t>
      </w:r>
      <w:r w:rsidRPr="00CA196C">
        <w:rPr>
          <w:rFonts w:ascii="Bookman Old Style" w:hAnsi="Bookman Old Style" w:cs="Times New Roman"/>
          <w:sz w:val="24"/>
          <w:szCs w:val="24"/>
        </w:rPr>
        <w:t xml:space="preserve"> (</w:t>
      </w:r>
      <w:r w:rsidRPr="00CA196C">
        <w:rPr>
          <w:rFonts w:ascii="Bookman Old Style" w:hAnsi="Bookman Old Style" w:cs="Times New Roman"/>
          <w:bCs/>
          <w:sz w:val="24"/>
          <w:szCs w:val="24"/>
        </w:rPr>
        <w:t>iv) le rétablissement, la revalorisation et la sauvegarde du patrimoine et de l’industrie culturels.</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A830B5">
      <w:pPr>
        <w:numPr>
          <w:ilvl w:val="0"/>
          <w:numId w:val="5"/>
        </w:numPr>
        <w:tabs>
          <w:tab w:val="left" w:pos="567"/>
          <w:tab w:val="left" w:pos="709"/>
        </w:tabs>
        <w:autoSpaceDE w:val="0"/>
        <w:autoSpaceDN w:val="0"/>
        <w:adjustRightInd w:val="0"/>
        <w:spacing w:before="160" w:after="120" w:line="240" w:lineRule="auto"/>
        <w:contextualSpacing/>
        <w:jc w:val="both"/>
        <w:rPr>
          <w:rFonts w:ascii="Bookman Old Style" w:eastAsia="Times New Roman" w:hAnsi="Bookman Old Style" w:cs="Times New Roman"/>
          <w:b/>
          <w:bCs/>
          <w:i/>
          <w:sz w:val="24"/>
          <w:szCs w:val="24"/>
          <w:u w:color="000000"/>
          <w:bdr w:val="nil"/>
        </w:rPr>
      </w:pPr>
      <w:r w:rsidRPr="00CA196C">
        <w:rPr>
          <w:rFonts w:ascii="Bookman Old Style" w:hAnsi="Bookman Old Style" w:cs="Times New Roman"/>
          <w:sz w:val="24"/>
          <w:szCs w:val="24"/>
        </w:rPr>
        <w:t>Dans le domaine de l’emploi, la Politique Nationale de l’Emploi  a été mise en place par le biais de l’Office Burundais de l’Emploi et de la Main d’œuvre et la création des observatoires locaux de l’emploi. Des jeunes lauréats des humanités techniques et des universités ont bénéficié d’une formation en entreprenariat et un stage de 1</w:t>
      </w:r>
      <w:r w:rsidRPr="00A830B5">
        <w:rPr>
          <w:rFonts w:ascii="Bookman Old Style" w:hAnsi="Bookman Old Style" w:cs="Times New Roman"/>
          <w:sz w:val="24"/>
          <w:szCs w:val="24"/>
          <w:vertAlign w:val="superscript"/>
        </w:rPr>
        <w:t>er</w:t>
      </w:r>
      <w:r w:rsidRPr="00CA196C">
        <w:rPr>
          <w:rFonts w:ascii="Bookman Old Style" w:hAnsi="Bookman Old Style" w:cs="Times New Roman"/>
          <w:sz w:val="24"/>
          <w:szCs w:val="24"/>
        </w:rPr>
        <w:t xml:space="preserve"> emploi a été octroyé à 250 jeunes chaque année. </w:t>
      </w:r>
    </w:p>
    <w:p w:rsidR="00DE3A23" w:rsidRDefault="00DE3A23" w:rsidP="00E92676">
      <w:pPr>
        <w:spacing w:line="240" w:lineRule="auto"/>
        <w:ind w:left="720"/>
        <w:contextualSpacing/>
        <w:rPr>
          <w:rFonts w:ascii="Bookman Old Style" w:eastAsia="Times New Roman" w:hAnsi="Bookman Old Style" w:cs="Times New Roman"/>
          <w:b/>
          <w:bCs/>
          <w:i/>
          <w:sz w:val="24"/>
          <w:szCs w:val="24"/>
          <w:u w:color="000000"/>
          <w:bdr w:val="nil"/>
        </w:rPr>
      </w:pPr>
    </w:p>
    <w:p w:rsidR="00996E02" w:rsidRDefault="00996E02" w:rsidP="00E92676">
      <w:pPr>
        <w:spacing w:line="240" w:lineRule="auto"/>
        <w:ind w:left="720"/>
        <w:contextualSpacing/>
        <w:rPr>
          <w:rFonts w:ascii="Bookman Old Style" w:eastAsia="Times New Roman" w:hAnsi="Bookman Old Style" w:cs="Times New Roman"/>
          <w:b/>
          <w:bCs/>
          <w:i/>
          <w:sz w:val="24"/>
          <w:szCs w:val="24"/>
          <w:u w:color="000000"/>
          <w:bdr w:val="nil"/>
        </w:rPr>
      </w:pPr>
    </w:p>
    <w:p w:rsidR="00996E02" w:rsidRPr="00CA196C" w:rsidRDefault="00996E02" w:rsidP="00E92676">
      <w:pPr>
        <w:spacing w:line="240" w:lineRule="auto"/>
        <w:ind w:left="720"/>
        <w:contextualSpacing/>
        <w:rPr>
          <w:rFonts w:ascii="Bookman Old Style" w:eastAsia="Times New Roman" w:hAnsi="Bookman Old Style" w:cs="Times New Roman"/>
          <w:b/>
          <w:bCs/>
          <w:i/>
          <w:sz w:val="24"/>
          <w:szCs w:val="24"/>
          <w:u w:color="000000"/>
          <w:bdr w:val="nil"/>
        </w:rPr>
      </w:pPr>
    </w:p>
    <w:p w:rsidR="00DE3A23" w:rsidRPr="00CA196C" w:rsidRDefault="00DE3A23" w:rsidP="00BD2775">
      <w:pPr>
        <w:pStyle w:val="Titre3"/>
        <w:rPr>
          <w:rFonts w:ascii="Bookman Old Style" w:hAnsi="Bookman Old Style"/>
        </w:rPr>
      </w:pPr>
      <w:bookmarkStart w:id="85" w:name="_Toc511076178"/>
      <w:bookmarkStart w:id="86" w:name="_Toc511080867"/>
      <w:bookmarkStart w:id="87" w:name="_Toc511081380"/>
      <w:bookmarkStart w:id="88" w:name="_Toc511081543"/>
      <w:r w:rsidRPr="00CA196C">
        <w:rPr>
          <w:rFonts w:ascii="Bookman Old Style" w:hAnsi="Bookman Old Style"/>
        </w:rPr>
        <w:lastRenderedPageBreak/>
        <w:t>3.</w:t>
      </w:r>
      <w:r w:rsidR="007D3AFD" w:rsidRPr="00CA196C">
        <w:rPr>
          <w:rFonts w:ascii="Bookman Old Style" w:hAnsi="Bookman Old Style"/>
        </w:rPr>
        <w:t>1.</w:t>
      </w:r>
      <w:r w:rsidR="009B6CBD">
        <w:rPr>
          <w:rFonts w:ascii="Bookman Old Style" w:hAnsi="Bookman Old Style"/>
        </w:rPr>
        <w:t>6</w:t>
      </w:r>
      <w:r w:rsidRPr="00CA196C">
        <w:rPr>
          <w:rFonts w:ascii="Bookman Old Style" w:hAnsi="Bookman Old Style"/>
        </w:rPr>
        <w:t>. Accès aux services de base et de la protection sociale</w:t>
      </w:r>
      <w:bookmarkEnd w:id="85"/>
      <w:bookmarkEnd w:id="86"/>
      <w:bookmarkEnd w:id="87"/>
      <w:bookmarkEnd w:id="88"/>
    </w:p>
    <w:p w:rsidR="00DE3A23" w:rsidRPr="00CA196C" w:rsidRDefault="00DE3A23" w:rsidP="00E92676">
      <w:pPr>
        <w:spacing w:line="240" w:lineRule="auto"/>
        <w:ind w:left="720"/>
        <w:contextualSpacing/>
        <w:rPr>
          <w:rFonts w:ascii="Bookman Old Style" w:eastAsia="Times New Roman" w:hAnsi="Bookman Old Style" w:cs="Times New Roman"/>
          <w:b/>
          <w:bCs/>
          <w:i/>
          <w:sz w:val="24"/>
          <w:szCs w:val="24"/>
          <w:u w:color="000000"/>
          <w:bdr w:val="nil"/>
        </w:rPr>
      </w:pPr>
    </w:p>
    <w:p w:rsidR="00DE3A23"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bookmarkStart w:id="89" w:name="_Toc499201612"/>
      <w:r w:rsidRPr="00CA196C">
        <w:rPr>
          <w:rFonts w:ascii="Bookman Old Style" w:hAnsi="Bookman Old Style" w:cs="Times New Roman"/>
          <w:sz w:val="24"/>
          <w:szCs w:val="24"/>
        </w:rPr>
        <w:t xml:space="preserve">Le système éducatif burundais a un caractère généraliste, peu professionnalisant et ne répond pas aux besoins du marché de l'emploi. Les ordres d'enseignement fondamental, post-fondamental et supérieur sont principalement basés sur un système généraliste peu tourné vers l'apprentissage d'un métier, avec 7% des effectifs scolarisés dans l'EFTP sur les effectifs totaux en 2016. Pour résoudre ce problème,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a adopté une politique de créer quatre instituts supérieurs professionnels régionaux pour favoriser l’employabilité de la jeunesse et la promotion de l’auto emploi. Les défis du système éducatif sont les suivants : (i) l'amélioration de l’accès et de la</w:t>
      </w:r>
      <w:r w:rsidR="00910355" w:rsidRPr="00CA196C">
        <w:rPr>
          <w:rFonts w:ascii="Bookman Old Style" w:hAnsi="Bookman Old Style" w:cs="Times New Roman"/>
          <w:sz w:val="24"/>
          <w:szCs w:val="24"/>
        </w:rPr>
        <w:t xml:space="preserve"> qualité de l'éducation de base ;</w:t>
      </w:r>
      <w:r w:rsidRPr="00CA196C">
        <w:rPr>
          <w:rFonts w:ascii="Bookman Old Style" w:hAnsi="Bookman Old Style" w:cs="Times New Roman"/>
          <w:sz w:val="24"/>
          <w:szCs w:val="24"/>
        </w:rPr>
        <w:t xml:space="preserve"> (ii) l'accroissement et l'amélioration de la qualité et de l'offre d'EFTP,</w:t>
      </w:r>
      <w:r w:rsidR="00910355" w:rsidRPr="00CA196C">
        <w:rPr>
          <w:rFonts w:ascii="Bookman Old Style" w:hAnsi="Bookman Old Style" w:cs="Times New Roman"/>
          <w:sz w:val="24"/>
          <w:szCs w:val="24"/>
        </w:rPr>
        <w:t xml:space="preserve"> et la réduction des disparités ;</w:t>
      </w:r>
      <w:r w:rsidRPr="00CA196C">
        <w:rPr>
          <w:rFonts w:ascii="Bookman Old Style" w:hAnsi="Bookman Old Style" w:cs="Times New Roman"/>
          <w:sz w:val="24"/>
          <w:szCs w:val="24"/>
        </w:rPr>
        <w:t xml:space="preserve"> (iii) la régulation de la gestion des flux; (iv) la réduction </w:t>
      </w:r>
      <w:r w:rsidR="00910355" w:rsidRPr="00CA196C">
        <w:rPr>
          <w:rFonts w:ascii="Bookman Old Style" w:hAnsi="Bookman Old Style" w:cs="Times New Roman"/>
          <w:sz w:val="24"/>
          <w:szCs w:val="24"/>
        </w:rPr>
        <w:t>du niveau élevé de redoublement ;</w:t>
      </w:r>
      <w:r w:rsidRPr="00CA196C">
        <w:rPr>
          <w:rFonts w:ascii="Bookman Old Style" w:hAnsi="Bookman Old Style" w:cs="Times New Roman"/>
          <w:sz w:val="24"/>
          <w:szCs w:val="24"/>
        </w:rPr>
        <w:t xml:space="preserve"> (v) la res</w:t>
      </w:r>
      <w:r w:rsidR="00910355" w:rsidRPr="00CA196C">
        <w:rPr>
          <w:rFonts w:ascii="Bookman Old Style" w:hAnsi="Bookman Old Style" w:cs="Times New Roman"/>
          <w:sz w:val="24"/>
          <w:szCs w:val="24"/>
        </w:rPr>
        <w:t>tauration de la simple vacation ;</w:t>
      </w:r>
      <w:r w:rsidRPr="00CA196C">
        <w:rPr>
          <w:rFonts w:ascii="Bookman Old Style" w:hAnsi="Bookman Old Style" w:cs="Times New Roman"/>
          <w:sz w:val="24"/>
          <w:szCs w:val="24"/>
        </w:rPr>
        <w:t xml:space="preserve"> (vi) l’adéquation formation-emploi</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l’amélioration de l’apprentissage des langues d’enseignement</w:t>
      </w:r>
      <w:r w:rsidR="00910355" w:rsidRPr="00CA196C">
        <w:rPr>
          <w:rFonts w:ascii="Bookman Old Style" w:hAnsi="Bookman Old Style" w:cs="Times New Roman"/>
          <w:sz w:val="24"/>
          <w:szCs w:val="24"/>
        </w:rPr>
        <w:t> ;</w:t>
      </w:r>
      <w:r w:rsidR="002639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(viii) la supervision pédagogique</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(ix) la disponibilité des supports et matériels didactiques et (x) la formation initiale et continue des enseignants. </w:t>
      </w:r>
    </w:p>
    <w:p w:rsidR="00CA0341" w:rsidRPr="00144FF1" w:rsidRDefault="00CA0341" w:rsidP="00CA0341">
      <w:pPr>
        <w:pStyle w:val="Paragraphedeliste"/>
        <w:numPr>
          <w:ilvl w:val="0"/>
          <w:numId w:val="5"/>
        </w:numPr>
        <w:jc w:val="both"/>
        <w:rPr>
          <w:rFonts w:ascii="Bookman Old Style" w:hAnsi="Bookman Old Style" w:cs="Times New Roman"/>
          <w:sz w:val="24"/>
        </w:rPr>
      </w:pPr>
      <w:r w:rsidRPr="00144FF1">
        <w:rPr>
          <w:rFonts w:ascii="Bookman Old Style" w:hAnsi="Bookman Old Style" w:cs="Times New Roman"/>
          <w:sz w:val="24"/>
        </w:rPr>
        <w:t>Des progrès importants ont été enregistrés en matière d’accès équitable à l’enseignement primaire, grâce à plusieurs décisions ambitieuses prises par le Gouvernement : (i) suppression en 2005, des frais de scolarité dans le primaire; (ii) mise en place, à partir de 2013-14, de la réforme du cycle fondamental, obligatoire dès l’âge de 6 ans et réunissant les 6 années du primaire et les 3 premières années du secondaire inférieur; (iii) suppression de l’examen de passage entre la 6</w:t>
      </w:r>
      <w:r w:rsidRPr="00144FF1">
        <w:rPr>
          <w:rFonts w:ascii="Bookman Old Style" w:hAnsi="Bookman Old Style" w:cs="Times New Roman"/>
          <w:sz w:val="24"/>
          <w:vertAlign w:val="superscript"/>
        </w:rPr>
        <w:t>ème</w:t>
      </w:r>
      <w:r w:rsidRPr="00144FF1">
        <w:rPr>
          <w:rFonts w:ascii="Bookman Old Style" w:hAnsi="Bookman Old Style" w:cs="Times New Roman"/>
          <w:sz w:val="24"/>
        </w:rPr>
        <w:t xml:space="preserve"> et la 7</w:t>
      </w:r>
      <w:r w:rsidRPr="00144FF1">
        <w:rPr>
          <w:rFonts w:ascii="Bookman Old Style" w:hAnsi="Bookman Old Style" w:cs="Times New Roman"/>
          <w:sz w:val="24"/>
          <w:vertAlign w:val="superscript"/>
        </w:rPr>
        <w:t>ème</w:t>
      </w:r>
      <w:r w:rsidRPr="00144FF1">
        <w:rPr>
          <w:rFonts w:ascii="Bookman Old Style" w:hAnsi="Bookman Old Style" w:cs="Times New Roman"/>
          <w:sz w:val="24"/>
        </w:rPr>
        <w:t xml:space="preserve"> année qui constituait un goulot d’étranglement majeur pour le passage du primaire au secondaire inférieur; (iv) construction de salles de classe, le recrutement et la formation d’enseignants; (v) création de cantines scolaires; (vii) actualisation des programmes scolaires et conduite de plusieurs campagnes de sensibilisation pour l’inscription des enfants à l’école.</w:t>
      </w:r>
    </w:p>
    <w:p w:rsidR="00CA0341" w:rsidRPr="00144FF1" w:rsidRDefault="00CA0341" w:rsidP="00CA0341">
      <w:pPr>
        <w:pStyle w:val="Paragraphedeliste"/>
        <w:spacing w:after="0" w:line="240" w:lineRule="auto"/>
        <w:ind w:left="360"/>
        <w:jc w:val="both"/>
        <w:rPr>
          <w:rFonts w:ascii="Bookman Old Style" w:hAnsi="Bookman Old Style" w:cs="Times New Roman"/>
          <w:sz w:val="24"/>
        </w:rPr>
      </w:pPr>
    </w:p>
    <w:p w:rsidR="00CA0341" w:rsidRDefault="00CA0341" w:rsidP="00CA0341">
      <w:pPr>
        <w:pStyle w:val="Paragraphedeliste"/>
        <w:numPr>
          <w:ilvl w:val="0"/>
          <w:numId w:val="5"/>
        </w:numPr>
        <w:spacing w:after="0" w:line="240" w:lineRule="auto"/>
        <w:jc w:val="both"/>
        <w:rPr>
          <w:rFonts w:ascii="Bookman Old Style" w:hAnsi="Bookman Old Style" w:cs="Times New Roman"/>
          <w:sz w:val="24"/>
        </w:rPr>
      </w:pPr>
      <w:r w:rsidRPr="00144FF1">
        <w:rPr>
          <w:rFonts w:ascii="Bookman Old Style" w:hAnsi="Bookman Old Style" w:cs="Times New Roman"/>
          <w:sz w:val="24"/>
        </w:rPr>
        <w:t>En dépit d’une forte augmentation du nombre d’enfants en âge d’être scolarisés,  les réformes entreprises ont permis d’atteindre un taux brut de scolarisation élevé pour les 6 premières années de l’enseignement fondamental (cycles 1-3) et de quadrupler celui des 3 dernières années (Cycle 4)</w:t>
      </w:r>
      <w:r w:rsidRPr="00144FF1">
        <w:rPr>
          <w:rStyle w:val="Appelnotedebasdep"/>
          <w:rFonts w:ascii="Bookman Old Style" w:hAnsi="Bookman Old Style" w:cs="Times New Roman"/>
          <w:sz w:val="24"/>
        </w:rPr>
        <w:t>.</w:t>
      </w:r>
      <w:r w:rsidRPr="00144FF1">
        <w:rPr>
          <w:rFonts w:ascii="Bookman Old Style" w:hAnsi="Bookman Old Style" w:cs="Times New Roman"/>
          <w:sz w:val="24"/>
        </w:rPr>
        <w:t xml:space="preserve">La probabilité d’accès à la première année de l’enseignement fondamental est désormais pratiquement la même pour chaque enfant, quelque soit la province d’origine. </w:t>
      </w:r>
    </w:p>
    <w:p w:rsidR="00144FF1" w:rsidRPr="00144FF1" w:rsidRDefault="00144FF1" w:rsidP="00144FF1">
      <w:pPr>
        <w:pStyle w:val="Paragraphedeliste"/>
        <w:rPr>
          <w:rFonts w:ascii="Bookman Old Style" w:hAnsi="Bookman Old Style" w:cs="Times New Roman"/>
          <w:sz w:val="24"/>
        </w:rPr>
      </w:pPr>
    </w:p>
    <w:p w:rsidR="00144FF1" w:rsidRPr="00144FF1" w:rsidRDefault="00144FF1" w:rsidP="00144FF1">
      <w:pPr>
        <w:pStyle w:val="Paragraphedeliste"/>
        <w:spacing w:after="0" w:line="240" w:lineRule="auto"/>
        <w:ind w:left="360"/>
        <w:jc w:val="both"/>
        <w:rPr>
          <w:rFonts w:ascii="Bookman Old Style" w:hAnsi="Bookman Old Style" w:cs="Times New Roman"/>
          <w:sz w:val="24"/>
        </w:rPr>
      </w:pPr>
    </w:p>
    <w:p w:rsidR="00CA0341" w:rsidRPr="00144FF1" w:rsidRDefault="00CA0341" w:rsidP="00CA0341">
      <w:pPr>
        <w:pStyle w:val="Paragraphedeliste"/>
        <w:numPr>
          <w:ilvl w:val="0"/>
          <w:numId w:val="5"/>
        </w:numPr>
        <w:spacing w:after="0" w:line="240" w:lineRule="auto"/>
        <w:jc w:val="both"/>
        <w:rPr>
          <w:rFonts w:ascii="Bookman Old Style" w:hAnsi="Bookman Old Style" w:cs="Times New Roman"/>
          <w:sz w:val="24"/>
        </w:rPr>
      </w:pPr>
      <w:r w:rsidRPr="00144FF1">
        <w:rPr>
          <w:rFonts w:ascii="Bookman Old Style" w:hAnsi="Bookman Old Style" w:cs="Times New Roman"/>
          <w:sz w:val="24"/>
        </w:rPr>
        <w:t xml:space="preserve">Les inégalités de genre dans l’accès à l’éducation ont été fortement réduites : filles et garçons ont pratiquement le même taux d’enrôlement dans les 3 premiers cycles, le taux d’enrôlement des filles étant même légèrement supérieur à celui des garçons dans 13 provinces. Au niveau </w:t>
      </w:r>
      <w:r w:rsidRPr="00144FF1">
        <w:rPr>
          <w:rFonts w:ascii="Bookman Old Style" w:hAnsi="Bookman Old Style" w:cs="Times New Roman"/>
          <w:sz w:val="24"/>
        </w:rPr>
        <w:lastRenderedPageBreak/>
        <w:t>de 4</w:t>
      </w:r>
      <w:r w:rsidRPr="00144FF1">
        <w:rPr>
          <w:rFonts w:ascii="Bookman Old Style" w:hAnsi="Bookman Old Style" w:cs="Times New Roman"/>
          <w:sz w:val="24"/>
          <w:vertAlign w:val="superscript"/>
        </w:rPr>
        <w:t>ème</w:t>
      </w:r>
      <w:r w:rsidRPr="00144FF1">
        <w:rPr>
          <w:rFonts w:ascii="Bookman Old Style" w:hAnsi="Bookman Old Style" w:cs="Times New Roman"/>
          <w:sz w:val="24"/>
        </w:rPr>
        <w:t xml:space="preserve"> cycle (7</w:t>
      </w:r>
      <w:r w:rsidRPr="00144FF1">
        <w:rPr>
          <w:rFonts w:ascii="Bookman Old Style" w:hAnsi="Bookman Old Style" w:cs="Times New Roman"/>
          <w:sz w:val="24"/>
          <w:vertAlign w:val="superscript"/>
        </w:rPr>
        <w:t xml:space="preserve">ème </w:t>
      </w:r>
      <w:r w:rsidRPr="00144FF1">
        <w:rPr>
          <w:rFonts w:ascii="Bookman Old Style" w:hAnsi="Bookman Old Style" w:cs="Times New Roman"/>
          <w:sz w:val="24"/>
        </w:rPr>
        <w:t>- 9</w:t>
      </w:r>
      <w:r w:rsidRPr="00144FF1">
        <w:rPr>
          <w:rFonts w:ascii="Bookman Old Style" w:hAnsi="Bookman Old Style" w:cs="Times New Roman"/>
          <w:sz w:val="24"/>
          <w:vertAlign w:val="superscript"/>
        </w:rPr>
        <w:t>ème</w:t>
      </w:r>
      <w:r w:rsidRPr="00144FF1">
        <w:rPr>
          <w:rFonts w:ascii="Bookman Old Style" w:hAnsi="Bookman Old Style" w:cs="Times New Roman"/>
          <w:sz w:val="24"/>
        </w:rPr>
        <w:t xml:space="preserve"> années), le taux d’admission des garçons reste supérieur à celui des filles mais l’écart a été sensiblement réduit et les filles représentent 52,6% des effectifs à ce niveau.</w:t>
      </w:r>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t xml:space="preserve">La recherche scientifique est faiblement développée et contribue peu au bien-être des burundais. </w:t>
      </w:r>
      <w:r w:rsidRPr="00CA196C">
        <w:rPr>
          <w:rFonts w:ascii="Bookman Old Style" w:hAnsi="Bookman Old Style" w:cs="Times New Roman"/>
          <w:sz w:val="24"/>
          <w:szCs w:val="24"/>
        </w:rPr>
        <w:t>Elle est marquée par des contraintes institutionnelles et organisationnelles qui se traduisent par la faible coordination des activités de recherche menées dans plusieurs ministères. Le secteur de la recherche est confronté aux défis suivants: (i) la valorisatio</w:t>
      </w:r>
      <w:r w:rsidR="00910355" w:rsidRPr="00CA196C">
        <w:rPr>
          <w:rFonts w:ascii="Bookman Old Style" w:hAnsi="Bookman Old Style" w:cs="Times New Roman"/>
          <w:sz w:val="24"/>
          <w:szCs w:val="24"/>
        </w:rPr>
        <w:t>n des résultats de la recherche ;</w:t>
      </w:r>
      <w:r w:rsidRPr="00CA196C">
        <w:rPr>
          <w:rFonts w:ascii="Bookman Old Style" w:hAnsi="Bookman Old Style" w:cs="Times New Roman"/>
          <w:sz w:val="24"/>
          <w:szCs w:val="24"/>
        </w:rPr>
        <w:t xml:space="preserve"> (ii) les infrastructures et équipements adaptés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le renforcement des capacités en ressources humai</w:t>
      </w:r>
      <w:r w:rsidR="00910355" w:rsidRPr="00CA196C">
        <w:rPr>
          <w:rFonts w:ascii="Bookman Old Style" w:hAnsi="Bookman Old Style" w:cs="Times New Roman"/>
          <w:sz w:val="24"/>
          <w:szCs w:val="24"/>
        </w:rPr>
        <w:t>nes, matérielles et financières ;</w:t>
      </w:r>
      <w:r w:rsidRPr="00CA196C">
        <w:rPr>
          <w:rFonts w:ascii="Bookman Old Style" w:hAnsi="Bookman Old Style" w:cs="Times New Roman"/>
          <w:sz w:val="24"/>
          <w:szCs w:val="24"/>
        </w:rPr>
        <w:t xml:space="preserve"> (iv) l'orientation de la recherche vers</w:t>
      </w:r>
      <w:r w:rsidR="00910355" w:rsidRPr="00CA196C">
        <w:rPr>
          <w:rFonts w:ascii="Bookman Old Style" w:hAnsi="Bookman Old Style" w:cs="Times New Roman"/>
          <w:sz w:val="24"/>
          <w:szCs w:val="24"/>
        </w:rPr>
        <w:t xml:space="preserve"> les objectifs du développement ;</w:t>
      </w:r>
      <w:r w:rsidRPr="00CA196C">
        <w:rPr>
          <w:rFonts w:ascii="Bookman Old Style" w:hAnsi="Bookman Old Style" w:cs="Times New Roman"/>
          <w:sz w:val="24"/>
          <w:szCs w:val="24"/>
        </w:rPr>
        <w:t xml:space="preserve"> (v) le renforcem</w:t>
      </w:r>
      <w:r w:rsidR="00910355" w:rsidRPr="00CA196C">
        <w:rPr>
          <w:rFonts w:ascii="Bookman Old Style" w:hAnsi="Bookman Old Style" w:cs="Times New Roman"/>
          <w:sz w:val="24"/>
          <w:szCs w:val="24"/>
        </w:rPr>
        <w:t>ent du partenariat public-privé ;</w:t>
      </w:r>
      <w:r w:rsidRPr="00CA196C">
        <w:rPr>
          <w:rFonts w:ascii="Bookman Old Style" w:hAnsi="Bookman Old Style" w:cs="Times New Roman"/>
          <w:sz w:val="24"/>
          <w:szCs w:val="24"/>
        </w:rPr>
        <w:t xml:space="preserve"> (vi) la promotion de la coopération sous régionale, régionale et internationale et (vii) l'amélioration de la gouvernance.</w:t>
      </w:r>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 xml:space="preserve"> Au niveau du secteur de la san</w:t>
      </w:r>
      <w:bookmarkEnd w:id="89"/>
      <w:r w:rsidRPr="00CA196C">
        <w:rPr>
          <w:rFonts w:ascii="Bookman Old Style" w:eastAsiaTheme="majorEastAsia" w:hAnsi="Bookman Old Style" w:cs="Times New Roman"/>
          <w:b/>
          <w:bCs/>
          <w:i/>
          <w:iCs/>
          <w:sz w:val="24"/>
          <w:szCs w:val="24"/>
        </w:rPr>
        <w:t xml:space="preserve">té, </w:t>
      </w:r>
      <w:r w:rsidRPr="00CA196C">
        <w:rPr>
          <w:rFonts w:ascii="Bookman Old Style" w:hAnsi="Bookman Old Style" w:cs="Times New Roman"/>
          <w:sz w:val="24"/>
          <w:szCs w:val="24"/>
        </w:rPr>
        <w:t>les ressources humaines, les infrastructures et les indicateurs de couverture connaissent une tendance vers les normes de l’OMS, soit 1,02 centres de santé pour 10 000 hab</w:t>
      </w:r>
      <w:r w:rsidR="0026391D" w:rsidRPr="00CA196C">
        <w:rPr>
          <w:rFonts w:ascii="Bookman Old Style" w:hAnsi="Bookman Old Style" w:cs="Times New Roman"/>
          <w:sz w:val="24"/>
          <w:szCs w:val="24"/>
        </w:rPr>
        <w:t>itants</w:t>
      </w:r>
      <w:r w:rsidRPr="00CA196C">
        <w:rPr>
          <w:rFonts w:ascii="Bookman Old Style" w:hAnsi="Bookman Old Style" w:cs="Times New Roman"/>
          <w:sz w:val="24"/>
          <w:szCs w:val="24"/>
        </w:rPr>
        <w:t xml:space="preserve"> (la norme de l’OMS étant de 1 pour 10 000)</w:t>
      </w:r>
      <w:r w:rsidR="0026391D" w:rsidRPr="00CA196C">
        <w:rPr>
          <w:rFonts w:ascii="Bookman Old Style" w:hAnsi="Bookman Old Style" w:cs="Times New Roman"/>
          <w:sz w:val="24"/>
          <w:szCs w:val="24"/>
        </w:rPr>
        <w:t>,</w:t>
      </w:r>
      <w:r w:rsidRPr="00CA196C">
        <w:rPr>
          <w:rFonts w:ascii="Bookman Old Style" w:hAnsi="Bookman Old Style" w:cs="Times New Roman"/>
          <w:sz w:val="24"/>
          <w:szCs w:val="24"/>
        </w:rPr>
        <w:t>  0,79 hôpital pour 100 000 hab</w:t>
      </w:r>
      <w:r w:rsidR="0026391D" w:rsidRPr="00CA196C">
        <w:rPr>
          <w:rFonts w:ascii="Bookman Old Style" w:hAnsi="Bookman Old Style" w:cs="Times New Roman"/>
          <w:sz w:val="24"/>
          <w:szCs w:val="24"/>
        </w:rPr>
        <w:t xml:space="preserve">itants </w:t>
      </w:r>
      <w:r w:rsidRPr="00CA196C">
        <w:rPr>
          <w:rFonts w:ascii="Bookman Old Style" w:hAnsi="Bookman Old Style" w:cs="Times New Roman"/>
          <w:sz w:val="24"/>
          <w:szCs w:val="24"/>
        </w:rPr>
        <w:t>(la norme étant 1 pour 100 000). Le Burundi est à 2 infirmiers pour 3000 habitants (la norme étant de 1 infirmier pour 1000 hab.)</w:t>
      </w:r>
      <w:r w:rsidR="0026391D"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0,6 médecins pour 10 000 habitants (la norme étant de 1 médecin pour 10 000). Au niveau de la nutrition, un décès d'un enfant sur deux est lié à la malnutrition chronique (56% en 2015), malnutrition aiguë (10% en 2017) pour les enfants de 9 à 11 mois et de carences en micronutriments (vitamine A, iode, fer). Dans l’ensemble, 29 % des enfants au Burundi présentent une insuffisance pondérale dont 21% sous forme modérée et 8 % sous forme sévère</w:t>
      </w:r>
      <w:r w:rsidRPr="00CA196C">
        <w:rPr>
          <w:rFonts w:ascii="Bookman Old Style" w:hAnsi="Bookman Old Style" w:cs="Times New Roman"/>
          <w:vertAlign w:val="superscript"/>
        </w:rPr>
        <w:footnoteReference w:id="9"/>
      </w:r>
      <w:r w:rsidRPr="00CA196C">
        <w:rPr>
          <w:rFonts w:ascii="Bookman Old Style" w:hAnsi="Bookman Old Style" w:cs="Times New Roman"/>
          <w:sz w:val="24"/>
          <w:szCs w:val="24"/>
        </w:rPr>
        <w:t xml:space="preserve">. </w:t>
      </w:r>
    </w:p>
    <w:p w:rsidR="002C5647" w:rsidRDefault="002C5647" w:rsidP="002C5647">
      <w:pPr>
        <w:pStyle w:val="Paragraphedeliste"/>
        <w:rPr>
          <w:rFonts w:ascii="Bookman Old Style" w:hAnsi="Bookman Old Style" w:cs="Times New Roman"/>
          <w:sz w:val="24"/>
          <w:szCs w:val="24"/>
        </w:rPr>
      </w:pPr>
    </w:p>
    <w:p w:rsidR="002C5647" w:rsidRPr="00144FF1" w:rsidRDefault="002C5647" w:rsidP="002C5647">
      <w:pPr>
        <w:pStyle w:val="Paragraphedeliste"/>
        <w:numPr>
          <w:ilvl w:val="0"/>
          <w:numId w:val="5"/>
        </w:numPr>
        <w:spacing w:after="0" w:line="240" w:lineRule="auto"/>
        <w:jc w:val="both"/>
        <w:rPr>
          <w:rFonts w:ascii="Bookman Old Style" w:hAnsi="Bookman Old Style" w:cs="Times New Roman"/>
          <w:sz w:val="24"/>
          <w:szCs w:val="24"/>
        </w:rPr>
      </w:pPr>
      <w:r w:rsidRPr="00144FF1">
        <w:rPr>
          <w:rFonts w:ascii="Bookman Old Style" w:hAnsi="Bookman Old Style" w:cs="Times New Roman"/>
          <w:sz w:val="24"/>
          <w:szCs w:val="24"/>
        </w:rPr>
        <w:t xml:space="preserve">Les progrès enregistrés au cours de la dernière décennie portent sur la mortalité néonatale et de mortalité infantile des enfants de moins d’un an (TMM1), qui ont vu une diminution toutes deux, de 40% et se situent désormais à un niveau inférieur à la moyenne observée dans la région Afrique de l’Est - Afrique australe. S’agissant de la mortalité infantile des moins de 5 ans (TMM5), elle s’élève à 78 pour mille naissances vivantes (contre 96 en 2010) et reste parmi les 25 les plus élevée au monde, mais la cible visée à l’horizon 2030 est de 25 pour mille selon l’ODD 3.2.  Les décès néonatals représentent, à eux-seuls, plus d’un tiers des décès des enfants de moins de 5 ans et sont dus principalement à des complications liées aux naissances prématurées, à des asphyxies et à des septicémies. Les autres causes principales de décès des Burundais âgés de moins de 5 ans sont les infections respiratoires aiguës (14%), la diarrhée (11%), les blessures (7%) et le paludisme (6%). 1% des décès est imputable au VIH-SIDA. </w:t>
      </w:r>
    </w:p>
    <w:p w:rsidR="00CE3AE8" w:rsidRPr="00CE3AE8" w:rsidRDefault="00CE3AE8" w:rsidP="00CE3AE8">
      <w:pPr>
        <w:pStyle w:val="Paragraphedeliste"/>
        <w:rPr>
          <w:rFonts w:ascii="Bookman Old Style" w:hAnsi="Bookman Old Style" w:cs="Times New Roman"/>
          <w:sz w:val="24"/>
          <w:szCs w:val="24"/>
          <w:highlight w:val="yellow"/>
        </w:rPr>
      </w:pPr>
    </w:p>
    <w:p w:rsidR="00CE3AE8" w:rsidRPr="002C5647" w:rsidRDefault="00CE3AE8" w:rsidP="00CE3AE8">
      <w:pPr>
        <w:pStyle w:val="Paragraphedeliste"/>
        <w:spacing w:after="0" w:line="240" w:lineRule="auto"/>
        <w:ind w:left="360"/>
        <w:jc w:val="both"/>
        <w:rPr>
          <w:rFonts w:ascii="Bookman Old Style" w:hAnsi="Bookman Old Style" w:cs="Times New Roman"/>
          <w:sz w:val="24"/>
          <w:szCs w:val="24"/>
          <w:highlight w:val="yellow"/>
        </w:rPr>
      </w:pPr>
    </w:p>
    <w:p w:rsidR="002C5647" w:rsidRPr="00144FF1" w:rsidRDefault="002C5647" w:rsidP="00CE3AE8">
      <w:pPr>
        <w:pStyle w:val="Paragraphedeliste"/>
        <w:numPr>
          <w:ilvl w:val="0"/>
          <w:numId w:val="5"/>
        </w:numPr>
        <w:spacing w:after="120" w:line="240" w:lineRule="auto"/>
        <w:jc w:val="both"/>
        <w:rPr>
          <w:rFonts w:ascii="Bookman Old Style" w:hAnsi="Bookman Old Style" w:cs="Arial"/>
          <w:sz w:val="24"/>
          <w:szCs w:val="24"/>
        </w:rPr>
      </w:pPr>
      <w:r w:rsidRPr="00144FF1">
        <w:rPr>
          <w:rFonts w:ascii="Bookman Old Style" w:hAnsi="Bookman Old Style" w:cs="Times New Roman"/>
          <w:sz w:val="24"/>
          <w:szCs w:val="24"/>
        </w:rPr>
        <w:t>La réduction de la mortalité néonatale et infantile s’explique par la décision prise par le gouvernement, en 2006 d’offrir gratuitement les soins de santé aux mères et aux enfants âgés de moins de 5 ans et par l’augmentation de l’offre de services, avec l’extension de la couverture des centres de santé. La formation de nombreux agents de santé à la gestion des naissances a également eu un rôle positif : Selon l’EDS-III (2016-2017), la proportion des enfants nés dans une structure de santé est passée de 60 à 85% et la proportion des nouveaux nés ayant reçu des soins dans les deux jours suivant leur naissance a été multipliée par 6,5 (7,5% en 2010, 49,4% en 2016-17). De même, l’appui à la détection et au soin des maladies infantiles, notamment au niveau communautaire et l’augmentation de la couverture vaccinale ont permis de sauver la vie de nombreux enfants. Grâce aux progrès réalisés pour limiter la transmission du VIH Sida de la mère à l’enfant, le taux de prévalence du VIH-Sida chez les enfants de 24 à 59 mois a été ramené à 0,1%. La réduction plus lente de la mortalité infantile chez les enfants âgés de 1 à 5 ans s’explique, en partie, par les taux toujours élevés de prévalence des infections respiratoires aigües (IRA) de la diarrhée et du paludisme</w:t>
      </w:r>
      <w:r w:rsidRPr="00144FF1">
        <w:rPr>
          <w:rFonts w:ascii="Bookman Old Style" w:hAnsi="Bookman Old Style" w:cs="Arial"/>
          <w:sz w:val="24"/>
          <w:szCs w:val="24"/>
        </w:rPr>
        <w:t xml:space="preserve">. </w:t>
      </w:r>
    </w:p>
    <w:p w:rsidR="00CE3AE8" w:rsidRPr="00144FF1" w:rsidRDefault="00CE3AE8" w:rsidP="00CE3AE8">
      <w:pPr>
        <w:pStyle w:val="Paragraphedeliste"/>
        <w:spacing w:after="120" w:line="240" w:lineRule="auto"/>
        <w:ind w:left="360"/>
        <w:jc w:val="both"/>
        <w:rPr>
          <w:rFonts w:ascii="Bookman Old Style" w:hAnsi="Bookman Old Style" w:cs="Arial"/>
          <w:sz w:val="24"/>
          <w:szCs w:val="24"/>
        </w:rPr>
      </w:pPr>
    </w:p>
    <w:p w:rsidR="002C5647" w:rsidRDefault="002C5647" w:rsidP="002C5647">
      <w:pPr>
        <w:pStyle w:val="Paragraphedeliste"/>
        <w:numPr>
          <w:ilvl w:val="0"/>
          <w:numId w:val="5"/>
        </w:numPr>
        <w:spacing w:after="0" w:line="240" w:lineRule="auto"/>
        <w:jc w:val="both"/>
        <w:rPr>
          <w:rFonts w:ascii="Bookman Old Style" w:hAnsi="Bookman Old Style" w:cs="Arial"/>
          <w:sz w:val="24"/>
          <w:szCs w:val="24"/>
        </w:rPr>
      </w:pPr>
      <w:r w:rsidRPr="00144FF1">
        <w:rPr>
          <w:rFonts w:ascii="Bookman Old Style" w:hAnsi="Bookman Old Style" w:cs="Arial"/>
          <w:sz w:val="24"/>
          <w:szCs w:val="24"/>
        </w:rPr>
        <w:t>S’agissant de la mortalité maternelle, les progrès sont encore lents. Avec un taux de mortalité maternelle de 712 décès pour 100.000 naissances vivantes, le Burundi se situe en-dessous de la moyenne des pays de la région Afrique sub-saharienne. Les causes directes majeures de la mortalité maternelle sont les hémorragies (26%), les troubles hypertensifs (16%) et les infections (10%). Le paludisme (19%) et l’anémie sévère (4%) constituent les principales causes indirectes de mortalité maternelle. Pourtant, des efforts importants ont été déployés par le gouvernement, avec l’appui des partenaires, pour améliorer l’accès et la qualité des soins prénatals : ces services sont désormais disponibles gratuitement dans la quasi totalité des centres de santé financés par l’Etat. La proportion des agents de santé formés aux soins prénatals, le niveau de couverture du vaccin antitétanique, la disponibilité du matériel nécessaire pour la consultation et la proportion des femmes ayant bénéficié du déparasitage (à l’albendazole) lors de leurs consultations ont sensiblement progressé. Des sages-femmes ont été recrutées et formées aux standards de la Confédération Internationale des Sages Femmes (ICM) et OMS et 84% des naissances ont désormais lieu dans des structures sanitaires qui disposent, dans 78% des cas, de soins obstétricaux de base. Les Soins Obstétricaux d’Urgence complets sont disponibles dans 89% des hôpitaux tandis que 45% des cliniques pratiquent des césariennes. Enfin, près de la moitié des mères ont bénéficié d’un examen post-partum en 2016 (EDS-III).</w:t>
      </w:r>
    </w:p>
    <w:p w:rsidR="00DB39DF" w:rsidRDefault="00DB39DF" w:rsidP="00DB39DF">
      <w:pPr>
        <w:numPr>
          <w:ilvl w:val="0"/>
          <w:numId w:val="5"/>
        </w:numPr>
        <w:spacing w:before="160" w:after="120" w:line="240" w:lineRule="auto"/>
        <w:contextualSpacing/>
        <w:jc w:val="both"/>
        <w:rPr>
          <w:rFonts w:ascii="Bookman Old Style" w:hAnsi="Bookman Old Style" w:cs="Times New Roman"/>
          <w:sz w:val="24"/>
          <w:szCs w:val="24"/>
        </w:rPr>
      </w:pPr>
      <w:r w:rsidRPr="009632D5">
        <w:rPr>
          <w:rFonts w:ascii="Bookman Old Style" w:eastAsiaTheme="majorEastAsia" w:hAnsi="Bookman Old Style" w:cs="Times New Roman"/>
          <w:b/>
          <w:bCs/>
          <w:i/>
          <w:iCs/>
          <w:sz w:val="24"/>
          <w:szCs w:val="24"/>
        </w:rPr>
        <w:t xml:space="preserve">Au niveau de la Nutrition, </w:t>
      </w:r>
      <w:r w:rsidRPr="009632D5">
        <w:rPr>
          <w:rFonts w:ascii="Bookman Old Style" w:hAnsi="Bookman Old Style" w:cs="Times New Roman"/>
          <w:sz w:val="24"/>
          <w:szCs w:val="24"/>
        </w:rPr>
        <w:t xml:space="preserve">l’amélioration de l’état nutritionnel des enfants du Burundi constitue un défi important qui conditionne les progrès à atteindre dans plusieurs domaines, comme l’éducation et la santé. Selon les résultats de l’EDS-III, la prévalence de la malnutrition aigüe chez les enfants de moins de 5 ans, mesurée par le faible poids pour la taille ou émaciation est de 5,1%, dont 0,9% pour la forme sévère. </w:t>
      </w:r>
      <w:r w:rsidRPr="009632D5">
        <w:rPr>
          <w:rFonts w:ascii="Bookman Old Style" w:hAnsi="Bookman Old Style" w:cs="Times New Roman"/>
          <w:sz w:val="24"/>
          <w:szCs w:val="24"/>
        </w:rPr>
        <w:lastRenderedPageBreak/>
        <w:t xml:space="preserve">Les garçons (5,6%) sont plus affectés que les filles (4,6%), les ruraux (5,3%), plus que les urbains (3,1%) et les plus pauvres (7,4%) 2,5 fois de plus que les plus riches. Selon le niveau d’instruction, 5,3% des enfants nés de mères sans instruction souffrent de malnutrition aigüe, contre 2,1% lorsque la mère est allée au moins jusqu’à la fin des études secondaires. Cette situation s’explique, à la fois, par la prévalence de la malnutrition chronique, elle-même liée à un ensemble complexe de facteurs et à l’état de sécurité alimentaire du Burundi. </w:t>
      </w:r>
    </w:p>
    <w:p w:rsidR="00DB39DF" w:rsidRPr="009632D5" w:rsidRDefault="00DB39DF" w:rsidP="00DB39DF">
      <w:pPr>
        <w:spacing w:before="160" w:after="0" w:line="240" w:lineRule="auto"/>
        <w:ind w:left="360"/>
        <w:contextualSpacing/>
        <w:jc w:val="both"/>
        <w:rPr>
          <w:rFonts w:ascii="Bookman Old Style" w:hAnsi="Bookman Old Style" w:cs="Times New Roman"/>
          <w:sz w:val="24"/>
          <w:szCs w:val="24"/>
        </w:rPr>
      </w:pPr>
    </w:p>
    <w:p w:rsidR="00DB39DF" w:rsidRPr="00144FF1" w:rsidRDefault="00DB39DF" w:rsidP="00DB39DF">
      <w:pPr>
        <w:pStyle w:val="Paragraphedeliste"/>
        <w:numPr>
          <w:ilvl w:val="0"/>
          <w:numId w:val="5"/>
        </w:numPr>
        <w:spacing w:after="0" w:line="240" w:lineRule="auto"/>
        <w:jc w:val="both"/>
        <w:rPr>
          <w:rFonts w:ascii="Bookman Old Style" w:hAnsi="Bookman Old Style" w:cs="Arial"/>
          <w:sz w:val="24"/>
          <w:szCs w:val="24"/>
        </w:rPr>
      </w:pPr>
      <w:r w:rsidRPr="00C77E0A">
        <w:rPr>
          <w:rFonts w:ascii="Bookman Old Style" w:hAnsi="Bookman Old Style" w:cs="Times New Roman"/>
          <w:sz w:val="24"/>
          <w:szCs w:val="24"/>
        </w:rPr>
        <w:t>La prévalence de la malnutrition chronique chez les enfants burundais de moins de 5 ans, mesurée en termes de petite taille pour l’âge, se situe à un niveau alarmant (56%), sans véritable progrès depuis 2010 (58%). Elle affecte davantage les garçons (59%) que les filles (52%) pour des raisons qu’il reste difficile à déterminer. Si elle a beaucoup baissé dans les zones urbaines (28% contre 38% en 2010), elle reste stable (59%) dans les zones rurales. Les enfants ruraux sont 27% à souffrir de la forme la plus grave de retard de croissance contre 8% des enfants des villes. Il existe de grandes disparités entre les provinces et une forte corrélation entre le niveau d’instruction de la mère, le niveau de richesse du ménage et le retard de croissance.</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Les principaux défis </w:t>
      </w:r>
      <w:r w:rsidR="003B1548" w:rsidRPr="00CA196C">
        <w:rPr>
          <w:rFonts w:ascii="Bookman Old Style" w:hAnsi="Bookman Old Style" w:cs="Times New Roman"/>
          <w:sz w:val="24"/>
          <w:szCs w:val="24"/>
        </w:rPr>
        <w:t>du secteur de la santé sont</w:t>
      </w:r>
      <w:r w:rsidRPr="00CA196C">
        <w:rPr>
          <w:rFonts w:ascii="Bookman Old Style" w:hAnsi="Bookman Old Style" w:cs="Times New Roman"/>
          <w:sz w:val="24"/>
          <w:szCs w:val="24"/>
        </w:rPr>
        <w:t xml:space="preserve">: (i) </w:t>
      </w:r>
      <w:r w:rsidR="00A830B5">
        <w:rPr>
          <w:rFonts w:ascii="Bookman Old Style" w:hAnsi="Bookman Old Style" w:cs="Times New Roman"/>
          <w:sz w:val="24"/>
          <w:szCs w:val="24"/>
        </w:rPr>
        <w:t>l</w:t>
      </w:r>
      <w:r w:rsidRPr="00CA196C">
        <w:rPr>
          <w:rFonts w:ascii="Bookman Old Style" w:hAnsi="Bookman Old Style" w:cs="Times New Roman"/>
          <w:sz w:val="24"/>
          <w:szCs w:val="24"/>
        </w:rPr>
        <w:t xml:space="preserve">e contrôle du paludisme </w:t>
      </w:r>
      <w:r w:rsidR="003B1548" w:rsidRPr="00CA196C">
        <w:rPr>
          <w:rFonts w:ascii="Bookman Old Style" w:hAnsi="Bookman Old Style" w:cs="Times New Roman"/>
          <w:sz w:val="24"/>
          <w:szCs w:val="24"/>
        </w:rPr>
        <w:t xml:space="preserve"> en vue d’</w:t>
      </w:r>
      <w:r w:rsidRPr="00CA196C">
        <w:rPr>
          <w:rFonts w:ascii="Bookman Old Style" w:hAnsi="Bookman Old Style" w:cs="Times New Roman"/>
          <w:sz w:val="24"/>
          <w:szCs w:val="24"/>
        </w:rPr>
        <w:t>une réduction de la morbidité et de la mortalité palustre</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(ii) la fin de l’épidémie du sida avec « Zéro nouvelle infection à VIH, zéro discrimination, zéro décès lié au sida»</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l’élimination de la tuberculose </w:t>
      </w:r>
      <w:r w:rsidR="00DE5697" w:rsidRPr="00CA196C">
        <w:rPr>
          <w:rFonts w:ascii="Bookman Old Style" w:hAnsi="Bookman Old Style" w:cs="Times New Roman"/>
          <w:sz w:val="24"/>
          <w:szCs w:val="24"/>
        </w:rPr>
        <w:t>en vue d’</w:t>
      </w:r>
      <w:r w:rsidRPr="00CA196C">
        <w:rPr>
          <w:rFonts w:ascii="Bookman Old Style" w:hAnsi="Bookman Old Style" w:cs="Times New Roman"/>
          <w:sz w:val="24"/>
          <w:szCs w:val="24"/>
        </w:rPr>
        <w:t>une réduction de la morbidité et de la mortalité</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le contrôle de la mortalité maternelle, néonatale et infanto-juvénile</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le contrôle des maladies chroniques non transmissibles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 la réduction de la malnutrition jusqu’aux seuils de l’OMS</w:t>
      </w:r>
      <w:r w:rsidRPr="00CA196C">
        <w:rPr>
          <w:rFonts w:ascii="Bookman Old Style" w:hAnsi="Bookman Old Style" w:cs="Times New Roman"/>
          <w:sz w:val="24"/>
          <w:szCs w:val="24"/>
          <w:vertAlign w:val="superscript"/>
        </w:rPr>
        <w:footnoteReference w:id="10"/>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le renforcement et la consolidation d’un système d’alerte précoce et des mécanismes cohérents et suffisamment rodés de prévention, de préparation, de riposte et/ou de réponse aux urgences et catastrophes naturelles ou d’origine anthropique</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(viii) l’existence d’un système de santé national suffisamment renforcé, dynamique et résilient en cas de chocs extérieurs</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(ix) la collaboration intersectorielle</w:t>
      </w:r>
      <w:r w:rsidR="00DE5697" w:rsidRPr="00CA196C">
        <w:rPr>
          <w:rFonts w:ascii="Bookman Old Style" w:hAnsi="Bookman Old Style" w:cs="Times New Roman"/>
          <w:sz w:val="24"/>
          <w:szCs w:val="24"/>
        </w:rPr>
        <w:t xml:space="preserve"> effective</w:t>
      </w:r>
      <w:r w:rsidRPr="00CA196C">
        <w:rPr>
          <w:rFonts w:ascii="Bookman Old Style" w:hAnsi="Bookman Old Style" w:cs="Times New Roman"/>
          <w:sz w:val="24"/>
          <w:szCs w:val="24"/>
        </w:rPr>
        <w:t xml:space="preserve"> pour la complémentarité et les synergies stratégiques et opérationnelles en faveur de la santé de la population</w:t>
      </w:r>
      <w:r w:rsidR="00910355" w:rsidRPr="00CA196C">
        <w:rPr>
          <w:rFonts w:ascii="Bookman Old Style" w:hAnsi="Bookman Old Style" w:cs="Times New Roman"/>
          <w:sz w:val="24"/>
          <w:szCs w:val="24"/>
        </w:rPr>
        <w:t> ;</w:t>
      </w:r>
      <w:r w:rsidR="00DE5697"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(x) l’accès pour les jeunes de 20 à 24 ans à l’information et l’offre des services de santé sexuelle et reproductive et (xi) la protection des jeunes contre les violences sexuelles et autres formes de violences basées sur le genre.  </w:t>
      </w:r>
      <w:bookmarkStart w:id="90" w:name="_Toc499201613"/>
    </w:p>
    <w:p w:rsidR="00DE3A23" w:rsidRPr="00CA196C" w:rsidRDefault="00DE3A23" w:rsidP="00E92676">
      <w:pPr>
        <w:spacing w:before="160" w:after="120" w:line="240" w:lineRule="auto"/>
        <w:ind w:left="360"/>
        <w:contextualSpacing/>
        <w:jc w:val="both"/>
        <w:rPr>
          <w:rFonts w:ascii="Bookman Old Style" w:hAnsi="Bookman Old Style" w:cs="Times New Roman"/>
          <w:sz w:val="24"/>
          <w:szCs w:val="24"/>
        </w:rPr>
      </w:pPr>
    </w:p>
    <w:p w:rsidR="007010D2" w:rsidRPr="0074570A" w:rsidRDefault="00DE3A23" w:rsidP="00CD7862">
      <w:pPr>
        <w:numPr>
          <w:ilvl w:val="0"/>
          <w:numId w:val="5"/>
        </w:numPr>
        <w:spacing w:before="160" w:after="0" w:line="240" w:lineRule="auto"/>
        <w:contextualSpacing/>
        <w:jc w:val="both"/>
        <w:rPr>
          <w:rFonts w:ascii="Bookman Old Style" w:eastAsiaTheme="majorEastAsia" w:hAnsi="Bookman Old Style" w:cs="Times New Roman"/>
          <w:b/>
          <w:bCs/>
          <w:i/>
          <w:iCs/>
        </w:rPr>
      </w:pPr>
      <w:r w:rsidRPr="0074570A">
        <w:rPr>
          <w:rFonts w:ascii="Bookman Old Style" w:eastAsiaTheme="majorEastAsia" w:hAnsi="Bookman Old Style" w:cs="Times New Roman"/>
          <w:b/>
          <w:bCs/>
          <w:i/>
          <w:iCs/>
          <w:sz w:val="24"/>
          <w:szCs w:val="24"/>
        </w:rPr>
        <w:t>Au niveau de la protection social</w:t>
      </w:r>
      <w:bookmarkEnd w:id="90"/>
      <w:r w:rsidRPr="0074570A">
        <w:rPr>
          <w:rFonts w:ascii="Bookman Old Style" w:eastAsiaTheme="majorEastAsia" w:hAnsi="Bookman Old Style" w:cs="Times New Roman"/>
          <w:b/>
          <w:bCs/>
          <w:i/>
          <w:iCs/>
          <w:sz w:val="24"/>
          <w:szCs w:val="24"/>
        </w:rPr>
        <w:t>e,</w:t>
      </w:r>
      <w:r w:rsidRPr="0074570A">
        <w:rPr>
          <w:rFonts w:ascii="Bookman Old Style" w:hAnsi="Bookman Old Style" w:cs="Times New Roman"/>
          <w:sz w:val="24"/>
          <w:szCs w:val="24"/>
        </w:rPr>
        <w:t xml:space="preserve"> l’intégration de la culture de la prévention des risques sociaux a été marquée par le renforcement des structures existantes de sécurité sociale à travers leur mutualisation notamment l’INSS, la création de l’ONPR, le fonds d’appui à la protection sociale (FAPS), le Comité National de Protection Sociale (CNPS) et la création et l’opérationnalisation des agences de sécurité sociale privée (ex : SONAVI, SOLIS). Les défis importants dans ce secteur sont: </w:t>
      </w:r>
      <w:r w:rsidR="0074570A" w:rsidRPr="0074570A">
        <w:rPr>
          <w:rFonts w:ascii="Bookman Old Style" w:hAnsi="Bookman Old Style" w:cs="Times New Roman"/>
          <w:sz w:val="24"/>
          <w:szCs w:val="24"/>
        </w:rPr>
        <w:t xml:space="preserve">(i) le </w:t>
      </w:r>
      <w:r w:rsidR="0074570A" w:rsidRPr="0074570A">
        <w:rPr>
          <w:rFonts w:ascii="Bookman Old Style" w:hAnsi="Bookman Old Style" w:cs="Times New Roman"/>
          <w:sz w:val="24"/>
          <w:szCs w:val="24"/>
        </w:rPr>
        <w:lastRenderedPageBreak/>
        <w:t>cadre légal et réglementaire dans le domaine de la gouvernance, (ii) le financement innovant de l’assurance, (iii) la rationalisation de la mutualisation des sociétés de sécurité sociale, (iv) la rationalisation et l’harmonisation des pensions, des régimes d’ assurances maladie et des mutuelles de santé; (v) le financement public des programmes de protection sociale et le repositionnement du FAPS ; (vi) la rationalisation du cadre institutionnel du secteur ; (vii) le renforcement des mesures de gratuité (notamment des soins de santé pour les enfants de moins de 5 ans et les femmes enceintes et des frais scolaires) et; (viii) la mise en place et l’extension progressive des programmes de soutiens aux revenus des plus faibles et vulnérables (Transferts sociaux monétaires, Travaux à Haute Intensité de mains d’œuvre,…).</w:t>
      </w:r>
    </w:p>
    <w:p w:rsidR="0074570A" w:rsidRPr="0074570A" w:rsidRDefault="0074570A" w:rsidP="0074570A">
      <w:pPr>
        <w:spacing w:before="160" w:after="0" w:line="240" w:lineRule="auto"/>
        <w:ind w:left="360"/>
        <w:contextualSpacing/>
        <w:jc w:val="both"/>
        <w:rPr>
          <w:rFonts w:ascii="Bookman Old Style" w:eastAsiaTheme="majorEastAsia" w:hAnsi="Bookman Old Style" w:cs="Times New Roman"/>
          <w:b/>
          <w:bCs/>
          <w:i/>
          <w:iCs/>
        </w:rPr>
      </w:pPr>
    </w:p>
    <w:p w:rsidR="00DE3A23" w:rsidRPr="009D7C81" w:rsidRDefault="00DE3A23" w:rsidP="00CD26FF">
      <w:pPr>
        <w:numPr>
          <w:ilvl w:val="0"/>
          <w:numId w:val="5"/>
        </w:numPr>
        <w:spacing w:before="160" w:after="120" w:line="240" w:lineRule="auto"/>
        <w:contextualSpacing/>
        <w:jc w:val="both"/>
        <w:rPr>
          <w:rFonts w:ascii="Bookman Old Style" w:hAnsi="Bookman Old Style" w:cs="Times New Roman"/>
          <w:sz w:val="24"/>
          <w:szCs w:val="24"/>
        </w:rPr>
      </w:pPr>
      <w:r w:rsidRPr="009D7C81">
        <w:rPr>
          <w:rFonts w:ascii="Bookman Old Style" w:eastAsiaTheme="majorEastAsia" w:hAnsi="Bookman Old Style" w:cs="Times New Roman"/>
          <w:b/>
          <w:bCs/>
          <w:i/>
          <w:iCs/>
          <w:sz w:val="24"/>
          <w:szCs w:val="24"/>
        </w:rPr>
        <w:t xml:space="preserve">En termes de dividende démographique, </w:t>
      </w:r>
      <w:r w:rsidRPr="009D7C81">
        <w:rPr>
          <w:rFonts w:ascii="Bookman Old Style" w:hAnsi="Bookman Old Style" w:cs="Times New Roman"/>
          <w:sz w:val="24"/>
          <w:szCs w:val="24"/>
        </w:rPr>
        <w:t xml:space="preserve">la population du Burundi est estimée à 11 495 438 d’habitants en 2017 et pourrait atteindre 14,9 millions d'habitants en 2030. </w:t>
      </w:r>
      <w:r w:rsidR="00DE5697" w:rsidRPr="009D7C81">
        <w:rPr>
          <w:rFonts w:ascii="Bookman Old Style" w:hAnsi="Bookman Old Style" w:cs="Times New Roman"/>
          <w:sz w:val="24"/>
          <w:szCs w:val="24"/>
        </w:rPr>
        <w:t xml:space="preserve">La dynamique démographique actuelle du Burundi ne présente pas des opportunités à court et à moyen termes à l'économie pour tirer profit du dividende démographique. La </w:t>
      </w:r>
      <w:r w:rsidRPr="009D7C81">
        <w:rPr>
          <w:rFonts w:ascii="Bookman Old Style" w:hAnsi="Bookman Old Style" w:cs="Times New Roman"/>
          <w:sz w:val="24"/>
          <w:szCs w:val="24"/>
        </w:rPr>
        <w:t>population est caractérisée par son extrême jeunesse: 43% de la population est âgée de moins de 15 ans, 62% est âgée de moins de 25 ans et 35,0% des jeunes ont un âge compris entre 15 et 35 ans</w:t>
      </w:r>
      <w:r w:rsidRPr="009D7C81">
        <w:rPr>
          <w:rFonts w:ascii="Bookman Old Style" w:hAnsi="Bookman Old Style" w:cs="Times New Roman"/>
          <w:sz w:val="24"/>
          <w:szCs w:val="24"/>
          <w:vertAlign w:val="superscript"/>
        </w:rPr>
        <w:footnoteReference w:id="11"/>
      </w:r>
      <w:r w:rsidRPr="009D7C81">
        <w:rPr>
          <w:rFonts w:ascii="Bookman Old Style" w:hAnsi="Bookman Old Style" w:cs="Times New Roman"/>
          <w:sz w:val="24"/>
          <w:szCs w:val="24"/>
        </w:rPr>
        <w:t>.  Les principaux défis à relever sont:</w:t>
      </w:r>
      <w:r w:rsidRPr="009D7C81">
        <w:rPr>
          <w:rFonts w:ascii="Bookman Old Style" w:eastAsia="Calibri" w:hAnsi="Bookman Old Style" w:cs="Times New Roman"/>
          <w:b/>
          <w:sz w:val="24"/>
          <w:szCs w:val="24"/>
          <w:u w:color="000000"/>
          <w:bdr w:val="nil"/>
          <w:lang w:val="fr-BE"/>
        </w:rPr>
        <w:t xml:space="preserve"> </w:t>
      </w:r>
      <w:r w:rsidRPr="009D7C81">
        <w:rPr>
          <w:rFonts w:ascii="Bookman Old Style" w:hAnsi="Bookman Old Style" w:cs="Times New Roman"/>
          <w:sz w:val="24"/>
          <w:szCs w:val="24"/>
        </w:rPr>
        <w:t>(i) une politique nationale de la population</w:t>
      </w:r>
      <w:r w:rsidRPr="009D7C81">
        <w:rPr>
          <w:rFonts w:ascii="Bookman Old Style" w:hAnsi="Bookman Old Style" w:cs="Times New Roman"/>
          <w:sz w:val="24"/>
          <w:szCs w:val="24"/>
          <w:lang w:val="fr-BE"/>
        </w:rPr>
        <w:t xml:space="preserve"> (ii)</w:t>
      </w:r>
      <w:r w:rsidR="00910355" w:rsidRPr="009D7C81">
        <w:rPr>
          <w:rFonts w:ascii="Bookman Old Style" w:hAnsi="Bookman Old Style" w:cs="Times New Roman"/>
          <w:sz w:val="24"/>
          <w:szCs w:val="24"/>
          <w:lang w:val="fr-BE"/>
        </w:rPr>
        <w:t> ;</w:t>
      </w:r>
      <w:r w:rsidRPr="009D7C81">
        <w:rPr>
          <w:rFonts w:ascii="Bookman Old Style" w:hAnsi="Bookman Old Style" w:cs="Times New Roman"/>
          <w:sz w:val="24"/>
          <w:szCs w:val="24"/>
          <w:lang w:val="fr-BE"/>
        </w:rPr>
        <w:t xml:space="preserve"> une</w:t>
      </w:r>
      <w:r w:rsidR="00DE5697" w:rsidRPr="009D7C81">
        <w:rPr>
          <w:rFonts w:ascii="Bookman Old Style" w:hAnsi="Bookman Old Style" w:cs="Times New Roman"/>
          <w:sz w:val="24"/>
          <w:szCs w:val="24"/>
          <w:lang w:val="fr-BE"/>
        </w:rPr>
        <w:t xml:space="preserve"> maitrise de la</w:t>
      </w:r>
      <w:r w:rsidRPr="009D7C81">
        <w:rPr>
          <w:rFonts w:ascii="Bookman Old Style" w:hAnsi="Bookman Old Style" w:cs="Times New Roman"/>
          <w:sz w:val="24"/>
          <w:szCs w:val="24"/>
          <w:lang w:val="fr-BE"/>
        </w:rPr>
        <w:t xml:space="preserve"> </w:t>
      </w:r>
      <w:r w:rsidRPr="009D7C81">
        <w:rPr>
          <w:rFonts w:ascii="Bookman Old Style" w:hAnsi="Bookman Old Style" w:cs="Times New Roman"/>
          <w:sz w:val="24"/>
          <w:szCs w:val="24"/>
        </w:rPr>
        <w:t>c</w:t>
      </w:r>
      <w:r w:rsidRPr="009D7C81">
        <w:rPr>
          <w:rFonts w:ascii="Bookman Old Style" w:hAnsi="Bookman Old Style" w:cs="Times New Roman"/>
          <w:bCs/>
          <w:sz w:val="24"/>
          <w:szCs w:val="24"/>
        </w:rPr>
        <w:t>roissance démographique de 2% ; (iii)</w:t>
      </w:r>
      <w:r w:rsidR="00A64052" w:rsidRPr="009D7C81">
        <w:rPr>
          <w:rFonts w:ascii="Bookman Old Style" w:hAnsi="Bookman Old Style" w:cs="Times New Roman"/>
          <w:bCs/>
          <w:sz w:val="24"/>
          <w:szCs w:val="24"/>
        </w:rPr>
        <w:t xml:space="preserve"> l’insertion socio-économique d’</w:t>
      </w:r>
      <w:r w:rsidRPr="009D7C81">
        <w:rPr>
          <w:rFonts w:ascii="Bookman Old Style" w:hAnsi="Bookman Old Style" w:cs="Times New Roman"/>
          <w:bCs/>
          <w:sz w:val="24"/>
          <w:szCs w:val="24"/>
        </w:rPr>
        <w:t xml:space="preserve">une </w:t>
      </w:r>
      <w:r w:rsidRPr="009D7C81">
        <w:rPr>
          <w:rFonts w:ascii="Bookman Old Style" w:hAnsi="Bookman Old Style" w:cs="Times New Roman"/>
          <w:sz w:val="24"/>
          <w:szCs w:val="24"/>
        </w:rPr>
        <w:t>population jeune</w:t>
      </w:r>
      <w:r w:rsidR="00910355" w:rsidRPr="009D7C81">
        <w:rPr>
          <w:rFonts w:ascii="Bookman Old Style" w:hAnsi="Bookman Old Style" w:cs="Times New Roman"/>
          <w:sz w:val="24"/>
          <w:szCs w:val="24"/>
        </w:rPr>
        <w:t> </w:t>
      </w:r>
      <w:r w:rsidR="00910355" w:rsidRPr="009D7C81">
        <w:rPr>
          <w:rFonts w:ascii="Bookman Old Style" w:hAnsi="Bookman Old Style" w:cs="Times New Roman"/>
          <w:bCs/>
          <w:sz w:val="24"/>
          <w:szCs w:val="24"/>
        </w:rPr>
        <w:t>;</w:t>
      </w:r>
      <w:r w:rsidRPr="009D7C81">
        <w:rPr>
          <w:rFonts w:ascii="Bookman Old Style" w:hAnsi="Bookman Old Style" w:cs="Times New Roman"/>
          <w:bCs/>
          <w:sz w:val="24"/>
          <w:szCs w:val="24"/>
        </w:rPr>
        <w:t xml:space="preserve"> (iv) une fécondité de 3 enfants par femme</w:t>
      </w:r>
      <w:r w:rsidR="00DE5697" w:rsidRPr="009D7C81">
        <w:rPr>
          <w:rFonts w:ascii="Bookman Old Style" w:hAnsi="Bookman Old Style" w:cs="Times New Roman"/>
          <w:bCs/>
          <w:sz w:val="24"/>
          <w:szCs w:val="24"/>
        </w:rPr>
        <w:t>,</w:t>
      </w:r>
      <w:r w:rsidRPr="009D7C81">
        <w:rPr>
          <w:rFonts w:ascii="Bookman Old Style" w:hAnsi="Bookman Old Style" w:cs="Times New Roman"/>
          <w:bCs/>
          <w:sz w:val="24"/>
          <w:szCs w:val="24"/>
        </w:rPr>
        <w:t xml:space="preserve"> (v) une éducation sexuelle responsable</w:t>
      </w:r>
      <w:r w:rsidR="00910355" w:rsidRPr="009D7C81">
        <w:rPr>
          <w:rFonts w:ascii="Bookman Old Style" w:hAnsi="Bookman Old Style" w:cs="Times New Roman"/>
          <w:bCs/>
          <w:sz w:val="24"/>
          <w:szCs w:val="24"/>
        </w:rPr>
        <w:t> ;</w:t>
      </w:r>
      <w:r w:rsidRPr="009D7C81">
        <w:rPr>
          <w:rFonts w:ascii="Bookman Old Style" w:hAnsi="Bookman Old Style" w:cs="Times New Roman"/>
          <w:bCs/>
          <w:sz w:val="24"/>
          <w:szCs w:val="24"/>
        </w:rPr>
        <w:t xml:space="preserve"> (vi) </w:t>
      </w:r>
      <w:r w:rsidR="00DE5697" w:rsidRPr="009D7C81">
        <w:rPr>
          <w:rFonts w:ascii="Bookman Old Style" w:hAnsi="Bookman Old Style" w:cs="Times New Roman"/>
          <w:bCs/>
          <w:sz w:val="24"/>
          <w:szCs w:val="24"/>
        </w:rPr>
        <w:t>l’élaboration d’</w:t>
      </w:r>
      <w:r w:rsidRPr="009D7C81">
        <w:rPr>
          <w:rFonts w:ascii="Bookman Old Style" w:hAnsi="Bookman Old Style" w:cs="Times New Roman"/>
          <w:bCs/>
          <w:sz w:val="24"/>
          <w:szCs w:val="24"/>
        </w:rPr>
        <w:t>un c</w:t>
      </w:r>
      <w:r w:rsidRPr="009D7C81">
        <w:rPr>
          <w:rFonts w:ascii="Bookman Old Style" w:hAnsi="Bookman Old Style" w:cs="Times New Roman"/>
          <w:sz w:val="24"/>
          <w:szCs w:val="24"/>
        </w:rPr>
        <w:t>adre</w:t>
      </w:r>
      <w:r w:rsidRPr="009D7C81">
        <w:rPr>
          <w:rFonts w:ascii="Bookman Old Style" w:hAnsi="Bookman Old Style" w:cs="Times New Roman"/>
          <w:sz w:val="24"/>
          <w:szCs w:val="24"/>
          <w:lang w:val="fr-BE"/>
        </w:rPr>
        <w:t xml:space="preserve"> légal, réglementaire et institutionnel et</w:t>
      </w:r>
      <w:r w:rsidRPr="009D7C81">
        <w:rPr>
          <w:rFonts w:ascii="Bookman Old Style" w:hAnsi="Bookman Old Style" w:cs="Times New Roman"/>
          <w:sz w:val="24"/>
          <w:szCs w:val="24"/>
        </w:rPr>
        <w:t xml:space="preserve"> (vii) une éducation obligatoire</w:t>
      </w:r>
      <w:r w:rsidR="00FD4ED6" w:rsidRPr="009D7C81">
        <w:rPr>
          <w:rFonts w:ascii="Bookman Old Style" w:hAnsi="Bookman Old Style" w:cs="Times New Roman"/>
          <w:sz w:val="24"/>
          <w:szCs w:val="24"/>
        </w:rPr>
        <w:t xml:space="preserve"> pour tous</w:t>
      </w:r>
      <w:r w:rsidRPr="009D7C81">
        <w:rPr>
          <w:rFonts w:ascii="Bookman Old Style" w:hAnsi="Bookman Old Style" w:cs="Times New Roman"/>
          <w:sz w:val="24"/>
          <w:szCs w:val="24"/>
        </w:rPr>
        <w:t xml:space="preserve">. </w:t>
      </w:r>
    </w:p>
    <w:p w:rsidR="00144FF1" w:rsidRDefault="00144FF1">
      <w:pPr>
        <w:rPr>
          <w:rFonts w:ascii="Bookman Old Style" w:eastAsia="Times New Roman" w:hAnsi="Bookman Old Style" w:cs="Times New Roman"/>
          <w:b/>
          <w:bCs/>
          <w:i/>
          <w:sz w:val="28"/>
          <w:szCs w:val="24"/>
          <w:u w:color="000000"/>
          <w:bdr w:val="nil"/>
        </w:rPr>
      </w:pPr>
      <w:bookmarkStart w:id="91" w:name="_Toc511076179"/>
      <w:bookmarkStart w:id="92" w:name="_Toc511080868"/>
      <w:bookmarkStart w:id="93" w:name="_Toc511081381"/>
      <w:bookmarkStart w:id="94" w:name="_Toc511081544"/>
      <w:r>
        <w:rPr>
          <w:rFonts w:ascii="Bookman Old Style" w:hAnsi="Bookman Old Style"/>
        </w:rPr>
        <w:br w:type="page"/>
      </w:r>
    </w:p>
    <w:p w:rsidR="00DE3A23" w:rsidRPr="00CA196C" w:rsidRDefault="00DE3A23" w:rsidP="00BD2775">
      <w:pPr>
        <w:pStyle w:val="Titre3"/>
        <w:rPr>
          <w:rFonts w:ascii="Bookman Old Style" w:hAnsi="Bookman Old Style"/>
        </w:rPr>
      </w:pPr>
      <w:r w:rsidRPr="00CA196C">
        <w:rPr>
          <w:rFonts w:ascii="Bookman Old Style" w:hAnsi="Bookman Old Style"/>
        </w:rPr>
        <w:lastRenderedPageBreak/>
        <w:t>3.</w:t>
      </w:r>
      <w:r w:rsidR="007D3AFD" w:rsidRPr="00CA196C">
        <w:rPr>
          <w:rFonts w:ascii="Bookman Old Style" w:hAnsi="Bookman Old Style"/>
        </w:rPr>
        <w:t>1.</w:t>
      </w:r>
      <w:r w:rsidR="009D7C81">
        <w:rPr>
          <w:rFonts w:ascii="Bookman Old Style" w:hAnsi="Bookman Old Style"/>
        </w:rPr>
        <w:t>7</w:t>
      </w:r>
      <w:r w:rsidRPr="00CA196C">
        <w:rPr>
          <w:rFonts w:ascii="Bookman Old Style" w:hAnsi="Bookman Old Style"/>
        </w:rPr>
        <w:t>. Gestion de l'espace et de l'environnement pour un développement durable</w:t>
      </w:r>
      <w:bookmarkEnd w:id="91"/>
      <w:bookmarkEnd w:id="92"/>
      <w:bookmarkEnd w:id="93"/>
      <w:bookmarkEnd w:id="94"/>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t xml:space="preserve">En ce qui concerne la protection de l’environnement et de la résilience aux changements climatiques, </w:t>
      </w:r>
      <w:r w:rsidRPr="00CA196C">
        <w:rPr>
          <w:rFonts w:ascii="Bookman Old Style" w:hAnsi="Bookman Old Style" w:cs="Times New Roman"/>
          <w:sz w:val="24"/>
          <w:szCs w:val="24"/>
        </w:rPr>
        <w:t>les</w:t>
      </w:r>
      <w:r w:rsidRPr="00CA196C">
        <w:rPr>
          <w:rFonts w:ascii="Bookman Old Style" w:hAnsi="Bookman Old Style" w:cs="Times New Roman"/>
          <w:b/>
          <w:sz w:val="24"/>
          <w:szCs w:val="24"/>
        </w:rPr>
        <w:t xml:space="preserve"> </w:t>
      </w:r>
      <w:r w:rsidRPr="00CA196C">
        <w:rPr>
          <w:rFonts w:ascii="Bookman Old Style" w:hAnsi="Bookman Old Style" w:cs="Times New Roman"/>
          <w:sz w:val="24"/>
          <w:szCs w:val="24"/>
        </w:rPr>
        <w:t>aspects essentiels sur l’exécution des programmes prioritaires ont porté  sur: la protection des sols, la sauvegarde du capital forestier, la délimitation des principales réserves et la conservation de la biodiversité, la lutte contre la pollution et les changements climatiques. Certaines actions ciblées sur la biodiversité ont été également menées.</w:t>
      </w:r>
      <w:r w:rsidR="00514330" w:rsidRPr="00CA196C">
        <w:rPr>
          <w:rFonts w:ascii="Bookman Old Style" w:hAnsi="Bookman Old Style" w:cs="Times New Roman"/>
          <w:sz w:val="24"/>
          <w:szCs w:val="24"/>
        </w:rPr>
        <w:t xml:space="preserve"> </w:t>
      </w:r>
      <w:r w:rsidRPr="00CA196C">
        <w:rPr>
          <w:rFonts w:ascii="Bookman Old Style" w:hAnsi="Bookman Old Style" w:cs="Times New Roman"/>
          <w:b/>
          <w:sz w:val="24"/>
          <w:szCs w:val="24"/>
        </w:rPr>
        <w:t>Dans le cadre de la lutte contre la pollution de l'environnement et du Lac Tanganyika</w:t>
      </w:r>
      <w:r w:rsidRPr="00CA196C">
        <w:rPr>
          <w:rFonts w:ascii="Bookman Old Style" w:hAnsi="Bookman Old Style" w:cs="Times New Roman"/>
          <w:sz w:val="24"/>
          <w:szCs w:val="24"/>
        </w:rPr>
        <w:t>, il y a eu  la délimitation et la mise en place de 17 sites de décharge contrôlée, l’élaboration des Schémas directeurs d’assainissement dans les provinces  de Bujumbura Mairie, Kirundo, Karusi, Ngozi et Mwaro, l’actualisation d’un profil national sur la gestion des produits chimiques et le développement d’une base de données pour la gestion des produits chimiques au Burundi.</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Les défis liés à l’environnement et la gestion des ressources naturelles sont : (i) la croissance démographique</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w:t>
      </w:r>
      <w:r w:rsidR="00FD4ED6" w:rsidRPr="00CA196C">
        <w:rPr>
          <w:rFonts w:ascii="Bookman Old Style" w:hAnsi="Bookman Old Style" w:cs="Times New Roman"/>
          <w:sz w:val="24"/>
          <w:szCs w:val="24"/>
        </w:rPr>
        <w:t>l</w:t>
      </w:r>
      <w:r w:rsidR="009B6CBD">
        <w:rPr>
          <w:rFonts w:ascii="Bookman Old Style" w:hAnsi="Bookman Old Style" w:cs="Times New Roman"/>
          <w:sz w:val="24"/>
          <w:szCs w:val="24"/>
        </w:rPr>
        <w:t>es</w:t>
      </w:r>
      <w:r w:rsidR="00FD4ED6"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conflits fonciers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sauvegarde de la biodiversité</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l’utilisation du matériel biodégradable</w:t>
      </w:r>
      <w:r w:rsidR="00FD4ED6"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(v) la protection des eaux des affluents du lac Tanganyika</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(vi) la protection et l’exploitation rationnelle des terres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(vii) la gestion des produits chimiques et autres déchets. Les défis liés aux changements climatiques sont les suivants : (i) la capacité d’adaptation et de gestion des risques climatiques</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(ii) l’exploitation des forêts et la protection des écosystèmes naturels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capacité d’atténuation et de séquestration des Gaz à Effets de Serre (GES)</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(iv) la  capacité  de recherche-développement et de transfert de technologies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(v) le genre dans la lutte contre les changements climatiques et (vi) la fiabilité des prévisions météorologiques.</w:t>
      </w:r>
      <w:r w:rsidRPr="00CA196C">
        <w:rPr>
          <w:rFonts w:ascii="Bookman Old Style" w:hAnsi="Bookman Old Style" w:cs="Times New Roman"/>
          <w:b/>
          <w:sz w:val="24"/>
          <w:szCs w:val="24"/>
        </w:rPr>
        <w:t xml:space="preserve"> </w:t>
      </w:r>
    </w:p>
    <w:p w:rsidR="00DE3A23" w:rsidRPr="00CA196C" w:rsidRDefault="00DE3A23" w:rsidP="00E92676">
      <w:pPr>
        <w:spacing w:line="240" w:lineRule="auto"/>
        <w:ind w:left="720"/>
        <w:contextualSpacing/>
        <w:rPr>
          <w:rFonts w:ascii="Bookman Old Style" w:eastAsiaTheme="majorEastAsia" w:hAnsi="Bookman Old Style" w:cs="Times New Roman"/>
          <w:b/>
          <w:bCs/>
          <w:i/>
          <w:iCs/>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Dans </w:t>
      </w:r>
      <w:r w:rsidR="00FD4ED6" w:rsidRPr="00CA196C">
        <w:rPr>
          <w:rFonts w:ascii="Bookman Old Style" w:hAnsi="Bookman Old Style" w:cs="Times New Roman"/>
          <w:sz w:val="24"/>
          <w:szCs w:val="24"/>
        </w:rPr>
        <w:t xml:space="preserve">le </w:t>
      </w:r>
      <w:r w:rsidRPr="00CA196C">
        <w:rPr>
          <w:rFonts w:ascii="Bookman Old Style" w:hAnsi="Bookman Old Style" w:cs="Times New Roman"/>
          <w:sz w:val="24"/>
          <w:szCs w:val="24"/>
        </w:rPr>
        <w:t>domaine</w:t>
      </w:r>
      <w:r w:rsidRPr="00CA196C">
        <w:rPr>
          <w:rFonts w:ascii="Bookman Old Style" w:eastAsiaTheme="majorEastAsia" w:hAnsi="Bookman Old Style" w:cs="Times New Roman"/>
          <w:b/>
          <w:bCs/>
          <w:i/>
          <w:iCs/>
          <w:sz w:val="24"/>
          <w:szCs w:val="24"/>
        </w:rPr>
        <w:t xml:space="preserve"> de Gestion Intégrée des Ressources en Eau (GIRE</w:t>
      </w:r>
      <w:r w:rsidR="00FD4ED6" w:rsidRPr="00CA196C">
        <w:rPr>
          <w:rFonts w:ascii="Bookman Old Style" w:eastAsiaTheme="majorEastAsia" w:hAnsi="Bookman Old Style" w:cs="Times New Roman"/>
          <w:b/>
          <w:bCs/>
          <w:i/>
          <w:iCs/>
          <w:sz w:val="24"/>
          <w:szCs w:val="24"/>
        </w:rPr>
        <w:t>)</w:t>
      </w:r>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les réalisations se sont focalisées sur: la réhabilitation du réseau d’observation hydrologique et météorologique pour le suivi des changements climatiques</w:t>
      </w:r>
      <w:r w:rsidR="00FD4ED6"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l’élaboration et la diffusion des textes d’application du code de l’eau, l’identification et la protection des eaux thermales en particulier l’aménagement du site de M</w:t>
      </w:r>
      <w:r w:rsidR="00FD4ED6" w:rsidRPr="00CA196C">
        <w:rPr>
          <w:rFonts w:ascii="Bookman Old Style" w:hAnsi="Bookman Old Style" w:cs="Times New Roman"/>
          <w:sz w:val="24"/>
          <w:szCs w:val="24"/>
        </w:rPr>
        <w:t xml:space="preserve">ugara </w:t>
      </w:r>
      <w:r w:rsidRPr="00CA196C">
        <w:rPr>
          <w:rFonts w:ascii="Bookman Old Style" w:hAnsi="Bookman Old Style" w:cs="Times New Roman"/>
          <w:sz w:val="24"/>
          <w:szCs w:val="24"/>
        </w:rPr>
        <w:t xml:space="preserve">dans la </w:t>
      </w:r>
      <w:r w:rsidR="00CA44EB" w:rsidRPr="00CA196C">
        <w:rPr>
          <w:rFonts w:ascii="Bookman Old Style" w:hAnsi="Bookman Old Style" w:cs="Times New Roman"/>
          <w:sz w:val="24"/>
          <w:szCs w:val="24"/>
        </w:rPr>
        <w:t>commune</w:t>
      </w:r>
      <w:r w:rsidRPr="00CA196C">
        <w:rPr>
          <w:rFonts w:ascii="Bookman Old Style" w:hAnsi="Bookman Old Style" w:cs="Times New Roman"/>
          <w:sz w:val="24"/>
          <w:szCs w:val="24"/>
        </w:rPr>
        <w:t xml:space="preserve">de Rumonge, la restauration des zones tampons des lacs et rivières (lac Rweru, rivières Ruvyironza et Waga), la délimitation et le bornage des lacs Dogodogo et Nyamuziba, du littoral du lac Tanganyika et l’organisation des formations sur les techniques de collecte des eaux de pluies. </w:t>
      </w:r>
      <w:r w:rsidRPr="00CA196C">
        <w:rPr>
          <w:rFonts w:ascii="Bookman Old Style" w:hAnsi="Bookman Old Style" w:cs="Times New Roman"/>
          <w:sz w:val="24"/>
          <w:szCs w:val="24"/>
          <w:lang w:eastAsia="fr-FR"/>
        </w:rPr>
        <w:t xml:space="preserve">En matière de la gestion intégrée  des ressources  en eau et assainissement, </w:t>
      </w:r>
      <w:r w:rsidRPr="00CA196C">
        <w:rPr>
          <w:rFonts w:ascii="Bookman Old Style" w:hAnsi="Bookman Old Style" w:cs="Times New Roman"/>
          <w:sz w:val="24"/>
          <w:szCs w:val="24"/>
        </w:rPr>
        <w:t>les défis du secteur sont : (i) le cadre légal et institutionnel</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préservation et la valorisation durable des ressources en eau</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le code d’assainissement</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(iv) la promotion de l’assainissement de base en milieu rural</w:t>
      </w:r>
      <w:r w:rsidR="00910355" w:rsidRPr="00CA196C">
        <w:rPr>
          <w:rFonts w:ascii="Bookman Old Style" w:hAnsi="Bookman Old Style" w:cs="Times New Roman"/>
          <w:sz w:val="24"/>
          <w:szCs w:val="24"/>
        </w:rPr>
        <w:t xml:space="preserve"> ; </w:t>
      </w:r>
      <w:r w:rsidRPr="00CA196C">
        <w:rPr>
          <w:rFonts w:ascii="Bookman Old Style" w:hAnsi="Bookman Old Style" w:cs="Times New Roman"/>
          <w:sz w:val="24"/>
          <w:szCs w:val="24"/>
        </w:rPr>
        <w:t>(v) la</w:t>
      </w:r>
      <w:r w:rsidR="00FD4ED6" w:rsidRPr="00CA196C">
        <w:rPr>
          <w:rFonts w:ascii="Bookman Old Style" w:hAnsi="Bookman Old Style" w:cs="Times New Roman"/>
          <w:sz w:val="24"/>
          <w:szCs w:val="24"/>
        </w:rPr>
        <w:t xml:space="preserve"> création d’une</w:t>
      </w:r>
      <w:r w:rsidRPr="00CA196C">
        <w:rPr>
          <w:rFonts w:ascii="Bookman Old Style" w:hAnsi="Bookman Old Style" w:cs="Times New Roman"/>
          <w:sz w:val="24"/>
          <w:szCs w:val="24"/>
        </w:rPr>
        <w:t xml:space="preserve"> base de données sur l’eau et l’assainissement et (vi) l’aménagement adéquat des bassins versants.</w:t>
      </w:r>
    </w:p>
    <w:p w:rsidR="00DE3A23" w:rsidRPr="00CA196C" w:rsidRDefault="00DE3A23" w:rsidP="004322A9">
      <w:pPr>
        <w:numPr>
          <w:ilvl w:val="0"/>
          <w:numId w:val="5"/>
        </w:numPr>
        <w:autoSpaceDE w:val="0"/>
        <w:autoSpaceDN w:val="0"/>
        <w:adjustRightInd w:val="0"/>
        <w:spacing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b/>
          <w:sz w:val="24"/>
          <w:szCs w:val="24"/>
        </w:rPr>
        <w:lastRenderedPageBreak/>
        <w:t>En matière de l’aménagement du territoire et de l’habitat</w:t>
      </w:r>
      <w:r w:rsidRPr="00CA196C">
        <w:rPr>
          <w:rFonts w:ascii="Bookman Old Style" w:hAnsi="Bookman Old Style" w:cs="Times New Roman"/>
          <w:sz w:val="24"/>
          <w:szCs w:val="24"/>
        </w:rPr>
        <w:t>, les réalisations ont porté sur : la viabilisation de nouveaux quartiers, l’élaboration de 12 schémas provinciaux d’aménagement du territoire et de 5 schémas directeurs d’aménagement et d’urbanisme, un inventaire des terres protégées a été effectué, des terres domaniales ont été mesurées et bornées, des services fonciers communaux ont été créés, des villages intégrés de réinsertion ont été construits, le reboisement des terres domaniales et la création des guichets communaux pour faciliter l’inventaire, la cartographie et l’enregistrement des terres domaniales vers la sécurisation foncière, l’étude et l’exécution des travaux pour la protection des caniveaux et de la rivière Nyabagere et l’élaboration du Code de l’Habitat et de Construction. Les défis du secteur sont : (i) l’indemnisation des populations des zones ciblées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la promotion de la villagisation</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w:t>
      </w:r>
      <w:r w:rsidR="00001C35" w:rsidRPr="00CA196C">
        <w:rPr>
          <w:rFonts w:ascii="Bookman Old Style" w:hAnsi="Bookman Old Style" w:cs="Times New Roman"/>
          <w:sz w:val="24"/>
          <w:szCs w:val="24"/>
        </w:rPr>
        <w:t>l’élaboration d’un</w:t>
      </w:r>
      <w:r w:rsidR="00514330"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document de politique d’aménagement du territoire et (iv) la promotion de l’habitat décent.</w:t>
      </w:r>
    </w:p>
    <w:p w:rsidR="00DE3A23" w:rsidRPr="00CA196C" w:rsidRDefault="00DE3A23" w:rsidP="00E92676">
      <w:pPr>
        <w:spacing w:line="240" w:lineRule="auto"/>
        <w:ind w:left="720"/>
        <w:contextualSpacing/>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En ce qui concerne </w:t>
      </w:r>
      <w:r w:rsidRPr="00CA196C">
        <w:rPr>
          <w:rFonts w:ascii="Bookman Old Style" w:hAnsi="Bookman Old Style" w:cs="Times New Roman"/>
          <w:b/>
          <w:sz w:val="24"/>
          <w:szCs w:val="24"/>
        </w:rPr>
        <w:t>le développement de l’urbanisme</w:t>
      </w:r>
      <w:r w:rsidRPr="00CA196C">
        <w:rPr>
          <w:rFonts w:ascii="Bookman Old Style" w:hAnsi="Bookman Old Style" w:cs="Times New Roman"/>
          <w:sz w:val="24"/>
          <w:szCs w:val="24"/>
        </w:rPr>
        <w:t>, les actions réalisées sont: le mesurage et le bornage des centres urbains, commerciaux et de négoce, l’aménagement des rivières et des ravins, l’aménagement des sites de Nkenga-Busoro à Bujumbura et Zege à Gitega</w:t>
      </w:r>
      <w:r w:rsidR="00001C35" w:rsidRPr="00CA196C">
        <w:rPr>
          <w:rFonts w:ascii="Bookman Old Style" w:hAnsi="Bookman Old Style" w:cs="Times New Roman"/>
          <w:sz w:val="24"/>
          <w:szCs w:val="24"/>
        </w:rPr>
        <w:t>,</w:t>
      </w:r>
      <w:r w:rsidRPr="00CA196C">
        <w:rPr>
          <w:rFonts w:ascii="Bookman Old Style" w:hAnsi="Bookman Old Style" w:cs="Times New Roman"/>
          <w:sz w:val="24"/>
          <w:szCs w:val="24"/>
        </w:rPr>
        <w:t xml:space="preserve"> la viabilisation des nouveaux quartiers </w:t>
      </w:r>
      <w:r w:rsidRPr="00E8577A">
        <w:rPr>
          <w:rFonts w:ascii="Bookman Old Style" w:hAnsi="Bookman Old Style" w:cs="Times New Roman"/>
          <w:sz w:val="24"/>
          <w:szCs w:val="24"/>
        </w:rPr>
        <w:t>ainsi que le pavage et l’assainissement des villes de Bujumbura, Ngozi et Rutana</w:t>
      </w:r>
      <w:r w:rsidR="00E8577A">
        <w:rPr>
          <w:rFonts w:ascii="Bookman Old Style" w:hAnsi="Bookman Old Style" w:cs="Times New Roman"/>
          <w:sz w:val="24"/>
          <w:szCs w:val="24"/>
        </w:rPr>
        <w:t>, et</w:t>
      </w:r>
      <w:r w:rsidR="00E8577A" w:rsidRPr="00E8577A">
        <w:rPr>
          <w:rFonts w:ascii="Bookman Old Style" w:hAnsi="Bookman Old Style" w:cs="Times New Roman"/>
          <w:sz w:val="24"/>
          <w:szCs w:val="24"/>
        </w:rPr>
        <w:t>c.</w:t>
      </w:r>
      <w:r w:rsidRPr="00E8577A">
        <w:rPr>
          <w:rFonts w:ascii="Bookman Old Style" w:hAnsi="Bookman Old Style" w:cs="Times New Roman"/>
          <w:sz w:val="24"/>
          <w:szCs w:val="24"/>
        </w:rPr>
        <w:t>.</w:t>
      </w:r>
      <w:r w:rsidRPr="00CA196C">
        <w:rPr>
          <w:rFonts w:ascii="Bookman Old Style" w:hAnsi="Bookman Old Style" w:cs="Times New Roman"/>
          <w:sz w:val="24"/>
          <w:szCs w:val="24"/>
        </w:rPr>
        <w:t xml:space="preserve"> </w:t>
      </w:r>
      <w:r w:rsidR="00001C35" w:rsidRPr="00CA196C">
        <w:rPr>
          <w:rFonts w:ascii="Bookman Old Style" w:hAnsi="Bookman Old Style" w:cs="Times New Roman"/>
          <w:sz w:val="24"/>
          <w:szCs w:val="24"/>
        </w:rPr>
        <w:t>Cependant, l</w:t>
      </w:r>
      <w:r w:rsidRPr="00CA196C">
        <w:rPr>
          <w:rFonts w:ascii="Bookman Old Style" w:hAnsi="Bookman Old Style" w:cs="Times New Roman"/>
          <w:sz w:val="24"/>
          <w:szCs w:val="24"/>
        </w:rPr>
        <w:t xml:space="preserve">e développement de l’urbanisme fait face à </w:t>
      </w:r>
      <w:r w:rsidR="00001C35" w:rsidRPr="00CA196C">
        <w:rPr>
          <w:rFonts w:ascii="Bookman Old Style" w:hAnsi="Bookman Old Style" w:cs="Times New Roman"/>
          <w:sz w:val="24"/>
          <w:szCs w:val="24"/>
        </w:rPr>
        <w:t xml:space="preserve">aux </w:t>
      </w:r>
      <w:r w:rsidRPr="00CA196C">
        <w:rPr>
          <w:rFonts w:ascii="Bookman Old Style" w:hAnsi="Bookman Old Style" w:cs="Times New Roman"/>
          <w:sz w:val="24"/>
          <w:szCs w:val="24"/>
        </w:rPr>
        <w:t xml:space="preserve">défis </w:t>
      </w:r>
      <w:r w:rsidR="00001C35" w:rsidRPr="00CA196C">
        <w:rPr>
          <w:rFonts w:ascii="Bookman Old Style" w:hAnsi="Bookman Old Style" w:cs="Times New Roman"/>
          <w:sz w:val="24"/>
          <w:szCs w:val="24"/>
        </w:rPr>
        <w:t>suivants</w:t>
      </w:r>
      <w:r w:rsidRPr="00CA196C">
        <w:rPr>
          <w:rFonts w:ascii="Bookman Old Style" w:hAnsi="Bookman Old Style" w:cs="Times New Roman"/>
          <w:sz w:val="24"/>
          <w:szCs w:val="24"/>
        </w:rPr>
        <w:t>: (i) la promotion de la planification et de la gestion des espaces urbains</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w:t>
      </w:r>
      <w:r w:rsidR="00001C35" w:rsidRPr="00CA196C">
        <w:rPr>
          <w:rFonts w:ascii="Bookman Old Style" w:hAnsi="Bookman Old Style" w:cs="Times New Roman"/>
          <w:sz w:val="24"/>
          <w:szCs w:val="24"/>
        </w:rPr>
        <w:t>’élaboration d’un</w:t>
      </w:r>
      <w:r w:rsidR="00910355" w:rsidRPr="00CA196C">
        <w:rPr>
          <w:rFonts w:ascii="Bookman Old Style" w:hAnsi="Bookman Old Style" w:cs="Times New Roman"/>
          <w:sz w:val="24"/>
          <w:szCs w:val="24"/>
        </w:rPr>
        <w:t xml:space="preserve"> cadre légal et réglementaire</w:t>
      </w:r>
      <w:r w:rsidRPr="00CA196C">
        <w:rPr>
          <w:rFonts w:ascii="Bookman Old Style" w:hAnsi="Bookman Old Style" w:cs="Times New Roman"/>
          <w:sz w:val="24"/>
          <w:szCs w:val="24"/>
        </w:rPr>
        <w:t>; (iii) l’énergie </w:t>
      </w:r>
      <w:r w:rsidR="00001C35" w:rsidRPr="00CA196C">
        <w:rPr>
          <w:rFonts w:ascii="Bookman Old Style" w:hAnsi="Bookman Old Style" w:cs="Times New Roman"/>
          <w:sz w:val="24"/>
          <w:szCs w:val="24"/>
        </w:rPr>
        <w:t>suffisante</w:t>
      </w:r>
      <w:r w:rsidRPr="00CA196C">
        <w:rPr>
          <w:rFonts w:ascii="Bookman Old Style" w:hAnsi="Bookman Old Style" w:cs="Times New Roman"/>
          <w:sz w:val="24"/>
          <w:szCs w:val="24"/>
        </w:rPr>
        <w:t>; (iv) la maîtrise de l’exode rural et (v) la promotion des matériaux locaux de construction.</w:t>
      </w:r>
    </w:p>
    <w:p w:rsidR="00DE3A23" w:rsidRDefault="00DE3A23" w:rsidP="00E92676">
      <w:pPr>
        <w:spacing w:line="240" w:lineRule="auto"/>
        <w:ind w:left="720"/>
        <w:contextualSpacing/>
        <w:rPr>
          <w:rFonts w:ascii="Bookman Old Style" w:eastAsia="Times New Roman" w:hAnsi="Bookman Old Style" w:cs="Times New Roman"/>
          <w:b/>
          <w:bCs/>
          <w:i/>
          <w:sz w:val="24"/>
          <w:szCs w:val="24"/>
          <w:u w:color="000000"/>
          <w:bdr w:val="nil"/>
        </w:rPr>
      </w:pPr>
    </w:p>
    <w:p w:rsidR="009D7C81" w:rsidRPr="00CA196C" w:rsidRDefault="009D7C81" w:rsidP="009D7C81">
      <w:pPr>
        <w:pStyle w:val="Titre3"/>
        <w:rPr>
          <w:rFonts w:ascii="Bookman Old Style" w:hAnsi="Bookman Old Style"/>
        </w:rPr>
      </w:pPr>
      <w:bookmarkStart w:id="95" w:name="_Toc511076180"/>
      <w:bookmarkStart w:id="96" w:name="_Toc511080869"/>
      <w:bookmarkStart w:id="97" w:name="_Toc511081382"/>
      <w:bookmarkStart w:id="98" w:name="_Toc511081545"/>
      <w:r>
        <w:rPr>
          <w:rFonts w:ascii="Bookman Old Style" w:hAnsi="Bookman Old Style"/>
        </w:rPr>
        <w:t>3.1.8</w:t>
      </w:r>
      <w:r w:rsidRPr="00CA196C">
        <w:rPr>
          <w:rFonts w:ascii="Bookman Old Style" w:hAnsi="Bookman Old Style"/>
        </w:rPr>
        <w:t>. Démocratie, Gouvernance et Droits Humains</w:t>
      </w:r>
      <w:bookmarkEnd w:id="95"/>
      <w:bookmarkEnd w:id="96"/>
      <w:bookmarkEnd w:id="97"/>
      <w:bookmarkEnd w:id="98"/>
    </w:p>
    <w:p w:rsidR="009D7C81" w:rsidRPr="00CA196C" w:rsidRDefault="009D7C81" w:rsidP="009D7C81">
      <w:pPr>
        <w:pStyle w:val="Paragraphedeliste"/>
        <w:spacing w:before="120" w:after="120" w:line="240" w:lineRule="auto"/>
        <w:jc w:val="both"/>
        <w:outlineLvl w:val="1"/>
        <w:rPr>
          <w:rFonts w:ascii="Bookman Old Style" w:eastAsia="Times New Roman" w:hAnsi="Bookman Old Style" w:cs="Times New Roman"/>
          <w:b/>
          <w:bCs/>
          <w:i/>
          <w:sz w:val="24"/>
          <w:szCs w:val="24"/>
          <w:u w:color="000000"/>
          <w:bdr w:val="nil"/>
        </w:rPr>
      </w:pPr>
    </w:p>
    <w:p w:rsidR="009D7C81" w:rsidRPr="00CA196C" w:rsidRDefault="009D7C81" w:rsidP="009D7C81">
      <w:pPr>
        <w:pStyle w:val="Paragraphedeliste"/>
        <w:numPr>
          <w:ilvl w:val="0"/>
          <w:numId w:val="5"/>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Au cours de ces cinq dernières années, le Burundi a poursuivi ses efforts dans la mise en œuvre des programmes de consolidation de la démocratie, de la justice, des droits humains, de la lutte contre la corruption et de la décentralisation. En matière de </w:t>
      </w:r>
      <w:r w:rsidRPr="00CA196C">
        <w:rPr>
          <w:rFonts w:ascii="Bookman Old Style" w:hAnsi="Bookman Old Style" w:cs="Times New Roman"/>
          <w:b/>
          <w:sz w:val="24"/>
          <w:szCs w:val="24"/>
        </w:rPr>
        <w:t>consolidation de la démocratie</w:t>
      </w:r>
      <w:r w:rsidRPr="00CA196C">
        <w:rPr>
          <w:rFonts w:ascii="Bookman Old Style" w:hAnsi="Bookman Old Style" w:cs="Times New Roman"/>
          <w:sz w:val="24"/>
          <w:szCs w:val="24"/>
        </w:rPr>
        <w:t xml:space="preserve">, le peuple burundais a le droit et la liberté d’élire ses représentants de la base au sommet de l’Etat. A cet effet, un cadre légal et réglementaire a été mis en place pour assurer la conduite du processus électoral et garantir le dialogue permanent entre le Gouvernement, les acteurs politiques et la société civile. De plus, </w:t>
      </w:r>
      <w:r w:rsidRPr="00CA196C">
        <w:rPr>
          <w:rFonts w:ascii="Bookman Old Style" w:eastAsia="Times New Roman" w:hAnsi="Bookman Old Style" w:cs="Times New Roman"/>
          <w:sz w:val="24"/>
          <w:szCs w:val="24"/>
          <w:lang w:eastAsia="fr-BE"/>
        </w:rPr>
        <w:t>la Commission Vérité et Réconciliation (CVR) a été mise en place en 2</w:t>
      </w:r>
      <w:r w:rsidR="00757E02">
        <w:rPr>
          <w:rFonts w:ascii="Bookman Old Style" w:eastAsia="Times New Roman" w:hAnsi="Bookman Old Style" w:cs="Times New Roman"/>
          <w:sz w:val="24"/>
          <w:szCs w:val="24"/>
          <w:lang w:eastAsia="fr-BE"/>
        </w:rPr>
        <w:t xml:space="preserve">014 et le Conseil National de </w:t>
      </w:r>
      <w:r w:rsidRPr="00CA196C">
        <w:rPr>
          <w:rFonts w:ascii="Bookman Old Style" w:eastAsia="Times New Roman" w:hAnsi="Bookman Old Style" w:cs="Times New Roman"/>
          <w:sz w:val="24"/>
          <w:szCs w:val="24"/>
          <w:lang w:eastAsia="fr-BE"/>
        </w:rPr>
        <w:t xml:space="preserve">l’unité nationale est à pied d’œuvre. </w:t>
      </w:r>
      <w:bookmarkStart w:id="99" w:name="_Toc499201587"/>
    </w:p>
    <w:p w:rsidR="009D7C81" w:rsidRPr="00CA196C" w:rsidRDefault="009D7C81" w:rsidP="009D7C81">
      <w:pPr>
        <w:pStyle w:val="Paragraphedeliste"/>
        <w:spacing w:before="160" w:after="120" w:line="240" w:lineRule="auto"/>
        <w:ind w:left="360"/>
        <w:jc w:val="both"/>
        <w:rPr>
          <w:rFonts w:ascii="Bookman Old Style" w:hAnsi="Bookman Old Style" w:cs="Times New Roman"/>
          <w:sz w:val="24"/>
          <w:szCs w:val="24"/>
        </w:rPr>
      </w:pPr>
    </w:p>
    <w:p w:rsidR="009D7C81" w:rsidRPr="00CA196C" w:rsidRDefault="009D7C81" w:rsidP="009D7C81">
      <w:pPr>
        <w:pStyle w:val="Paragraphedeliste"/>
        <w:numPr>
          <w:ilvl w:val="0"/>
          <w:numId w:val="5"/>
        </w:numPr>
        <w:spacing w:before="160" w:after="120" w:line="240" w:lineRule="auto"/>
        <w:jc w:val="both"/>
        <w:rPr>
          <w:rFonts w:ascii="Bookman Old Style" w:hAnsi="Bookman Old Style" w:cs="Times New Roman"/>
          <w:sz w:val="24"/>
          <w:szCs w:val="24"/>
        </w:rPr>
      </w:pPr>
      <w:r w:rsidRPr="00CA196C">
        <w:rPr>
          <w:rFonts w:ascii="Bookman Old Style" w:eastAsia="Times New Roman" w:hAnsi="Bookman Old Style" w:cs="Times New Roman"/>
          <w:sz w:val="24"/>
          <w:szCs w:val="24"/>
          <w:lang w:eastAsia="fr-BE"/>
        </w:rPr>
        <w:t>Au niveau de l</w:t>
      </w:r>
      <w:r w:rsidRPr="00CA196C">
        <w:rPr>
          <w:rFonts w:ascii="Bookman Old Style" w:eastAsiaTheme="majorEastAsia" w:hAnsi="Bookman Old Style" w:cs="Times New Roman"/>
          <w:b/>
          <w:bCs/>
          <w:i/>
          <w:iCs/>
          <w:sz w:val="24"/>
          <w:szCs w:val="24"/>
        </w:rPr>
        <w:t xml:space="preserve">’administration de la justice, </w:t>
      </w:r>
      <w:bookmarkEnd w:id="99"/>
      <w:r w:rsidRPr="00CA196C">
        <w:rPr>
          <w:rFonts w:ascii="Bookman Old Style" w:hAnsi="Bookman Old Style" w:cs="Times New Roman"/>
          <w:sz w:val="24"/>
          <w:szCs w:val="24"/>
        </w:rPr>
        <w:t xml:space="preserve">des efforts ont été consentis au niveau du renforcement des institutions judiciaires en vue de cheminer vers une justice accessible à tous et de promouvoir une justice pénale humanisée. Plusieurs réalisations ont été enregistrées: la révision des codes pénaux et de procédure pénale, l’augmentation du taux d’exécution des jugements, l’augmentation du rendement des </w:t>
      </w:r>
      <w:r w:rsidRPr="00CA196C">
        <w:rPr>
          <w:rFonts w:ascii="Bookman Old Style" w:hAnsi="Bookman Old Style" w:cs="Times New Roman"/>
          <w:sz w:val="24"/>
          <w:szCs w:val="24"/>
        </w:rPr>
        <w:lastRenderedPageBreak/>
        <w:t xml:space="preserve">magistrats, la prise en compte de la spécificité de la justice des mineurs et la création des centres de rééducation pour mineurs en conflit avec la loi, le désengorgement des prisons. Le taux d’exécution des jugements rendus pour toutes les juridictions est passé de 18% en 2012 à 83,2% en 2014 (soit multiplié par plus de quatre fois en 2 ans). </w:t>
      </w:r>
    </w:p>
    <w:p w:rsidR="009D7C81" w:rsidRPr="00CA196C" w:rsidRDefault="009D7C81" w:rsidP="009D7C81">
      <w:pPr>
        <w:pStyle w:val="Titre"/>
        <w:rPr>
          <w:rFonts w:ascii="Bookman Old Style" w:hAnsi="Bookman Old Style"/>
        </w:rPr>
      </w:pPr>
      <w:bookmarkStart w:id="100" w:name="_Toc511076240"/>
      <w:bookmarkStart w:id="101" w:name="_Toc511080870"/>
      <w:bookmarkStart w:id="102" w:name="_Toc511081546"/>
      <w:r w:rsidRPr="00CA196C">
        <w:rPr>
          <w:rFonts w:ascii="Bookman Old Style" w:hAnsi="Bookman Old Style"/>
        </w:rPr>
        <w:t>Tableau 1. Evolution des indicateurs du secteur de la justice</w:t>
      </w:r>
      <w:bookmarkEnd w:id="100"/>
      <w:bookmarkEnd w:id="101"/>
      <w:bookmarkEnd w:id="102"/>
    </w:p>
    <w:tbl>
      <w:tblPr>
        <w:tblStyle w:val="Grilleclaire-Accent11"/>
        <w:tblW w:w="0" w:type="auto"/>
        <w:tblInd w:w="534" w:type="dxa"/>
        <w:tblLook w:val="04A0" w:firstRow="1" w:lastRow="0" w:firstColumn="1" w:lastColumn="0" w:noHBand="0" w:noVBand="1"/>
      </w:tblPr>
      <w:tblGrid>
        <w:gridCol w:w="4961"/>
        <w:gridCol w:w="992"/>
        <w:gridCol w:w="901"/>
        <w:gridCol w:w="901"/>
        <w:gridCol w:w="992"/>
      </w:tblGrid>
      <w:tr w:rsidR="009D7C81" w:rsidRPr="00CA196C" w:rsidTr="00CE58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Indicateur</w:t>
            </w:r>
            <w:r w:rsidRPr="00CA196C">
              <w:rPr>
                <w:rFonts w:ascii="Bookman Old Style" w:eastAsia="Times New Roman" w:hAnsi="Bookman Old Style" w:cs="Times New Roman"/>
                <w:bCs w:val="0"/>
                <w:sz w:val="20"/>
                <w:szCs w:val="20"/>
                <w:lang w:eastAsia="fr-BE"/>
              </w:rPr>
              <w:t>s</w:t>
            </w:r>
          </w:p>
        </w:tc>
        <w:tc>
          <w:tcPr>
            <w:tcW w:w="992" w:type="dxa"/>
            <w:hideMark/>
          </w:tcPr>
          <w:p w:rsidR="009D7C81" w:rsidRPr="00CA196C" w:rsidRDefault="009D7C81" w:rsidP="00CE5851">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lang w:eastAsia="fr-BE"/>
              </w:rPr>
            </w:pPr>
            <w:r w:rsidRPr="00CA196C">
              <w:rPr>
                <w:rFonts w:ascii="Bookman Old Style" w:eastAsia="Times New Roman" w:hAnsi="Bookman Old Style" w:cs="Times New Roman"/>
                <w:sz w:val="20"/>
                <w:szCs w:val="20"/>
                <w:lang w:eastAsia="fr-BE"/>
              </w:rPr>
              <w:t>2011</w:t>
            </w:r>
          </w:p>
        </w:tc>
        <w:tc>
          <w:tcPr>
            <w:tcW w:w="851" w:type="dxa"/>
            <w:hideMark/>
          </w:tcPr>
          <w:p w:rsidR="009D7C81" w:rsidRPr="00CA196C" w:rsidRDefault="009D7C81" w:rsidP="00CE5851">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lang w:eastAsia="fr-BE"/>
              </w:rPr>
            </w:pPr>
            <w:r w:rsidRPr="00CA196C">
              <w:rPr>
                <w:rFonts w:ascii="Bookman Old Style" w:eastAsia="Times New Roman" w:hAnsi="Bookman Old Style" w:cs="Times New Roman"/>
                <w:sz w:val="20"/>
                <w:szCs w:val="20"/>
                <w:lang w:eastAsia="fr-BE"/>
              </w:rPr>
              <w:t>2012</w:t>
            </w:r>
          </w:p>
        </w:tc>
        <w:tc>
          <w:tcPr>
            <w:tcW w:w="850" w:type="dxa"/>
            <w:hideMark/>
          </w:tcPr>
          <w:p w:rsidR="009D7C81" w:rsidRPr="00CA196C" w:rsidRDefault="009D7C81" w:rsidP="00CE5851">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lang w:eastAsia="fr-BE"/>
              </w:rPr>
            </w:pPr>
            <w:r w:rsidRPr="00CA196C">
              <w:rPr>
                <w:rFonts w:ascii="Bookman Old Style" w:eastAsia="Times New Roman" w:hAnsi="Bookman Old Style" w:cs="Times New Roman"/>
                <w:sz w:val="20"/>
                <w:szCs w:val="20"/>
                <w:lang w:eastAsia="fr-BE"/>
              </w:rPr>
              <w:t>2013</w:t>
            </w:r>
          </w:p>
        </w:tc>
        <w:tc>
          <w:tcPr>
            <w:tcW w:w="992" w:type="dxa"/>
            <w:hideMark/>
          </w:tcPr>
          <w:p w:rsidR="009D7C81" w:rsidRPr="00CA196C" w:rsidRDefault="009D7C81" w:rsidP="00CE5851">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lang w:eastAsia="fr-BE"/>
              </w:rPr>
            </w:pPr>
            <w:r w:rsidRPr="00CA196C">
              <w:rPr>
                <w:rFonts w:ascii="Bookman Old Style" w:eastAsia="Times New Roman" w:hAnsi="Bookman Old Style" w:cs="Times New Roman"/>
                <w:sz w:val="20"/>
                <w:szCs w:val="20"/>
                <w:lang w:eastAsia="fr-BE"/>
              </w:rPr>
              <w:t>2014</w:t>
            </w:r>
          </w:p>
        </w:tc>
      </w:tr>
      <w:tr w:rsidR="009D7C81" w:rsidRPr="00CA196C" w:rsidTr="00CE585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Arriérés judicaires pour les Juridictions supérieures</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58.787</w:t>
            </w:r>
          </w:p>
        </w:tc>
        <w:tc>
          <w:tcPr>
            <w:tcW w:w="851"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63.214</w:t>
            </w:r>
          </w:p>
        </w:tc>
        <w:tc>
          <w:tcPr>
            <w:tcW w:w="850"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67.223</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66.692</w:t>
            </w:r>
          </w:p>
        </w:tc>
      </w:tr>
      <w:tr w:rsidR="009D7C81" w:rsidRPr="00CA196C" w:rsidTr="00CE5851">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Arriérés judiciaires à la Cour Suprême </w:t>
            </w:r>
          </w:p>
        </w:tc>
        <w:tc>
          <w:tcPr>
            <w:tcW w:w="992"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6835</w:t>
            </w:r>
          </w:p>
        </w:tc>
        <w:tc>
          <w:tcPr>
            <w:tcW w:w="851"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7756</w:t>
            </w:r>
          </w:p>
        </w:tc>
        <w:tc>
          <w:tcPr>
            <w:tcW w:w="850"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10 053</w:t>
            </w:r>
          </w:p>
        </w:tc>
        <w:tc>
          <w:tcPr>
            <w:tcW w:w="992"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4 336</w:t>
            </w:r>
          </w:p>
        </w:tc>
      </w:tr>
      <w:tr w:rsidR="009D7C81" w:rsidRPr="00CA196C" w:rsidTr="00CE58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Population carcérale </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val="en-US" w:eastAsia="fr-BE"/>
              </w:rPr>
            </w:pPr>
            <w:r w:rsidRPr="00CA196C">
              <w:rPr>
                <w:rFonts w:ascii="Bookman Old Style" w:eastAsia="Times New Roman" w:hAnsi="Bookman Old Style" w:cs="Times New Roman"/>
                <w:sz w:val="20"/>
                <w:szCs w:val="20"/>
                <w:lang w:val="en-US" w:eastAsia="fr-BE"/>
              </w:rPr>
              <w:t>10 432</w:t>
            </w:r>
          </w:p>
        </w:tc>
        <w:tc>
          <w:tcPr>
            <w:tcW w:w="851"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6 369</w:t>
            </w:r>
          </w:p>
        </w:tc>
        <w:tc>
          <w:tcPr>
            <w:tcW w:w="850"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7 854</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7 566</w:t>
            </w:r>
          </w:p>
        </w:tc>
      </w:tr>
      <w:tr w:rsidR="009D7C81" w:rsidRPr="00CA196C" w:rsidTr="00CE58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Taux d’occupation des établissements pénitentiaires </w:t>
            </w:r>
          </w:p>
        </w:tc>
        <w:tc>
          <w:tcPr>
            <w:tcW w:w="992"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257,6</w:t>
            </w:r>
          </w:p>
        </w:tc>
        <w:tc>
          <w:tcPr>
            <w:tcW w:w="851"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159,7</w:t>
            </w:r>
          </w:p>
        </w:tc>
        <w:tc>
          <w:tcPr>
            <w:tcW w:w="850"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193,7</w:t>
            </w:r>
          </w:p>
        </w:tc>
        <w:tc>
          <w:tcPr>
            <w:tcW w:w="992"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186,8</w:t>
            </w:r>
          </w:p>
        </w:tc>
      </w:tr>
      <w:tr w:rsidR="009D7C81" w:rsidRPr="00CA196C" w:rsidTr="00CE58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Nombre des femmes dans les prisons</w:t>
            </w:r>
          </w:p>
        </w:tc>
        <w:tc>
          <w:tcPr>
            <w:tcW w:w="992" w:type="dxa"/>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432</w:t>
            </w:r>
          </w:p>
        </w:tc>
        <w:tc>
          <w:tcPr>
            <w:tcW w:w="851" w:type="dxa"/>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146</w:t>
            </w:r>
          </w:p>
        </w:tc>
        <w:tc>
          <w:tcPr>
            <w:tcW w:w="850" w:type="dxa"/>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363</w:t>
            </w:r>
          </w:p>
        </w:tc>
        <w:tc>
          <w:tcPr>
            <w:tcW w:w="992" w:type="dxa"/>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375</w:t>
            </w:r>
          </w:p>
        </w:tc>
      </w:tr>
      <w:tr w:rsidR="009D7C81" w:rsidRPr="00CA196C" w:rsidTr="00CE58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Nombre des mineurs dans les prisons </w:t>
            </w:r>
          </w:p>
        </w:tc>
        <w:tc>
          <w:tcPr>
            <w:tcW w:w="992"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392</w:t>
            </w:r>
          </w:p>
        </w:tc>
        <w:tc>
          <w:tcPr>
            <w:tcW w:w="851"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148</w:t>
            </w:r>
          </w:p>
        </w:tc>
        <w:tc>
          <w:tcPr>
            <w:tcW w:w="850"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219</w:t>
            </w:r>
          </w:p>
        </w:tc>
        <w:tc>
          <w:tcPr>
            <w:tcW w:w="992" w:type="dxa"/>
            <w:hideMark/>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158</w:t>
            </w:r>
          </w:p>
        </w:tc>
      </w:tr>
      <w:tr w:rsidR="009D7C81" w:rsidRPr="00CA196C" w:rsidTr="00CE585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hideMark/>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 xml:space="preserve"> Rendement mensuel des magistrats </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3,1</w:t>
            </w:r>
          </w:p>
        </w:tc>
        <w:tc>
          <w:tcPr>
            <w:tcW w:w="851"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4,4</w:t>
            </w:r>
          </w:p>
        </w:tc>
        <w:tc>
          <w:tcPr>
            <w:tcW w:w="850"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4,9</w:t>
            </w:r>
          </w:p>
        </w:tc>
        <w:tc>
          <w:tcPr>
            <w:tcW w:w="992" w:type="dxa"/>
            <w:hideMark/>
          </w:tcPr>
          <w:p w:rsidR="009D7C81" w:rsidRPr="00CA196C" w:rsidRDefault="009D7C81" w:rsidP="00CE5851">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8,2</w:t>
            </w:r>
          </w:p>
        </w:tc>
      </w:tr>
      <w:tr w:rsidR="009D7C81" w:rsidRPr="00CA196C" w:rsidTr="00CE585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9D7C81" w:rsidRPr="00CA196C" w:rsidRDefault="009D7C81" w:rsidP="00CE5851">
            <w:pPr>
              <w:spacing w:after="200"/>
              <w:jc w:val="both"/>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Taux d’exécution des jugements rendus (%)</w:t>
            </w:r>
          </w:p>
        </w:tc>
        <w:tc>
          <w:tcPr>
            <w:tcW w:w="992"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16</w:t>
            </w:r>
          </w:p>
        </w:tc>
        <w:tc>
          <w:tcPr>
            <w:tcW w:w="851"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18</w:t>
            </w:r>
          </w:p>
        </w:tc>
        <w:tc>
          <w:tcPr>
            <w:tcW w:w="850"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83,2</w:t>
            </w:r>
          </w:p>
        </w:tc>
        <w:tc>
          <w:tcPr>
            <w:tcW w:w="992" w:type="dxa"/>
          </w:tcPr>
          <w:p w:rsidR="009D7C81" w:rsidRPr="00CA196C" w:rsidRDefault="009D7C81" w:rsidP="00CE5851">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lang w:eastAsia="fr-BE"/>
              </w:rPr>
            </w:pPr>
            <w:r w:rsidRPr="00CA196C">
              <w:rPr>
                <w:rFonts w:ascii="Bookman Old Style" w:eastAsia="Times New Roman" w:hAnsi="Bookman Old Style" w:cs="Times New Roman"/>
                <w:sz w:val="20"/>
                <w:szCs w:val="20"/>
                <w:lang w:eastAsia="fr-BE"/>
              </w:rPr>
              <w:t>83,2</w:t>
            </w:r>
          </w:p>
        </w:tc>
      </w:tr>
    </w:tbl>
    <w:p w:rsidR="009D7C81" w:rsidRPr="00CA196C" w:rsidRDefault="009D7C81" w:rsidP="009D7C81">
      <w:p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  </w:t>
      </w:r>
      <w:r w:rsidRPr="00CA196C">
        <w:rPr>
          <w:rFonts w:ascii="Bookman Old Style" w:hAnsi="Bookman Old Style" w:cs="Times New Roman"/>
          <w:sz w:val="24"/>
          <w:szCs w:val="24"/>
          <w:u w:val="single"/>
        </w:rPr>
        <w:t>Source</w:t>
      </w:r>
      <w:r w:rsidRPr="00CA196C">
        <w:rPr>
          <w:rFonts w:ascii="Bookman Old Style" w:hAnsi="Bookman Old Style" w:cs="Times New Roman"/>
          <w:sz w:val="24"/>
          <w:szCs w:val="24"/>
        </w:rPr>
        <w:t>: Politique sectorielle du Ministère de la Justice, 2016-2020</w:t>
      </w:r>
    </w:p>
    <w:p w:rsidR="009D7C81" w:rsidRPr="00CA196C" w:rsidRDefault="009D7C81" w:rsidP="009D7C81">
      <w:pPr>
        <w:pStyle w:val="Paragraphedeliste"/>
        <w:numPr>
          <w:ilvl w:val="0"/>
          <w:numId w:val="5"/>
        </w:numPr>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Malgré les avancées réalisées dans ce secteur, des défis importants restent: (i) la réduction des arriérés judiciaires dans les juridictions supérieures ; (ii) le désengorgement des prisons ; (iii) le renforcement du cadre légal ; (iv) la mise en œuvre effective de la stratégie nationale  d’« aide légale » ; (v) la construction des infrastructures judiciaires et pénitentiaires ; (vi) la modernisation de la gestion du service des titres fonciers ; (vii) la vulgarisation et traduction des lois et règlements en vigueur en Kirundi et (viii) le renforcement des capacités des acteurs de la justice.</w:t>
      </w:r>
    </w:p>
    <w:p w:rsidR="009D7C81" w:rsidRPr="00CA196C" w:rsidRDefault="009D7C81" w:rsidP="009D7C81">
      <w:pPr>
        <w:spacing w:before="160" w:after="120" w:line="240" w:lineRule="auto"/>
        <w:ind w:left="360"/>
        <w:contextualSpacing/>
        <w:jc w:val="both"/>
        <w:rPr>
          <w:rFonts w:ascii="Bookman Old Style" w:hAnsi="Bookman Old Style" w:cs="Times New Roman"/>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imes New Roman" w:hAnsi="Bookman Old Style" w:cs="Times New Roman"/>
          <w:sz w:val="24"/>
          <w:szCs w:val="24"/>
          <w:lang w:eastAsia="fr-FR"/>
        </w:rPr>
        <w:t xml:space="preserve">Au niveau de la politique de </w:t>
      </w:r>
      <w:r w:rsidRPr="00CA196C">
        <w:rPr>
          <w:rFonts w:ascii="Bookman Old Style" w:eastAsia="Times New Roman" w:hAnsi="Bookman Old Style" w:cs="Times New Roman"/>
          <w:b/>
          <w:sz w:val="24"/>
          <w:szCs w:val="24"/>
          <w:lang w:eastAsia="fr-FR"/>
        </w:rPr>
        <w:t>promotion des droits humains</w:t>
      </w:r>
      <w:r w:rsidRPr="00CA196C">
        <w:rPr>
          <w:rFonts w:ascii="Bookman Old Style" w:eastAsia="Times New Roman" w:hAnsi="Bookman Old Style" w:cs="Times New Roman"/>
          <w:sz w:val="24"/>
          <w:szCs w:val="24"/>
          <w:lang w:eastAsia="fr-FR"/>
        </w:rPr>
        <w:t xml:space="preserve">, des instruments et structures institutionnels de mise en œuvre ont été conçus. Ainsi, les performances enregistrées entre 2012-2016 concernent la prise en </w:t>
      </w:r>
      <w:r w:rsidRPr="00CA196C">
        <w:rPr>
          <w:rFonts w:ascii="Bookman Old Style" w:hAnsi="Bookman Old Style" w:cs="Times New Roman"/>
          <w:sz w:val="24"/>
          <w:szCs w:val="24"/>
        </w:rPr>
        <w:t>charge d</w:t>
      </w:r>
      <w:r w:rsidR="009B6CBD">
        <w:rPr>
          <w:rFonts w:ascii="Bookman Old Style" w:hAnsi="Bookman Old Style" w:cs="Times New Roman"/>
          <w:sz w:val="24"/>
          <w:szCs w:val="24"/>
        </w:rPr>
        <w:t>e 73</w:t>
      </w:r>
      <w:r w:rsidR="004322A9">
        <w:rPr>
          <w:rFonts w:ascii="Bookman Old Style" w:hAnsi="Bookman Old Style" w:cs="Times New Roman"/>
          <w:sz w:val="24"/>
          <w:szCs w:val="24"/>
        </w:rPr>
        <w:t xml:space="preserve"> </w:t>
      </w:r>
      <w:r w:rsidR="009B6CBD">
        <w:rPr>
          <w:rFonts w:ascii="Bookman Old Style" w:hAnsi="Bookman Old Style" w:cs="Times New Roman"/>
          <w:sz w:val="24"/>
          <w:szCs w:val="24"/>
        </w:rPr>
        <w:t>452 victimes de Violences sexuelles B</w:t>
      </w:r>
      <w:r w:rsidRPr="00CA196C">
        <w:rPr>
          <w:rFonts w:ascii="Bookman Old Style" w:hAnsi="Bookman Old Style" w:cs="Times New Roman"/>
          <w:sz w:val="24"/>
          <w:szCs w:val="24"/>
        </w:rPr>
        <w:t>asées sur le Genre, l’assistance de 54</w:t>
      </w:r>
      <w:r w:rsidR="004322A9">
        <w:rPr>
          <w:rFonts w:ascii="Bookman Old Style" w:hAnsi="Bookman Old Style" w:cs="Times New Roman"/>
          <w:sz w:val="24"/>
          <w:szCs w:val="24"/>
        </w:rPr>
        <w:t xml:space="preserve"> </w:t>
      </w:r>
      <w:r w:rsidRPr="00CA196C">
        <w:rPr>
          <w:rFonts w:ascii="Bookman Old Style" w:hAnsi="Bookman Old Style" w:cs="Times New Roman"/>
          <w:sz w:val="24"/>
          <w:szCs w:val="24"/>
        </w:rPr>
        <w:t>230 femmes vulnérables  et l’octroi de micro-crédits à 783  associations féminines qui mènent des activités génératrices de revenus (AGR). Les défis constatés dans ce domaine sont essentiellement : (i) l’encadrement et la mise en place des structures d’accueil des enfants de la rue, des personnes âgées et celles vivant avec le handicap ; (ii) la faible assistance aux personnes vulnérables  et (iii) la méconnaissance des droits humains.</w:t>
      </w:r>
    </w:p>
    <w:p w:rsidR="009D7C81" w:rsidRPr="00CA196C" w:rsidRDefault="009D7C81" w:rsidP="009D7C81">
      <w:pPr>
        <w:spacing w:line="240" w:lineRule="auto"/>
        <w:ind w:left="720"/>
        <w:contextualSpacing/>
        <w:rPr>
          <w:rFonts w:ascii="Bookman Old Style" w:hAnsi="Bookman Old Style" w:cs="Times New Roman"/>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Dans le domaine de la </w:t>
      </w:r>
      <w:r w:rsidRPr="00CA196C">
        <w:rPr>
          <w:rFonts w:ascii="Bookman Old Style" w:hAnsi="Bookman Old Style" w:cs="Times New Roman"/>
          <w:b/>
          <w:sz w:val="24"/>
          <w:szCs w:val="24"/>
        </w:rPr>
        <w:t>gouvernance administrative</w:t>
      </w:r>
      <w:r w:rsidRPr="00CA196C">
        <w:rPr>
          <w:rFonts w:ascii="Bookman Old Style" w:hAnsi="Bookman Old Style" w:cs="Times New Roman"/>
          <w:sz w:val="24"/>
          <w:szCs w:val="24"/>
        </w:rPr>
        <w:t>, des réformes inst</w:t>
      </w:r>
      <w:r w:rsidR="009B6CBD">
        <w:rPr>
          <w:rFonts w:ascii="Bookman Old Style" w:hAnsi="Bookman Old Style" w:cs="Times New Roman"/>
          <w:sz w:val="24"/>
          <w:szCs w:val="24"/>
        </w:rPr>
        <w:t>itutionnelles dans la fonction p</w:t>
      </w:r>
      <w:r w:rsidRPr="00CA196C">
        <w:rPr>
          <w:rFonts w:ascii="Bookman Old Style" w:hAnsi="Bookman Old Style" w:cs="Times New Roman"/>
          <w:sz w:val="24"/>
          <w:szCs w:val="24"/>
        </w:rPr>
        <w:t xml:space="preserve">ublique sont en cours notamment le </w:t>
      </w:r>
      <w:r w:rsidRPr="00CA196C">
        <w:rPr>
          <w:rFonts w:ascii="Bookman Old Style" w:hAnsi="Bookman Old Style" w:cs="Times New Roman"/>
          <w:sz w:val="24"/>
          <w:szCs w:val="24"/>
        </w:rPr>
        <w:lastRenderedPageBreak/>
        <w:t>document de politique salariale équitable et harmonisée, l’amélioration de l’outil de gestion des carrières, la création et l’opérationnalisation de l’Office Nationale de Pensions et Risques professionnels (ONPR) ainsi que la création de 5 guichets uniques provinciaux pilotes pour faciliter l’accès aux documents administratifs. Les défis constatés dans ce secteur sont essentiellement : (i) la décentralisation de la fonction publique ; (ii) une administration publique performante ; (iii) l’équipement adapté ; (iv) l’utilisation des technologies modernes au sein de l’administration publique et (v) l’équité salariale.</w:t>
      </w:r>
      <w:bookmarkStart w:id="103" w:name="_Toc499201589"/>
    </w:p>
    <w:p w:rsidR="009D7C81" w:rsidRPr="00CA196C" w:rsidRDefault="009D7C81" w:rsidP="009D7C81">
      <w:pPr>
        <w:spacing w:line="240" w:lineRule="auto"/>
        <w:ind w:left="720"/>
        <w:contextualSpacing/>
        <w:rPr>
          <w:rFonts w:ascii="Bookman Old Style" w:eastAsiaTheme="majorEastAsia" w:hAnsi="Bookman Old Style" w:cs="Times New Roman"/>
          <w:b/>
          <w:bCs/>
          <w:i/>
          <w:iCs/>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En</w:t>
      </w:r>
      <w:r w:rsidR="009B6CBD">
        <w:rPr>
          <w:rFonts w:ascii="Bookman Old Style" w:eastAsiaTheme="majorEastAsia" w:hAnsi="Bookman Old Style" w:cs="Times New Roman"/>
          <w:b/>
          <w:bCs/>
          <w:i/>
          <w:iCs/>
          <w:sz w:val="24"/>
          <w:szCs w:val="24"/>
        </w:rPr>
        <w:t xml:space="preserve"> matière de g</w:t>
      </w:r>
      <w:r w:rsidRPr="00CA196C">
        <w:rPr>
          <w:rFonts w:ascii="Bookman Old Style" w:eastAsiaTheme="majorEastAsia" w:hAnsi="Bookman Old Style" w:cs="Times New Roman"/>
          <w:b/>
          <w:bCs/>
          <w:i/>
          <w:iCs/>
          <w:sz w:val="24"/>
          <w:szCs w:val="24"/>
        </w:rPr>
        <w:t>enre et autonomisation de la femme</w:t>
      </w:r>
      <w:bookmarkEnd w:id="103"/>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 xml:space="preserve">le Gouvernement a décidé de renforcer son engagement à éliminer les inégalités et l’exclusion liées au genre en actualisant la Politique Nationale Genre de 2003 et il y a eu des avancées dans les domaines de l’amélioration des conditions de vie de la femme et de la défense de ses droits. Cependant, des défis persistent: (i) la parité de genre dans les instances décisionnelles ; (ii) les perceptions sociales et idéologiques et (iii) l’intégration du genre et stéréotypes dans les programmes sectoriels et les rapports sociaux. </w:t>
      </w:r>
      <w:bookmarkStart w:id="104" w:name="_Toc499201590"/>
    </w:p>
    <w:p w:rsidR="009D7C81" w:rsidRPr="00CA196C" w:rsidRDefault="009D7C81" w:rsidP="009D7C81">
      <w:pPr>
        <w:spacing w:line="240" w:lineRule="auto"/>
        <w:ind w:left="720"/>
        <w:contextualSpacing/>
        <w:rPr>
          <w:rFonts w:ascii="Bookman Old Style" w:eastAsiaTheme="majorEastAsia" w:hAnsi="Bookman Old Style" w:cs="Times New Roman"/>
          <w:b/>
          <w:bCs/>
          <w:i/>
          <w:iCs/>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Dans le cadre de la décentralisation et de développement local</w:t>
      </w:r>
      <w:bookmarkEnd w:id="104"/>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d’importantes avancées ont été enregistrées surtout au niveau légal et institutionnel, de la gouvernance locale, du développement communautaire, de la décentralisation financière, administrative et politique. Les résultats atteints dans ce cadre portent sur le redécoupage administratif des provinces et des communes qui a conduit à la création de la province Rumonge, à la délimitation et au regroupement des communes de la Mairie de Bujumbura en trois communes (Muha, Ntahangwa et Mukaza). Des séances de renforcement des capacités des acteurs locaux ont été tenues notamment en faveur du personnel administratif et technique des communes sur la gestion des finances communales, en particulier l’application des procédures budgétaires et comptables, la passation des marchés publics, la maîtrise d’ouvrage, la micro finance ainsi que le suivi-évaluation. Dans le cadre de décentralisation financière, le transfert du budget de développement au Communes est passé de  50 millions de FBU à 500 millions de FBU par commune. Les défis à surmonter sont notamment: (i) le transfert des compétences aux communes ; (ii) la mobilisation des fonds propres pour les investissements communaux ; (iii) la cohérence entre la planification centrale et la planification locale ; (iv) le renforcement du cadre institutionnel de coordination du processus de planification, de progr</w:t>
      </w:r>
      <w:bookmarkStart w:id="105" w:name="_Toc430717162"/>
      <w:r w:rsidRPr="00CA196C">
        <w:rPr>
          <w:rFonts w:ascii="Bookman Old Style" w:hAnsi="Bookman Old Style" w:cs="Times New Roman"/>
          <w:sz w:val="24"/>
          <w:szCs w:val="24"/>
        </w:rPr>
        <w:t>ammation et de suivi-évaluation ; (v) la redevabilité des élus envers la population ; (vi) la viabilité économique des communes et (vii) les capacités locales d’élaboration et de mise en œuvre des Plans Communaux de Développement Communautaire(PCDC).</w:t>
      </w:r>
      <w:bookmarkStart w:id="106" w:name="_Toc499201591"/>
    </w:p>
    <w:p w:rsidR="009D7C81" w:rsidRPr="00CA196C" w:rsidRDefault="009D7C81" w:rsidP="009D7C81">
      <w:pPr>
        <w:spacing w:before="160" w:after="120" w:line="240" w:lineRule="auto"/>
        <w:ind w:left="360"/>
        <w:contextualSpacing/>
        <w:jc w:val="both"/>
        <w:rPr>
          <w:rFonts w:ascii="Bookman Old Style" w:hAnsi="Bookman Old Style" w:cs="Times New Roman"/>
          <w:sz w:val="24"/>
          <w:szCs w:val="24"/>
        </w:rPr>
      </w:pPr>
    </w:p>
    <w:p w:rsidR="009D7C81" w:rsidRPr="00CA196C" w:rsidRDefault="009D7C81" w:rsidP="009D7C81">
      <w:pPr>
        <w:numPr>
          <w:ilvl w:val="0"/>
          <w:numId w:val="5"/>
        </w:numPr>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Au niveau de la lutte contre la corruption et les infractions connexes</w:t>
      </w:r>
      <w:bookmarkEnd w:id="106"/>
      <w:r w:rsidRPr="00CA196C">
        <w:rPr>
          <w:rFonts w:ascii="Bookman Old Style" w:eastAsiaTheme="majorEastAsia" w:hAnsi="Bookman Old Style" w:cs="Times New Roman"/>
          <w:b/>
          <w:bCs/>
          <w:i/>
          <w:iCs/>
          <w:sz w:val="24"/>
          <w:szCs w:val="24"/>
        </w:rPr>
        <w:t xml:space="preserve">, </w:t>
      </w:r>
      <w:r w:rsidRPr="00CA196C">
        <w:rPr>
          <w:rFonts w:ascii="Bookman Old Style" w:hAnsi="Bookman Old Style" w:cs="Times New Roman"/>
          <w:sz w:val="24"/>
          <w:szCs w:val="24"/>
        </w:rPr>
        <w:t xml:space="preserve">le Gouvernement a mis en place un cadre légal et institutionnel de prévention et de répression des crimes économiques. </w:t>
      </w:r>
      <w:r w:rsidRPr="00CA196C">
        <w:rPr>
          <w:rFonts w:ascii="Bookman Old Style" w:hAnsi="Bookman Old Style" w:cs="Times New Roman"/>
          <w:sz w:val="24"/>
          <w:szCs w:val="24"/>
        </w:rPr>
        <w:lastRenderedPageBreak/>
        <w:t>L’opérationnalisation des institutions a permis d’atteindre des résultats importants.</w:t>
      </w:r>
    </w:p>
    <w:p w:rsidR="009D7C81" w:rsidRPr="00CA196C" w:rsidRDefault="009D7C81" w:rsidP="009D7C81">
      <w:pPr>
        <w:spacing w:before="160" w:after="120" w:line="240" w:lineRule="auto"/>
        <w:jc w:val="both"/>
        <w:rPr>
          <w:rFonts w:ascii="Bookman Old Style" w:hAnsi="Bookman Old Style" w:cs="Times New Roman"/>
          <w:sz w:val="24"/>
          <w:szCs w:val="24"/>
        </w:rPr>
      </w:pPr>
    </w:p>
    <w:p w:rsidR="009D7C81" w:rsidRPr="00CA196C" w:rsidRDefault="009D7C81" w:rsidP="009D7C81">
      <w:pPr>
        <w:pStyle w:val="Titre"/>
        <w:rPr>
          <w:rFonts w:ascii="Bookman Old Style" w:hAnsi="Bookman Old Style"/>
        </w:rPr>
      </w:pPr>
      <w:bookmarkStart w:id="107" w:name="_Toc511076241"/>
      <w:bookmarkStart w:id="108" w:name="_Toc511080871"/>
      <w:bookmarkStart w:id="109" w:name="_Toc511081547"/>
      <w:r w:rsidRPr="00CA196C">
        <w:rPr>
          <w:rFonts w:ascii="Bookman Old Style" w:hAnsi="Bookman Old Style"/>
        </w:rPr>
        <w:t>Tableau 2. Résultats de l’opérationnalisation des institutions publiques de lutte contre les malversations économiques et infractions connexes</w:t>
      </w:r>
      <w:bookmarkEnd w:id="107"/>
      <w:bookmarkEnd w:id="108"/>
      <w:bookmarkEnd w:id="109"/>
    </w:p>
    <w:bookmarkEnd w:id="105"/>
    <w:p w:rsidR="009D7C81" w:rsidRPr="00CA196C" w:rsidRDefault="009D7C81" w:rsidP="009D7C81">
      <w:pPr>
        <w:spacing w:after="0" w:line="240" w:lineRule="auto"/>
        <w:jc w:val="center"/>
        <w:rPr>
          <w:rFonts w:ascii="Bookman Old Style" w:hAnsi="Bookman Old Style" w:cs="Times New Roman"/>
          <w:i/>
          <w:sz w:val="24"/>
          <w:szCs w:val="24"/>
        </w:rPr>
      </w:pPr>
      <w:r w:rsidRPr="00CA196C">
        <w:rPr>
          <w:rFonts w:ascii="Bookman Old Style" w:hAnsi="Bookman Old Style" w:cs="Times New Roman"/>
          <w:noProof/>
          <w:sz w:val="24"/>
          <w:szCs w:val="24"/>
          <w:lang w:eastAsia="fr-FR"/>
        </w:rPr>
        <w:drawing>
          <wp:inline distT="0" distB="0" distL="0" distR="0">
            <wp:extent cx="5619750" cy="2247900"/>
            <wp:effectExtent l="38100" t="38100" r="38100" b="3810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cstate="print"/>
                    <a:srcRect/>
                    <a:stretch>
                      <a:fillRect/>
                    </a:stretch>
                  </pic:blipFill>
                  <pic:spPr bwMode="auto">
                    <a:xfrm>
                      <a:off x="0" y="0"/>
                      <a:ext cx="5638801" cy="2255520"/>
                    </a:xfrm>
                    <a:prstGeom prst="rect">
                      <a:avLst/>
                    </a:prstGeom>
                    <a:noFill/>
                    <a:ln w="28575" cmpd="sng">
                      <a:solidFill>
                        <a:srgbClr val="000000"/>
                      </a:solidFill>
                      <a:miter lim="800000"/>
                      <a:headEnd/>
                      <a:tailEnd/>
                    </a:ln>
                    <a:effectLst/>
                  </pic:spPr>
                </pic:pic>
              </a:graphicData>
            </a:graphic>
          </wp:inline>
        </w:drawing>
      </w:r>
    </w:p>
    <w:p w:rsidR="009D7C81" w:rsidRPr="00CA196C" w:rsidRDefault="009D7C81" w:rsidP="009D7C81">
      <w:pPr>
        <w:spacing w:before="160" w:after="120" w:line="240" w:lineRule="auto"/>
        <w:jc w:val="both"/>
        <w:rPr>
          <w:rFonts w:ascii="Bookman Old Style" w:hAnsi="Bookman Old Style" w:cs="Times New Roman"/>
          <w:b/>
          <w:i/>
          <w:sz w:val="24"/>
          <w:szCs w:val="24"/>
        </w:rPr>
      </w:pPr>
      <w:r w:rsidRPr="00CA196C">
        <w:rPr>
          <w:rFonts w:ascii="Bookman Old Style" w:hAnsi="Bookman Old Style" w:cs="Times New Roman"/>
          <w:sz w:val="24"/>
          <w:szCs w:val="24"/>
          <w:u w:val="single"/>
        </w:rPr>
        <w:t>Source </w:t>
      </w:r>
      <w:r w:rsidRPr="00CA196C">
        <w:rPr>
          <w:rFonts w:ascii="Bookman Old Style" w:hAnsi="Bookman Old Style" w:cs="Times New Roman"/>
          <w:sz w:val="24"/>
          <w:szCs w:val="24"/>
        </w:rPr>
        <w:t>: Rapports annuels des institutions publiques de lutte contre la corruption</w:t>
      </w:r>
      <w:r w:rsidRPr="00CA196C">
        <w:rPr>
          <w:rFonts w:ascii="Bookman Old Style" w:hAnsi="Bookman Old Style" w:cs="Times New Roman"/>
          <w:b/>
          <w:i/>
          <w:sz w:val="24"/>
          <w:szCs w:val="24"/>
        </w:rPr>
        <w:t>.</w:t>
      </w:r>
    </w:p>
    <w:p w:rsidR="009D7C81" w:rsidRPr="00CA196C" w:rsidRDefault="009D7C81" w:rsidP="009D7C81">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Malgré ces avancées dans ce domaine, des défis restent : (i) le changement de mentalité et de comportement de la population ; (ii) la révision du cadre légal de lutte contre la corruption et les infractions connexes ; (iii)  l'efficacité des comités locaux de lutte contre la corruption et les malversations économiques ; (iv) l’élimination de la corruption et de la fraude dans les services tant du secteur public que privé et (v) la  disponibilité des données statistiques officialisées sur une base annuelle (outil informatique, personnel qualifié, …). </w:t>
      </w:r>
      <w:bookmarkStart w:id="110" w:name="_Toc499201592"/>
    </w:p>
    <w:p w:rsidR="009D7C81" w:rsidRPr="00CA196C" w:rsidRDefault="009D7C81" w:rsidP="009D7C81">
      <w:p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 </w:t>
      </w:r>
    </w:p>
    <w:p w:rsidR="009D7C81" w:rsidRPr="00CA196C" w:rsidRDefault="009D7C81" w:rsidP="009D7C81">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heme="majorEastAsia" w:hAnsi="Bookman Old Style" w:cs="Times New Roman"/>
          <w:b/>
          <w:bCs/>
          <w:i/>
          <w:iCs/>
          <w:sz w:val="24"/>
          <w:szCs w:val="24"/>
        </w:rPr>
        <w:t>En matière de défense et sécurité</w:t>
      </w:r>
      <w:bookmarkEnd w:id="110"/>
      <w:r w:rsidRPr="00CA196C">
        <w:rPr>
          <w:rFonts w:ascii="Bookman Old Style" w:eastAsiaTheme="majorEastAsia" w:hAnsi="Bookman Old Style" w:cs="Times New Roman"/>
          <w:b/>
          <w:bCs/>
          <w:i/>
          <w:iCs/>
          <w:sz w:val="24"/>
          <w:szCs w:val="24"/>
        </w:rPr>
        <w:t>, l</w:t>
      </w:r>
      <w:r w:rsidRPr="00CA196C">
        <w:rPr>
          <w:rFonts w:ascii="Bookman Old Style" w:hAnsi="Bookman Old Style" w:cs="Times New Roman"/>
          <w:sz w:val="24"/>
          <w:szCs w:val="24"/>
        </w:rPr>
        <w:t xml:space="preserve">a situation s’est considérablement améliorée sur l’ensemble du territoire national grâce à la mise en œuvre réussie du plan d’actions prioritaires du programme de consolidation de la paix et à l’effectivité de l’intégration des anciens belligérants au sein d’un même corps. La mise en place d’une police de proximité, efficace et au service de la population est devenue une réalité suite à l’adoption d’une stratégie de communication avec l’établissement d’un règlement d’ordre intérieur de la police nationale, d’un mécanisme de plaintes et de dénonciation et des comités mixtes de sécurité. Malgré ces avancées, le secteur de défense et de sécurité fait face à un certain nombre de défis: (i) l'actualisation du cadre légal et institutionnel des corps de défense et de sécurité ; (ii) le renforcement de la capacité opérationnelle des corps de défense et de sécurité; (iii) la prévention des risques, la gestion des catastrophes et la lutte contre le terrorisme, la criminalité et la prolifération des Armes Légères et de Petit Calibre (ALPC) ; (iv) le développement de la culture de planification et de redevabilité ; (v) le renforcement de la cohésion au sein des corps de </w:t>
      </w:r>
      <w:r w:rsidRPr="00CA196C">
        <w:rPr>
          <w:rFonts w:ascii="Bookman Old Style" w:hAnsi="Bookman Old Style" w:cs="Times New Roman"/>
          <w:sz w:val="24"/>
          <w:szCs w:val="24"/>
        </w:rPr>
        <w:lastRenderedPageBreak/>
        <w:t>défense et de sécurité ; (vi) la capitalisation des acquis des opérations de maintien de la paix et (vii) la poursuite de l'intégration du genre aux corps de défense et de sécurité.</w:t>
      </w:r>
    </w:p>
    <w:p w:rsidR="009D7C81" w:rsidRPr="00CA196C" w:rsidRDefault="009D7C81" w:rsidP="009D7C81">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BD2775">
      <w:pPr>
        <w:pStyle w:val="Titre3"/>
        <w:rPr>
          <w:rFonts w:ascii="Bookman Old Style" w:hAnsi="Bookman Old Style"/>
        </w:rPr>
      </w:pPr>
      <w:bookmarkStart w:id="111" w:name="_Toc511076181"/>
      <w:bookmarkStart w:id="112" w:name="_Toc511080872"/>
      <w:bookmarkStart w:id="113" w:name="_Toc511081383"/>
      <w:bookmarkStart w:id="114" w:name="_Toc511081548"/>
      <w:r w:rsidRPr="00CA196C">
        <w:rPr>
          <w:rFonts w:ascii="Bookman Old Style" w:hAnsi="Bookman Old Style"/>
        </w:rPr>
        <w:t>3.</w:t>
      </w:r>
      <w:r w:rsidR="007D3AFD" w:rsidRPr="00CA196C">
        <w:rPr>
          <w:rFonts w:ascii="Bookman Old Style" w:hAnsi="Bookman Old Style"/>
        </w:rPr>
        <w:t>1.</w:t>
      </w:r>
      <w:r w:rsidRPr="00CA196C">
        <w:rPr>
          <w:rFonts w:ascii="Bookman Old Style" w:hAnsi="Bookman Old Style"/>
        </w:rPr>
        <w:t>9. Coopération et intégration régionale</w:t>
      </w:r>
      <w:bookmarkEnd w:id="111"/>
      <w:bookmarkEnd w:id="112"/>
      <w:bookmarkEnd w:id="113"/>
      <w:bookmarkEnd w:id="114"/>
      <w:r w:rsidRPr="00CA196C">
        <w:rPr>
          <w:rFonts w:ascii="Bookman Old Style" w:hAnsi="Bookman Old Style"/>
        </w:rPr>
        <w:t xml:space="preserve"> </w:t>
      </w:r>
    </w:p>
    <w:p w:rsidR="00DE3A23" w:rsidRPr="00CA196C" w:rsidRDefault="00DE3A23" w:rsidP="00E92676">
      <w:pPr>
        <w:spacing w:line="240" w:lineRule="auto"/>
        <w:ind w:left="720"/>
        <w:contextualSpacing/>
        <w:rPr>
          <w:rFonts w:ascii="Bookman Old Style" w:eastAsia="Times New Roman" w:hAnsi="Bookman Old Style" w:cs="Times New Roman"/>
          <w:sz w:val="24"/>
          <w:szCs w:val="24"/>
          <w:lang w:eastAsia="fr-FR"/>
        </w:rPr>
      </w:pPr>
    </w:p>
    <w:p w:rsidR="00DE3A23" w:rsidRPr="00CA196C" w:rsidRDefault="00374D9B"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imes New Roman" w:hAnsi="Bookman Old Style" w:cs="Times New Roman"/>
          <w:sz w:val="24"/>
          <w:szCs w:val="24"/>
          <w:lang w:eastAsia="fr-FR"/>
        </w:rPr>
        <w:t>Dans ce domaine, l</w:t>
      </w:r>
      <w:r w:rsidR="00DE3A23" w:rsidRPr="00CA196C">
        <w:rPr>
          <w:rFonts w:ascii="Bookman Old Style" w:eastAsia="Times New Roman" w:hAnsi="Bookman Old Style" w:cs="Times New Roman"/>
          <w:sz w:val="24"/>
          <w:szCs w:val="24"/>
          <w:lang w:eastAsia="fr-FR"/>
        </w:rPr>
        <w:t xml:space="preserve">e Burundi a multiplié des contacts diplomatiques pour diversifier ses partenaires bilatéraux afin d'élargir la coopération. Il a noué des relations avec d’autres partenaires non classiques notamment: les Emirats Arabes Unis, le Brésil, etc. Avec les partenaires dits classiques, il a été question d’actualiser la coopération en renforçant les relations bilatérales et multilatérales existantes. Dans le cadre de la coopération multilatérale, le Burundi a continué à participer activement dans des organisations internationales dans lesquelles il est membre et a versé annuellement ses contributions financières dans plus de cinquante (50) organisations sous régionales, régionales et internationales. </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eastAsia="Times New Roman" w:hAnsi="Bookman Old Style" w:cs="Times New Roman"/>
          <w:sz w:val="24"/>
          <w:szCs w:val="24"/>
          <w:lang w:eastAsia="fr-FR"/>
        </w:rPr>
        <w:t xml:space="preserve">Les résultats de cette coopération tous azimuts ont été entre autres la facilitation de la circulation des personnes et des biens, l’élaboration, la signature et la mise en œuvre des accords et/ou des protocoles de coopération ou des memoranda d’entente ainsi que la réalisation de nombreux programmes dans les domaines politique, économique et social.  </w:t>
      </w:r>
      <w:r w:rsidRPr="00CA196C">
        <w:rPr>
          <w:rFonts w:ascii="Bookman Old Style" w:eastAsia="Times New Roman" w:hAnsi="Bookman Old Style" w:cs="Times New Roman"/>
          <w:sz w:val="24"/>
          <w:szCs w:val="24"/>
        </w:rPr>
        <w:t xml:space="preserve">Les défis observés dans ce domaine sont : </w:t>
      </w:r>
      <w:r w:rsidRPr="00CA196C">
        <w:rPr>
          <w:rFonts w:ascii="Bookman Old Style" w:eastAsia="Times New Roman" w:hAnsi="Bookman Old Style" w:cs="Times New Roman"/>
          <w:sz w:val="24"/>
          <w:szCs w:val="24"/>
          <w:lang w:eastAsia="fr-FR"/>
        </w:rPr>
        <w:t>(i) l</w:t>
      </w:r>
      <w:r w:rsidR="00374D9B" w:rsidRPr="00CA196C">
        <w:rPr>
          <w:rFonts w:ascii="Bookman Old Style" w:eastAsia="Times New Roman" w:hAnsi="Bookman Old Style" w:cs="Times New Roman"/>
          <w:sz w:val="24"/>
          <w:szCs w:val="24"/>
          <w:lang w:eastAsia="fr-FR"/>
        </w:rPr>
        <w:t>’élaboration de la</w:t>
      </w:r>
      <w:r w:rsidRPr="00CA196C">
        <w:rPr>
          <w:rFonts w:ascii="Bookman Old Style" w:eastAsia="Times New Roman" w:hAnsi="Bookman Old Style" w:cs="Times New Roman"/>
          <w:sz w:val="24"/>
          <w:szCs w:val="24"/>
          <w:lang w:eastAsia="fr-FR"/>
        </w:rPr>
        <w:t xml:space="preserve"> stratégie nationale d’intégration régionale et sous-régionale</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(ii) la mobilisation des ressources</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(iii) la promotion de la compétitivité</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(iv) le</w:t>
      </w:r>
      <w:r w:rsidR="00374D9B" w:rsidRPr="00CA196C">
        <w:rPr>
          <w:rFonts w:ascii="Bookman Old Style" w:eastAsia="Times New Roman" w:hAnsi="Bookman Old Style" w:cs="Times New Roman"/>
          <w:sz w:val="24"/>
          <w:szCs w:val="24"/>
          <w:lang w:eastAsia="fr-FR"/>
        </w:rPr>
        <w:t xml:space="preserve"> développement de</w:t>
      </w:r>
      <w:r w:rsidRPr="00CA196C">
        <w:rPr>
          <w:rFonts w:ascii="Bookman Old Style" w:eastAsia="Times New Roman" w:hAnsi="Bookman Old Style" w:cs="Times New Roman"/>
          <w:sz w:val="24"/>
          <w:szCs w:val="24"/>
          <w:lang w:eastAsia="fr-FR"/>
        </w:rPr>
        <w:t>s infrastructures sous régionales et régionales</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(v) le développement des moyens de transport sur le lac Tanganyika</w:t>
      </w:r>
      <w:r w:rsidR="00910355" w:rsidRPr="00CA196C">
        <w:rPr>
          <w:rFonts w:ascii="Bookman Old Style" w:eastAsia="Times New Roman" w:hAnsi="Bookman Old Style" w:cs="Times New Roman"/>
          <w:sz w:val="24"/>
          <w:szCs w:val="24"/>
          <w:lang w:eastAsia="fr-FR"/>
        </w:rPr>
        <w:t> ;</w:t>
      </w:r>
      <w:r w:rsidRPr="00CA196C">
        <w:rPr>
          <w:rFonts w:ascii="Bookman Old Style" w:eastAsia="Times New Roman" w:hAnsi="Bookman Old Style" w:cs="Times New Roman"/>
          <w:sz w:val="24"/>
          <w:szCs w:val="24"/>
          <w:lang w:eastAsia="fr-FR"/>
        </w:rPr>
        <w:t xml:space="preserve"> (vi) la libre circulation des biens, des services et des capitaux et (vii) </w:t>
      </w:r>
      <w:r w:rsidR="00374D9B" w:rsidRPr="00CA196C">
        <w:rPr>
          <w:rFonts w:ascii="Bookman Old Style" w:eastAsia="Times New Roman" w:hAnsi="Bookman Old Style" w:cs="Times New Roman"/>
          <w:sz w:val="24"/>
          <w:szCs w:val="24"/>
          <w:lang w:eastAsia="fr-FR"/>
        </w:rPr>
        <w:t xml:space="preserve">la création de </w:t>
      </w:r>
      <w:r w:rsidRPr="00CA196C">
        <w:rPr>
          <w:rFonts w:ascii="Bookman Old Style" w:eastAsia="Times New Roman" w:hAnsi="Bookman Old Style" w:cs="Times New Roman"/>
          <w:sz w:val="24"/>
          <w:szCs w:val="24"/>
          <w:lang w:eastAsia="fr-FR"/>
        </w:rPr>
        <w:t>l’Union Monétaire</w:t>
      </w:r>
      <w:r w:rsidR="00374D9B" w:rsidRPr="00CA196C">
        <w:rPr>
          <w:rFonts w:ascii="Bookman Old Style" w:eastAsia="Times New Roman" w:hAnsi="Bookman Old Style" w:cs="Times New Roman"/>
          <w:sz w:val="24"/>
          <w:szCs w:val="24"/>
          <w:lang w:eastAsia="fr-FR"/>
        </w:rPr>
        <w:t xml:space="preserve"> de la zone EAC</w:t>
      </w:r>
      <w:r w:rsidRPr="00CA196C">
        <w:rPr>
          <w:rFonts w:ascii="Bookman Old Style" w:eastAsia="Times New Roman" w:hAnsi="Bookman Old Style" w:cs="Times New Roman"/>
          <w:sz w:val="24"/>
          <w:szCs w:val="24"/>
          <w:lang w:eastAsia="fr-FR"/>
        </w:rPr>
        <w:t xml:space="preserve">. </w:t>
      </w:r>
    </w:p>
    <w:p w:rsidR="00DE3A23" w:rsidRPr="00CA196C" w:rsidRDefault="00DE3A23" w:rsidP="00BD2775">
      <w:pPr>
        <w:pStyle w:val="Titre3"/>
        <w:rPr>
          <w:rFonts w:ascii="Bookman Old Style" w:hAnsi="Bookman Old Style"/>
        </w:rPr>
      </w:pPr>
      <w:bookmarkStart w:id="115" w:name="_Toc511076182"/>
      <w:bookmarkStart w:id="116" w:name="_Toc511080873"/>
      <w:bookmarkStart w:id="117" w:name="_Toc511081384"/>
      <w:bookmarkStart w:id="118" w:name="_Toc511081549"/>
      <w:r w:rsidRPr="00CA196C">
        <w:rPr>
          <w:rFonts w:ascii="Bookman Old Style" w:hAnsi="Bookman Old Style"/>
        </w:rPr>
        <w:t>3.</w:t>
      </w:r>
      <w:r w:rsidR="007D3AFD" w:rsidRPr="00CA196C">
        <w:rPr>
          <w:rFonts w:ascii="Bookman Old Style" w:hAnsi="Bookman Old Style"/>
        </w:rPr>
        <w:t>1.</w:t>
      </w:r>
      <w:r w:rsidRPr="00CA196C">
        <w:rPr>
          <w:rFonts w:ascii="Bookman Old Style" w:hAnsi="Bookman Old Style"/>
        </w:rPr>
        <w:t>10. Mobilisation des ressources internes et externes</w:t>
      </w:r>
      <w:bookmarkEnd w:id="115"/>
      <w:bookmarkEnd w:id="116"/>
      <w:bookmarkEnd w:id="117"/>
      <w:bookmarkEnd w:id="118"/>
      <w:r w:rsidRPr="00CA196C">
        <w:rPr>
          <w:rFonts w:ascii="Bookman Old Style" w:hAnsi="Bookman Old Style"/>
        </w:rPr>
        <w:t xml:space="preserve"> </w:t>
      </w:r>
    </w:p>
    <w:p w:rsidR="00ED1681" w:rsidRPr="00CA196C" w:rsidRDefault="00ED1681" w:rsidP="00757E02">
      <w:pPr>
        <w:keepNext/>
        <w:spacing w:after="60" w:line="240" w:lineRule="auto"/>
        <w:jc w:val="both"/>
        <w:outlineLvl w:val="2"/>
        <w:rPr>
          <w:rFonts w:ascii="Bookman Old Style" w:eastAsia="Times New Roman" w:hAnsi="Bookman Old Style" w:cs="Times New Roman"/>
          <w:b/>
          <w:bCs/>
          <w:i/>
          <w:sz w:val="24"/>
          <w:szCs w:val="24"/>
          <w:u w:color="000000"/>
          <w:bdr w:val="nil"/>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sz w:val="24"/>
          <w:szCs w:val="24"/>
        </w:rPr>
      </w:pPr>
      <w:r w:rsidRPr="00CA196C">
        <w:rPr>
          <w:rFonts w:ascii="Bookman Old Style" w:hAnsi="Bookman Old Style" w:cs="Times New Roman"/>
          <w:sz w:val="24"/>
          <w:szCs w:val="24"/>
        </w:rPr>
        <w:t xml:space="preserve">Des progrès importants réalisés dans le domaine de la mobilisation des ressources internes ont permis de maintenir une augmentation des recettes. Les recettes mobilisées sont passées de 526,7 milliards en 2012 à 637,8 milliards en 2016 </w:t>
      </w:r>
      <w:r w:rsidR="00374D9B" w:rsidRPr="00CA196C">
        <w:rPr>
          <w:rFonts w:ascii="Bookman Old Style" w:hAnsi="Bookman Old Style" w:cs="Times New Roman"/>
          <w:sz w:val="24"/>
          <w:szCs w:val="24"/>
        </w:rPr>
        <w:t xml:space="preserve">(soit </w:t>
      </w:r>
      <w:r w:rsidRPr="00CA196C">
        <w:rPr>
          <w:rFonts w:ascii="Bookman Old Style" w:hAnsi="Bookman Old Style" w:cs="Times New Roman"/>
          <w:sz w:val="24"/>
          <w:szCs w:val="24"/>
        </w:rPr>
        <w:t xml:space="preserve"> une augmentation de 21,1%</w:t>
      </w:r>
      <w:r w:rsidR="00374D9B" w:rsidRPr="00CA196C">
        <w:rPr>
          <w:rFonts w:ascii="Bookman Old Style" w:hAnsi="Bookman Old Style" w:cs="Times New Roman"/>
          <w:sz w:val="24"/>
          <w:szCs w:val="24"/>
        </w:rPr>
        <w:t>)</w:t>
      </w:r>
      <w:r w:rsidRPr="00CA196C">
        <w:rPr>
          <w:rFonts w:ascii="Bookman Old Style" w:hAnsi="Bookman Old Style" w:cs="Times New Roman"/>
          <w:sz w:val="24"/>
          <w:szCs w:val="24"/>
        </w:rPr>
        <w:t>. Des initiatives de stabilisation du cadre légal ont été poursuivies en vue de maximiser la mobilisation des recettes internes à travers  la révision des trois textes fondamentaux à savoir la loi sur la fiscalité communale, la loi sur les procédures fiscales et la loi sur le revenu. Les défis de ce secteur sont : (i) le renforcement des capacités opérationnelles de l’OBR</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 l’intégration des innovations par le logiciel ITAX</w:t>
      </w:r>
      <w:r w:rsidR="00910355" w:rsidRPr="00CA196C">
        <w:rPr>
          <w:rFonts w:ascii="Bookman Old Style" w:hAnsi="Bookman Old Style" w:cs="Times New Roman"/>
          <w:sz w:val="24"/>
          <w:szCs w:val="24"/>
        </w:rPr>
        <w:t> ;</w:t>
      </w:r>
      <w:r w:rsidRPr="00CA196C">
        <w:rPr>
          <w:rFonts w:ascii="Bookman Old Style" w:hAnsi="Bookman Old Style" w:cs="Times New Roman"/>
          <w:sz w:val="24"/>
          <w:szCs w:val="24"/>
        </w:rPr>
        <w:t xml:space="preserve"> (iii) la conformité aux exigences du commerce électronique et (iv) l</w:t>
      </w:r>
      <w:r w:rsidR="00374D9B" w:rsidRPr="00CA196C">
        <w:rPr>
          <w:rFonts w:ascii="Bookman Old Style" w:hAnsi="Bookman Old Style" w:cs="Times New Roman"/>
          <w:sz w:val="24"/>
          <w:szCs w:val="24"/>
        </w:rPr>
        <w:t>’élaboration du</w:t>
      </w:r>
      <w:r w:rsidRPr="00CA196C">
        <w:rPr>
          <w:rFonts w:ascii="Bookman Old Style" w:hAnsi="Bookman Old Style" w:cs="Times New Roman"/>
          <w:sz w:val="24"/>
          <w:szCs w:val="24"/>
        </w:rPr>
        <w:t xml:space="preserve"> cadre légal de perception des recettes non fiscales.</w:t>
      </w:r>
    </w:p>
    <w:p w:rsidR="00DE3A23" w:rsidRPr="00CA196C" w:rsidRDefault="00DE3A23" w:rsidP="00E92676">
      <w:pPr>
        <w:autoSpaceDE w:val="0"/>
        <w:autoSpaceDN w:val="0"/>
        <w:adjustRightInd w:val="0"/>
        <w:spacing w:before="160" w:after="120" w:line="240" w:lineRule="auto"/>
        <w:ind w:left="360"/>
        <w:contextualSpacing/>
        <w:jc w:val="both"/>
        <w:rPr>
          <w:rFonts w:ascii="Bookman Old Style" w:hAnsi="Bookman Old Style" w:cs="Times New Roman"/>
          <w:sz w:val="24"/>
          <w:szCs w:val="24"/>
        </w:rPr>
      </w:pPr>
    </w:p>
    <w:p w:rsidR="00DE3A23" w:rsidRPr="00CA196C" w:rsidRDefault="00DE3A23" w:rsidP="00CD26FF">
      <w:pPr>
        <w:numPr>
          <w:ilvl w:val="0"/>
          <w:numId w:val="5"/>
        </w:numPr>
        <w:autoSpaceDE w:val="0"/>
        <w:autoSpaceDN w:val="0"/>
        <w:adjustRightInd w:val="0"/>
        <w:spacing w:before="160" w:after="120" w:line="240" w:lineRule="auto"/>
        <w:contextualSpacing/>
        <w:jc w:val="both"/>
        <w:rPr>
          <w:rFonts w:ascii="Bookman Old Style" w:hAnsi="Bookman Old Style" w:cs="Times New Roman"/>
          <w:b/>
          <w:sz w:val="24"/>
          <w:szCs w:val="24"/>
        </w:rPr>
      </w:pPr>
      <w:r w:rsidRPr="00CA196C">
        <w:rPr>
          <w:rFonts w:ascii="Bookman Old Style" w:hAnsi="Bookman Old Style" w:cs="Times New Roman"/>
          <w:b/>
          <w:sz w:val="24"/>
          <w:szCs w:val="24"/>
        </w:rPr>
        <w:t xml:space="preserve">En ce qui concerne la mobilisation externes, </w:t>
      </w:r>
      <w:r w:rsidRPr="00CA196C">
        <w:rPr>
          <w:rFonts w:ascii="Bookman Old Style" w:hAnsi="Bookman Old Style" w:cs="Times New Roman"/>
          <w:sz w:val="24"/>
          <w:szCs w:val="24"/>
        </w:rPr>
        <w:t xml:space="preserve">les dons-projets sont passés respectivement de 321,4 en 2012, 333 en 2013, 550,2 en 2014, </w:t>
      </w:r>
      <w:r w:rsidRPr="00CA196C">
        <w:rPr>
          <w:rFonts w:ascii="Bookman Old Style" w:hAnsi="Bookman Old Style" w:cs="Times New Roman"/>
          <w:sz w:val="24"/>
          <w:szCs w:val="24"/>
        </w:rPr>
        <w:lastRenderedPageBreak/>
        <w:t>371,4 en 2015 et à 89,7 milliards en 2016. Les défis observés dans ce domaine sont : (i) la restructuration de la mission du suivi et de la mobilisation des ressources externes</w:t>
      </w:r>
      <w:r w:rsidR="00374D9B" w:rsidRPr="00CA196C">
        <w:rPr>
          <w:rFonts w:ascii="Bookman Old Style" w:hAnsi="Bookman Old Style" w:cs="Times New Roman"/>
          <w:sz w:val="24"/>
          <w:szCs w:val="24"/>
        </w:rPr>
        <w:t xml:space="preserve">,  et </w:t>
      </w:r>
      <w:r w:rsidRPr="00CA196C">
        <w:rPr>
          <w:rFonts w:ascii="Bookman Old Style" w:hAnsi="Bookman Old Style" w:cs="Times New Roman"/>
          <w:sz w:val="24"/>
          <w:szCs w:val="24"/>
        </w:rPr>
        <w:t>(ii) la promotion d’autre</w:t>
      </w:r>
      <w:r w:rsidR="002D4CE2" w:rsidRPr="00CA196C">
        <w:rPr>
          <w:rFonts w:ascii="Bookman Old Style" w:hAnsi="Bookman Old Style" w:cs="Times New Roman"/>
          <w:sz w:val="24"/>
          <w:szCs w:val="24"/>
        </w:rPr>
        <w:t xml:space="preserve">s partenariats financiers et des </w:t>
      </w:r>
      <w:r w:rsidR="002D4CE2" w:rsidRPr="00CA196C">
        <w:rPr>
          <w:rFonts w:ascii="Bookman Old Style" w:hAnsi="Bookman Old Style" w:cs="Times New Roman"/>
          <w:b/>
          <w:sz w:val="24"/>
          <w:szCs w:val="24"/>
        </w:rPr>
        <w:t>PPP</w:t>
      </w:r>
      <w:r w:rsidRPr="00CA196C">
        <w:rPr>
          <w:rFonts w:ascii="Bookman Old Style" w:hAnsi="Bookman Old Style" w:cs="Times New Roman"/>
          <w:b/>
          <w:sz w:val="24"/>
          <w:szCs w:val="24"/>
        </w:rPr>
        <w:t>.</w:t>
      </w:r>
    </w:p>
    <w:p w:rsidR="00DE3A23" w:rsidRPr="00CA196C" w:rsidRDefault="00DE3A23" w:rsidP="00E92676">
      <w:pPr>
        <w:autoSpaceDE w:val="0"/>
        <w:autoSpaceDN w:val="0"/>
        <w:adjustRightInd w:val="0"/>
        <w:spacing w:before="160" w:after="120" w:line="240" w:lineRule="auto"/>
        <w:jc w:val="both"/>
        <w:rPr>
          <w:rFonts w:ascii="Bookman Old Style" w:eastAsia="Times New Roman" w:hAnsi="Bookman Old Style" w:cs="Times New Roman"/>
          <w:b/>
          <w:bCs/>
          <w:i/>
          <w:sz w:val="24"/>
          <w:szCs w:val="24"/>
          <w:u w:color="000000"/>
          <w:bdr w:val="nil"/>
        </w:rPr>
      </w:pPr>
    </w:p>
    <w:p w:rsidR="00DE3A23" w:rsidRPr="00CA196C" w:rsidRDefault="00DE3A23" w:rsidP="00BD2775">
      <w:pPr>
        <w:pStyle w:val="Titre3"/>
        <w:rPr>
          <w:rFonts w:ascii="Bookman Old Style" w:hAnsi="Bookman Old Style"/>
        </w:rPr>
      </w:pPr>
      <w:bookmarkStart w:id="119" w:name="_Toc511076183"/>
      <w:bookmarkStart w:id="120" w:name="_Toc511080874"/>
      <w:bookmarkStart w:id="121" w:name="_Toc511081385"/>
      <w:bookmarkStart w:id="122" w:name="_Toc511081550"/>
      <w:r w:rsidRPr="00CA196C">
        <w:rPr>
          <w:rFonts w:ascii="Bookman Old Style" w:hAnsi="Bookman Old Style"/>
        </w:rPr>
        <w:t>3.</w:t>
      </w:r>
      <w:r w:rsidR="007D3AFD" w:rsidRPr="00CA196C">
        <w:rPr>
          <w:rFonts w:ascii="Bookman Old Style" w:hAnsi="Bookman Old Style"/>
        </w:rPr>
        <w:t>1.</w:t>
      </w:r>
      <w:r w:rsidRPr="00CA196C">
        <w:rPr>
          <w:rFonts w:ascii="Bookman Old Style" w:hAnsi="Bookman Old Style"/>
        </w:rPr>
        <w:t>11. Evaluation des agrégats macroéconomiques 2012-2016</w:t>
      </w:r>
      <w:bookmarkEnd w:id="119"/>
      <w:bookmarkEnd w:id="120"/>
      <w:bookmarkEnd w:id="121"/>
      <w:bookmarkEnd w:id="122"/>
    </w:p>
    <w:p w:rsidR="00DE3A23" w:rsidRPr="00CA196C" w:rsidRDefault="00DE3A23" w:rsidP="00ED1681">
      <w:pPr>
        <w:numPr>
          <w:ilvl w:val="0"/>
          <w:numId w:val="5"/>
        </w:numPr>
        <w:autoSpaceDE w:val="0"/>
        <w:autoSpaceDN w:val="0"/>
        <w:adjustRightInd w:val="0"/>
        <w:spacing w:before="160" w:after="120" w:line="240" w:lineRule="auto"/>
        <w:contextualSpacing/>
        <w:jc w:val="both"/>
        <w:outlineLvl w:val="0"/>
        <w:rPr>
          <w:rFonts w:ascii="Bookman Old Style" w:eastAsia="Times New Roman" w:hAnsi="Bookman Old Style" w:cs="Times New Roman"/>
          <w:bCs/>
          <w:kern w:val="28"/>
          <w:sz w:val="24"/>
          <w:szCs w:val="24"/>
        </w:rPr>
      </w:pPr>
      <w:bookmarkStart w:id="123" w:name="_Toc511080875"/>
      <w:bookmarkStart w:id="124" w:name="_Toc511081551"/>
      <w:r w:rsidRPr="00CA196C">
        <w:rPr>
          <w:rFonts w:ascii="Bookman Old Style" w:eastAsia="Times New Roman" w:hAnsi="Bookman Old Style" w:cs="Times New Roman"/>
          <w:sz w:val="24"/>
          <w:szCs w:val="24"/>
        </w:rPr>
        <w:t xml:space="preserve">L’économie burundaise a enregistré </w:t>
      </w:r>
      <w:r w:rsidRPr="00CA196C">
        <w:rPr>
          <w:rFonts w:ascii="Bookman Old Style" w:eastAsia="Times New Roman" w:hAnsi="Bookman Old Style" w:cs="Times New Roman"/>
          <w:b/>
          <w:sz w:val="24"/>
          <w:szCs w:val="24"/>
        </w:rPr>
        <w:t>un taux de croissance économique</w:t>
      </w:r>
      <w:r w:rsidRPr="00CA196C">
        <w:rPr>
          <w:rFonts w:ascii="Bookman Old Style" w:eastAsia="Times New Roman" w:hAnsi="Bookman Old Style" w:cs="Times New Roman"/>
          <w:sz w:val="24"/>
          <w:szCs w:val="24"/>
        </w:rPr>
        <w:t xml:space="preserve"> de 3,0% en moyenne sur la période 2012-2016. Cette croissance est tirée principalement par le secteur tertiaire (5,7%) alors que le primaire et le secondaire enregistraient de faibles croissances</w:t>
      </w:r>
      <w:r w:rsidR="00E86D60" w:rsidRPr="00CA196C">
        <w:rPr>
          <w:rFonts w:ascii="Bookman Old Style" w:eastAsia="Times New Roman" w:hAnsi="Bookman Old Style" w:cs="Times New Roman"/>
          <w:sz w:val="24"/>
          <w:szCs w:val="24"/>
        </w:rPr>
        <w:t xml:space="preserve"> </w:t>
      </w:r>
      <w:r w:rsidR="00216407"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respectivement de 1,8% et 2,5%</w:t>
      </w:r>
      <w:r w:rsidR="00216407"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w:t>
      </w:r>
      <w:bookmarkEnd w:id="123"/>
      <w:bookmarkEnd w:id="124"/>
      <w:r w:rsidRPr="00CA196C">
        <w:rPr>
          <w:rFonts w:ascii="Bookman Old Style" w:eastAsia="Times New Roman" w:hAnsi="Bookman Old Style" w:cs="Times New Roman"/>
          <w:sz w:val="24"/>
          <w:szCs w:val="24"/>
        </w:rPr>
        <w:t xml:space="preserve"> </w:t>
      </w:r>
    </w:p>
    <w:p w:rsidR="00ED1681" w:rsidRPr="00CA196C" w:rsidRDefault="00ED1681" w:rsidP="00ED1681">
      <w:pPr>
        <w:autoSpaceDE w:val="0"/>
        <w:autoSpaceDN w:val="0"/>
        <w:adjustRightInd w:val="0"/>
        <w:spacing w:before="160" w:after="120" w:line="240" w:lineRule="auto"/>
        <w:ind w:left="360"/>
        <w:contextualSpacing/>
        <w:jc w:val="both"/>
        <w:outlineLvl w:val="0"/>
        <w:rPr>
          <w:rFonts w:ascii="Bookman Old Style" w:eastAsia="Times New Roman" w:hAnsi="Bookman Old Style" w:cs="Times New Roman"/>
          <w:bCs/>
          <w:kern w:val="28"/>
          <w:sz w:val="24"/>
          <w:szCs w:val="24"/>
        </w:rPr>
      </w:pPr>
    </w:p>
    <w:p w:rsidR="00DE3A23" w:rsidRPr="00CA196C" w:rsidRDefault="00E86D60" w:rsidP="00D76FCA">
      <w:pPr>
        <w:pStyle w:val="Titre"/>
        <w:rPr>
          <w:rFonts w:ascii="Bookman Old Style" w:hAnsi="Bookman Old Style"/>
        </w:rPr>
      </w:pPr>
      <w:bookmarkStart w:id="125" w:name="_Toc511076242"/>
      <w:bookmarkStart w:id="126" w:name="_Toc511080876"/>
      <w:bookmarkStart w:id="127" w:name="_Toc511081552"/>
      <w:r w:rsidRPr="00CA196C">
        <w:rPr>
          <w:rFonts w:ascii="Bookman Old Style" w:hAnsi="Bookman Old Style"/>
        </w:rPr>
        <w:t xml:space="preserve">Tableau3. </w:t>
      </w:r>
      <w:r w:rsidR="00DE3A23" w:rsidRPr="00CA196C">
        <w:rPr>
          <w:rFonts w:ascii="Bookman Old Style" w:hAnsi="Bookman Old Style"/>
        </w:rPr>
        <w:t>Evolution des indicateurs du PIB</w:t>
      </w:r>
      <w:bookmarkEnd w:id="125"/>
      <w:bookmarkEnd w:id="126"/>
      <w:bookmarkEnd w:id="127"/>
    </w:p>
    <w:tbl>
      <w:tblPr>
        <w:tblStyle w:val="Grilleclaire-Accent5"/>
        <w:tblW w:w="9072" w:type="dxa"/>
        <w:tblInd w:w="250" w:type="dxa"/>
        <w:tblLook w:val="04A0" w:firstRow="1" w:lastRow="0" w:firstColumn="1" w:lastColumn="0" w:noHBand="0" w:noVBand="1"/>
      </w:tblPr>
      <w:tblGrid>
        <w:gridCol w:w="4111"/>
        <w:gridCol w:w="992"/>
        <w:gridCol w:w="992"/>
        <w:gridCol w:w="993"/>
        <w:gridCol w:w="1017"/>
        <w:gridCol w:w="992"/>
      </w:tblGrid>
      <w:tr w:rsidR="00216407" w:rsidRPr="00CA196C" w:rsidTr="00F20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w:t>
            </w:r>
            <w:r w:rsidR="00216407" w:rsidRPr="00CA196C">
              <w:rPr>
                <w:rFonts w:ascii="Bookman Old Style" w:hAnsi="Bookman Old Style" w:cs="Times New Roman"/>
                <w:sz w:val="20"/>
                <w:szCs w:val="20"/>
              </w:rPr>
              <w:t>Indicateurs du PIB </w:t>
            </w:r>
          </w:p>
        </w:tc>
        <w:tc>
          <w:tcPr>
            <w:tcW w:w="992"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2012</w:t>
            </w:r>
          </w:p>
        </w:tc>
        <w:tc>
          <w:tcPr>
            <w:tcW w:w="992"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2013</w:t>
            </w:r>
          </w:p>
        </w:tc>
        <w:tc>
          <w:tcPr>
            <w:tcW w:w="993"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2014</w:t>
            </w:r>
          </w:p>
        </w:tc>
        <w:tc>
          <w:tcPr>
            <w:tcW w:w="992"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2015</w:t>
            </w:r>
            <w:r w:rsidR="00216407" w:rsidRPr="00CA196C">
              <w:rPr>
                <w:rFonts w:ascii="Bookman Old Style" w:eastAsia="Times New Roman" w:hAnsi="Bookman Old Style" w:cs="Times New Roman"/>
                <w:sz w:val="20"/>
                <w:szCs w:val="20"/>
                <w:vertAlign w:val="superscript"/>
              </w:rPr>
              <w:t>(e)</w:t>
            </w:r>
          </w:p>
        </w:tc>
        <w:tc>
          <w:tcPr>
            <w:tcW w:w="992" w:type="dxa"/>
            <w:noWrap/>
            <w:hideMark/>
          </w:tcPr>
          <w:p w:rsidR="00DE3A23" w:rsidRPr="00CA196C" w:rsidRDefault="00DE3A23" w:rsidP="00216407">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2016</w:t>
            </w:r>
            <w:r w:rsidR="00216407" w:rsidRPr="00CA196C">
              <w:rPr>
                <w:rFonts w:ascii="Bookman Old Style" w:eastAsia="Times New Roman" w:hAnsi="Bookman Old Style" w:cs="Times New Roman"/>
                <w:sz w:val="20"/>
                <w:szCs w:val="20"/>
              </w:rPr>
              <w:t xml:space="preserve"> </w:t>
            </w:r>
            <w:r w:rsidR="00216407" w:rsidRPr="00CA196C">
              <w:rPr>
                <w:rFonts w:ascii="Bookman Old Style" w:eastAsia="Times New Roman" w:hAnsi="Bookman Old Style" w:cs="Times New Roman"/>
                <w:sz w:val="20"/>
                <w:szCs w:val="20"/>
                <w:vertAlign w:val="superscript"/>
              </w:rPr>
              <w:t>(e)</w:t>
            </w:r>
          </w:p>
        </w:tc>
      </w:tr>
      <w:tr w:rsidR="00216407" w:rsidRPr="00CA196C" w:rsidTr="00F20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PIB Nominal (en Mrds de BIF)</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3 365,8</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3 812,5</w:t>
            </w:r>
          </w:p>
        </w:tc>
        <w:tc>
          <w:tcPr>
            <w:tcW w:w="993"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4 185,1</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4 423,2</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4 754,9</w:t>
            </w:r>
          </w:p>
        </w:tc>
      </w:tr>
      <w:tr w:rsidR="00216407" w:rsidRPr="00CA196C" w:rsidTr="00F203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PIB réel (Mrds de BIF, base 2005)</w:t>
            </w:r>
          </w:p>
        </w:tc>
        <w:tc>
          <w:tcPr>
            <w:tcW w:w="992" w:type="dxa"/>
            <w:noWrap/>
            <w:hideMark/>
          </w:tcPr>
          <w:p w:rsidR="00DE3A23" w:rsidRPr="00CA196C" w:rsidRDefault="00DE3A23" w:rsidP="00216407">
            <w:pPr>
              <w:spacing w:after="200" w:line="276" w:lineRule="auto"/>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1 638,4</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1 719,1</w:t>
            </w:r>
          </w:p>
        </w:tc>
        <w:tc>
          <w:tcPr>
            <w:tcW w:w="993"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1 792,0</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1 786,1</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1 816,9</w:t>
            </w:r>
          </w:p>
        </w:tc>
      </w:tr>
      <w:tr w:rsidR="00216407" w:rsidRPr="00CA196C" w:rsidTr="00F20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Taux de croissance du PIB réel </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4,4%</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4,9%</w:t>
            </w:r>
          </w:p>
        </w:tc>
        <w:tc>
          <w:tcPr>
            <w:tcW w:w="993"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4,2%</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-0,3%</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1,7%</w:t>
            </w:r>
          </w:p>
        </w:tc>
      </w:tr>
      <w:tr w:rsidR="00216407" w:rsidRPr="00CA196C" w:rsidTr="00F203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Taux de croissance du  secteur  primaire</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2,1%</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8,4%</w:t>
            </w:r>
          </w:p>
        </w:tc>
        <w:tc>
          <w:tcPr>
            <w:tcW w:w="993"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-3,6%</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0,3%</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2,00%</w:t>
            </w:r>
          </w:p>
        </w:tc>
      </w:tr>
      <w:tr w:rsidR="00216407" w:rsidRPr="00CA196C" w:rsidTr="00F203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Taux de croissance du secteur secondaire</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5,3%</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2,4%</w:t>
            </w:r>
          </w:p>
        </w:tc>
        <w:tc>
          <w:tcPr>
            <w:tcW w:w="993"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6,2%</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w:t>
            </w:r>
          </w:p>
        </w:tc>
        <w:tc>
          <w:tcPr>
            <w:tcW w:w="992" w:type="dxa"/>
            <w:noWrap/>
            <w:hideMark/>
          </w:tcPr>
          <w:p w:rsidR="00DE3A23" w:rsidRPr="00CA196C" w:rsidRDefault="00DE3A23" w:rsidP="00216407">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1,40%</w:t>
            </w:r>
          </w:p>
        </w:tc>
      </w:tr>
      <w:tr w:rsidR="00216407" w:rsidRPr="00CA196C" w:rsidTr="00F2030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216407">
            <w:pPr>
              <w:spacing w:after="200" w:line="276" w:lineRule="auto"/>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Taux de croissance du  secteur tertiaire </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7,0%</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2,8%</w:t>
            </w:r>
          </w:p>
        </w:tc>
        <w:tc>
          <w:tcPr>
            <w:tcW w:w="993"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8,8%</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2,4%</w:t>
            </w:r>
          </w:p>
        </w:tc>
        <w:tc>
          <w:tcPr>
            <w:tcW w:w="992" w:type="dxa"/>
            <w:noWrap/>
            <w:hideMark/>
          </w:tcPr>
          <w:p w:rsidR="00DE3A23" w:rsidRPr="00CA196C" w:rsidRDefault="00DE3A23" w:rsidP="00216407">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4,6%</w:t>
            </w:r>
          </w:p>
        </w:tc>
      </w:tr>
    </w:tbl>
    <w:p w:rsidR="00DE3A23" w:rsidRPr="00CA196C" w:rsidRDefault="00DE3A23" w:rsidP="00E92676">
      <w:pPr>
        <w:spacing w:before="160" w:after="120" w:line="240" w:lineRule="auto"/>
        <w:ind w:left="851" w:hanging="851"/>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u w:val="single"/>
        </w:rPr>
        <w:t>Source </w:t>
      </w:r>
      <w:r w:rsidRPr="00CA196C">
        <w:rPr>
          <w:rFonts w:ascii="Bookman Old Style" w:eastAsia="Times New Roman" w:hAnsi="Bookman Old Style" w:cs="Times New Roman"/>
          <w:sz w:val="24"/>
          <w:szCs w:val="24"/>
        </w:rPr>
        <w:t>: Estimations faites à l'aide du Modèle MACMOD-BI et ISTEEBU, Comptes   Economiques du Burundi 2012-2014</w:t>
      </w:r>
    </w:p>
    <w:p w:rsidR="00DE3A23" w:rsidRPr="00CA196C" w:rsidRDefault="00DE3A23" w:rsidP="00CD26FF">
      <w:pPr>
        <w:numPr>
          <w:ilvl w:val="0"/>
          <w:numId w:val="5"/>
        </w:numPr>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eastAsia="Times New Roman" w:hAnsi="Bookman Old Style" w:cs="Times New Roman"/>
          <w:b/>
          <w:sz w:val="24"/>
          <w:szCs w:val="24"/>
        </w:rPr>
        <w:t>Le niveau de l’épargne nationale demeure faible</w:t>
      </w:r>
      <w:r w:rsidRPr="00CA196C">
        <w:rPr>
          <w:rFonts w:ascii="Bookman Old Style" w:eastAsia="Times New Roman" w:hAnsi="Bookman Old Style" w:cs="Times New Roman"/>
          <w:sz w:val="24"/>
          <w:szCs w:val="24"/>
        </w:rPr>
        <w:t xml:space="preserve"> pour soutenir l'investissement et partant la croissance économique durable. Sur la période 2012-2016, l'épargne brute disponible est en moyenne de 211,4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 contre 579,7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du volume d'investissement</w:t>
      </w:r>
      <w:r w:rsidR="00431A90" w:rsidRPr="00CA196C">
        <w:rPr>
          <w:rFonts w:ascii="Bookman Old Style" w:eastAsia="Times New Roman" w:hAnsi="Bookman Old Style" w:cs="Times New Roman"/>
          <w:sz w:val="24"/>
          <w:szCs w:val="24"/>
        </w:rPr>
        <w:t xml:space="preserve"> </w:t>
      </w:r>
      <w:r w:rsidR="00B71B88" w:rsidRPr="00CA196C">
        <w:rPr>
          <w:rFonts w:ascii="Bookman Old Style" w:eastAsia="Times New Roman" w:hAnsi="Bookman Old Style" w:cs="Times New Roman"/>
          <w:sz w:val="24"/>
          <w:szCs w:val="24"/>
        </w:rPr>
        <w:t>(soit</w:t>
      </w:r>
      <w:r w:rsidRPr="00CA196C">
        <w:rPr>
          <w:rFonts w:ascii="Bookman Old Style" w:eastAsia="Times New Roman" w:hAnsi="Bookman Old Style" w:cs="Times New Roman"/>
          <w:sz w:val="24"/>
          <w:szCs w:val="24"/>
        </w:rPr>
        <w:t xml:space="preserve"> un besoin </w:t>
      </w:r>
      <w:r w:rsidR="00431A90" w:rsidRPr="00CA196C">
        <w:rPr>
          <w:rFonts w:ascii="Bookman Old Style" w:eastAsia="Times New Roman" w:hAnsi="Bookman Old Style" w:cs="Times New Roman"/>
          <w:sz w:val="24"/>
          <w:szCs w:val="24"/>
        </w:rPr>
        <w:t xml:space="preserve">de </w:t>
      </w:r>
      <w:r w:rsidRPr="00CA196C">
        <w:rPr>
          <w:rFonts w:ascii="Bookman Old Style" w:eastAsia="Times New Roman" w:hAnsi="Bookman Old Style" w:cs="Times New Roman"/>
          <w:sz w:val="24"/>
          <w:szCs w:val="24"/>
        </w:rPr>
        <w:t>moyen</w:t>
      </w:r>
      <w:r w:rsidR="00431A90" w:rsidRPr="00CA196C">
        <w:rPr>
          <w:rFonts w:ascii="Bookman Old Style" w:eastAsia="Times New Roman" w:hAnsi="Bookman Old Style" w:cs="Times New Roman"/>
          <w:sz w:val="24"/>
          <w:szCs w:val="24"/>
        </w:rPr>
        <w:t>s</w:t>
      </w:r>
      <w:r w:rsidRPr="00CA196C">
        <w:rPr>
          <w:rFonts w:ascii="Bookman Old Style" w:eastAsia="Times New Roman" w:hAnsi="Bookman Old Style" w:cs="Times New Roman"/>
          <w:sz w:val="24"/>
          <w:szCs w:val="24"/>
        </w:rPr>
        <w:t xml:space="preserve"> de financement de 368,3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w:t>
      </w:r>
      <w:r w:rsidR="00431A90"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En dépit du </w:t>
      </w:r>
      <w:r w:rsidR="00431A90" w:rsidRPr="00CA196C">
        <w:rPr>
          <w:rFonts w:ascii="Bookman Old Style" w:eastAsia="Times New Roman" w:hAnsi="Bookman Old Style" w:cs="Times New Roman"/>
          <w:sz w:val="24"/>
          <w:szCs w:val="24"/>
        </w:rPr>
        <w:t xml:space="preserve">faible </w:t>
      </w:r>
      <w:r w:rsidRPr="00CA196C">
        <w:rPr>
          <w:rFonts w:ascii="Bookman Old Style" w:eastAsia="Times New Roman" w:hAnsi="Bookman Old Style" w:cs="Times New Roman"/>
          <w:sz w:val="24"/>
          <w:szCs w:val="24"/>
        </w:rPr>
        <w:t xml:space="preserve">niveau de l’épargne, l’accumulation des équipements et des bâtiments a enregistré un progrès au cours de ces cinq dernières années et l'évolution du taux d'investissement global a affiché une moyenne de 25,1% </w:t>
      </w:r>
      <w:r w:rsidR="00431A90" w:rsidRPr="00CA196C">
        <w:rPr>
          <w:rFonts w:ascii="Bookman Old Style" w:eastAsia="Times New Roman" w:hAnsi="Bookman Old Style" w:cs="Times New Roman"/>
          <w:sz w:val="24"/>
          <w:szCs w:val="24"/>
        </w:rPr>
        <w:t xml:space="preserve">du PIB </w:t>
      </w:r>
      <w:r w:rsidRPr="00CA196C">
        <w:rPr>
          <w:rFonts w:ascii="Bookman Old Style" w:eastAsia="Times New Roman" w:hAnsi="Bookman Old Style" w:cs="Times New Roman"/>
          <w:sz w:val="24"/>
          <w:szCs w:val="24"/>
        </w:rPr>
        <w:t>sur la période 2012-2016. De diverses infrastructures publiques ont</w:t>
      </w:r>
      <w:r w:rsidR="00244966">
        <w:rPr>
          <w:rFonts w:ascii="Bookman Old Style" w:eastAsia="Times New Roman" w:hAnsi="Bookman Old Style" w:cs="Times New Roman"/>
          <w:sz w:val="24"/>
          <w:szCs w:val="24"/>
        </w:rPr>
        <w:t xml:space="preserve"> été</w:t>
      </w:r>
      <w:r w:rsidRPr="00CA196C">
        <w:rPr>
          <w:rFonts w:ascii="Bookman Old Style" w:eastAsia="Times New Roman" w:hAnsi="Bookman Old Style" w:cs="Times New Roman"/>
          <w:sz w:val="24"/>
          <w:szCs w:val="24"/>
        </w:rPr>
        <w:t xml:space="preserve"> réalisées: l'installation de la centrale thermique de 10 MW, la réhabilitation de certaines centrales hydroélectriques, la construction du nouveau Building des Finances, des routes nationales </w:t>
      </w:r>
      <w:r w:rsidRPr="00CA196C">
        <w:rPr>
          <w:rFonts w:ascii="Bookman Old Style" w:eastAsia="Times New Roman" w:hAnsi="Bookman Old Style" w:cs="Times New Roman"/>
          <w:sz w:val="24"/>
          <w:szCs w:val="24"/>
        </w:rPr>
        <w:lastRenderedPageBreak/>
        <w:t>telles que Bubanza-Ndora, Cankuzo-Muyinga, Ruyigi-Cankuzo ainsi que des différentes écoles et des centres de santé.</w:t>
      </w:r>
    </w:p>
    <w:p w:rsidR="00281242" w:rsidRPr="00CA196C" w:rsidRDefault="00281242" w:rsidP="008C3209">
      <w:pPr>
        <w:spacing w:before="160" w:after="120" w:line="240" w:lineRule="auto"/>
        <w:ind w:left="502"/>
        <w:jc w:val="both"/>
        <w:outlineLvl w:val="0"/>
        <w:rPr>
          <w:rFonts w:ascii="Bookman Old Style" w:eastAsia="Times New Roman" w:hAnsi="Bookman Old Style" w:cs="Times New Roman"/>
          <w:b/>
          <w:bCs/>
          <w:i/>
          <w:kern w:val="28"/>
          <w:sz w:val="24"/>
          <w:szCs w:val="24"/>
        </w:rPr>
      </w:pPr>
    </w:p>
    <w:p w:rsidR="00DE3A23" w:rsidRPr="00CA196C" w:rsidRDefault="00E86D60" w:rsidP="00D76FCA">
      <w:pPr>
        <w:pStyle w:val="Titre"/>
        <w:rPr>
          <w:rFonts w:ascii="Bookman Old Style" w:hAnsi="Bookman Old Style"/>
        </w:rPr>
      </w:pPr>
      <w:bookmarkStart w:id="128" w:name="_Toc511076243"/>
      <w:bookmarkStart w:id="129" w:name="_Toc511080877"/>
      <w:bookmarkStart w:id="130" w:name="_Toc511081553"/>
      <w:r w:rsidRPr="00CA196C">
        <w:rPr>
          <w:rFonts w:ascii="Bookman Old Style" w:hAnsi="Bookman Old Style"/>
        </w:rPr>
        <w:t>Tableau 4.</w:t>
      </w:r>
      <w:r w:rsidR="00DE3A23" w:rsidRPr="00CA196C">
        <w:rPr>
          <w:rFonts w:ascii="Bookman Old Style" w:hAnsi="Bookman Old Style"/>
        </w:rPr>
        <w:t xml:space="preserve"> Evolution des indicateurs de l'Epargne et de l'Investissement</w:t>
      </w:r>
      <w:r w:rsidR="00ED1681" w:rsidRPr="00CA196C">
        <w:rPr>
          <w:rFonts w:ascii="Bookman Old Style" w:hAnsi="Bookman Old Style"/>
        </w:rPr>
        <w:t xml:space="preserve"> </w:t>
      </w:r>
      <w:r w:rsidR="00431A90" w:rsidRPr="00CA196C">
        <w:rPr>
          <w:rFonts w:ascii="Bookman Old Style" w:hAnsi="Bookman Old Style"/>
        </w:rPr>
        <w:t>(En Mrds de BIF)</w:t>
      </w:r>
      <w:bookmarkEnd w:id="128"/>
      <w:bookmarkEnd w:id="129"/>
      <w:bookmarkEnd w:id="130"/>
    </w:p>
    <w:tbl>
      <w:tblPr>
        <w:tblStyle w:val="Grilleclaire-Accent5"/>
        <w:tblW w:w="8789" w:type="dxa"/>
        <w:tblInd w:w="250" w:type="dxa"/>
        <w:tblLook w:val="04A0" w:firstRow="1" w:lastRow="0" w:firstColumn="1" w:lastColumn="0" w:noHBand="0" w:noVBand="1"/>
      </w:tblPr>
      <w:tblGrid>
        <w:gridCol w:w="4111"/>
        <w:gridCol w:w="992"/>
        <w:gridCol w:w="891"/>
        <w:gridCol w:w="891"/>
        <w:gridCol w:w="1046"/>
        <w:gridCol w:w="1103"/>
      </w:tblGrid>
      <w:tr w:rsidR="00281242" w:rsidRPr="00CA196C" w:rsidTr="00F2030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431A90"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Indicateurs</w:t>
            </w:r>
          </w:p>
        </w:tc>
        <w:tc>
          <w:tcPr>
            <w:tcW w:w="992" w:type="dxa"/>
            <w:noWrap/>
            <w:hideMark/>
          </w:tcPr>
          <w:p w:rsidR="00DE3A23" w:rsidRPr="00CA196C" w:rsidRDefault="00DE3A23" w:rsidP="00281242">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2012</w:t>
            </w:r>
          </w:p>
        </w:tc>
        <w:tc>
          <w:tcPr>
            <w:tcW w:w="849" w:type="dxa"/>
            <w:noWrap/>
            <w:hideMark/>
          </w:tcPr>
          <w:p w:rsidR="00DE3A23" w:rsidRPr="00CA196C" w:rsidRDefault="00DE3A23" w:rsidP="00281242">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2013</w:t>
            </w:r>
          </w:p>
        </w:tc>
        <w:tc>
          <w:tcPr>
            <w:tcW w:w="838" w:type="dxa"/>
            <w:noWrap/>
            <w:hideMark/>
          </w:tcPr>
          <w:p w:rsidR="00DE3A23" w:rsidRPr="00CA196C" w:rsidRDefault="00DE3A23" w:rsidP="00281242">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2014</w:t>
            </w:r>
          </w:p>
        </w:tc>
        <w:tc>
          <w:tcPr>
            <w:tcW w:w="905" w:type="dxa"/>
            <w:noWrap/>
            <w:hideMark/>
          </w:tcPr>
          <w:p w:rsidR="00DE3A23" w:rsidRPr="00CA196C" w:rsidRDefault="00DE3A23" w:rsidP="008C3209">
            <w:pPr>
              <w:ind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2015</w:t>
            </w:r>
            <w:r w:rsidR="00431A90" w:rsidRPr="00CA196C">
              <w:rPr>
                <w:rFonts w:ascii="Bookman Old Style" w:eastAsia="Times New Roman" w:hAnsi="Bookman Old Style" w:cs="Times New Roman"/>
                <w:sz w:val="20"/>
                <w:szCs w:val="20"/>
              </w:rPr>
              <w:t>(e)</w:t>
            </w:r>
          </w:p>
        </w:tc>
        <w:tc>
          <w:tcPr>
            <w:tcW w:w="1094" w:type="dxa"/>
            <w:noWrap/>
            <w:hideMark/>
          </w:tcPr>
          <w:p w:rsidR="00DE3A23" w:rsidRPr="00CA196C" w:rsidRDefault="00DE3A23" w:rsidP="00281242">
            <w:pPr>
              <w:ind w:left="57" w:right="57"/>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2016</w:t>
            </w:r>
            <w:r w:rsidR="00431A90" w:rsidRPr="00CA196C">
              <w:rPr>
                <w:rFonts w:ascii="Bookman Old Style" w:eastAsia="Times New Roman" w:hAnsi="Bookman Old Style" w:cs="Times New Roman"/>
                <w:sz w:val="20"/>
                <w:szCs w:val="20"/>
              </w:rPr>
              <w:t>(e)</w:t>
            </w:r>
          </w:p>
        </w:tc>
      </w:tr>
      <w:tr w:rsidR="00281242" w:rsidRPr="00CA196C" w:rsidTr="00F203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Epargne nationale brute disponible</w:t>
            </w:r>
          </w:p>
        </w:tc>
        <w:tc>
          <w:tcPr>
            <w:tcW w:w="992"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599,4</w:t>
            </w:r>
          </w:p>
        </w:tc>
        <w:tc>
          <w:tcPr>
            <w:tcW w:w="849"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310,5</w:t>
            </w:r>
          </w:p>
        </w:tc>
        <w:tc>
          <w:tcPr>
            <w:tcW w:w="838"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152,5</w:t>
            </w:r>
          </w:p>
        </w:tc>
        <w:tc>
          <w:tcPr>
            <w:tcW w:w="905"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9,5</w:t>
            </w:r>
          </w:p>
        </w:tc>
        <w:tc>
          <w:tcPr>
            <w:tcW w:w="1094"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-15,1</w:t>
            </w:r>
          </w:p>
        </w:tc>
      </w:tr>
      <w:tr w:rsidR="00281242" w:rsidRPr="00CA196C" w:rsidTr="00F203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 (FBCF&amp;VS)</w:t>
            </w:r>
          </w:p>
        </w:tc>
        <w:tc>
          <w:tcPr>
            <w:tcW w:w="992"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745,7</w:t>
            </w:r>
          </w:p>
        </w:tc>
        <w:tc>
          <w:tcPr>
            <w:tcW w:w="849"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544,3</w:t>
            </w:r>
          </w:p>
        </w:tc>
        <w:tc>
          <w:tcPr>
            <w:tcW w:w="838"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634,9</w:t>
            </w:r>
          </w:p>
        </w:tc>
        <w:tc>
          <w:tcPr>
            <w:tcW w:w="905"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518,6</w:t>
            </w:r>
          </w:p>
        </w:tc>
        <w:tc>
          <w:tcPr>
            <w:tcW w:w="1094"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455,1</w:t>
            </w:r>
          </w:p>
        </w:tc>
      </w:tr>
      <w:tr w:rsidR="00281242" w:rsidRPr="00CA196C" w:rsidTr="00F203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Capacité/Besoin de financement</w:t>
            </w:r>
          </w:p>
        </w:tc>
        <w:tc>
          <w:tcPr>
            <w:tcW w:w="992"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-146,3</w:t>
            </w:r>
          </w:p>
        </w:tc>
        <w:tc>
          <w:tcPr>
            <w:tcW w:w="849"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-233,8</w:t>
            </w:r>
          </w:p>
        </w:tc>
        <w:tc>
          <w:tcPr>
            <w:tcW w:w="838"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-482,4</w:t>
            </w:r>
          </w:p>
        </w:tc>
        <w:tc>
          <w:tcPr>
            <w:tcW w:w="905"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-509,1</w:t>
            </w:r>
          </w:p>
        </w:tc>
        <w:tc>
          <w:tcPr>
            <w:tcW w:w="1094"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-470,2</w:t>
            </w:r>
          </w:p>
        </w:tc>
      </w:tr>
      <w:tr w:rsidR="00281242" w:rsidRPr="00CA196C" w:rsidTr="00F203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Investissements (FBCF)</w:t>
            </w:r>
          </w:p>
        </w:tc>
        <w:tc>
          <w:tcPr>
            <w:tcW w:w="992"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498,7</w:t>
            </w:r>
          </w:p>
        </w:tc>
        <w:tc>
          <w:tcPr>
            <w:tcW w:w="849"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512,3</w:t>
            </w:r>
          </w:p>
        </w:tc>
        <w:tc>
          <w:tcPr>
            <w:tcW w:w="838"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604,9</w:t>
            </w:r>
          </w:p>
        </w:tc>
        <w:tc>
          <w:tcPr>
            <w:tcW w:w="905"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543,1</w:t>
            </w:r>
          </w:p>
        </w:tc>
        <w:tc>
          <w:tcPr>
            <w:tcW w:w="1094"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551,4</w:t>
            </w:r>
          </w:p>
        </w:tc>
      </w:tr>
      <w:tr w:rsidR="00281242" w:rsidRPr="00CA196C" w:rsidTr="00F2030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Investissement public</w:t>
            </w:r>
          </w:p>
        </w:tc>
        <w:tc>
          <w:tcPr>
            <w:tcW w:w="992"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199,4</w:t>
            </w:r>
          </w:p>
        </w:tc>
        <w:tc>
          <w:tcPr>
            <w:tcW w:w="849"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199,0</w:t>
            </w:r>
          </w:p>
        </w:tc>
        <w:tc>
          <w:tcPr>
            <w:tcW w:w="838"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205,7</w:t>
            </w:r>
          </w:p>
        </w:tc>
        <w:tc>
          <w:tcPr>
            <w:tcW w:w="905"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143,8</w:t>
            </w:r>
          </w:p>
        </w:tc>
        <w:tc>
          <w:tcPr>
            <w:tcW w:w="1094" w:type="dxa"/>
            <w:noWrap/>
            <w:hideMark/>
          </w:tcPr>
          <w:p w:rsidR="00DE3A23" w:rsidRPr="00CA196C" w:rsidRDefault="00DE3A23" w:rsidP="00281242">
            <w:pPr>
              <w:ind w:left="57" w:right="57"/>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148,1</w:t>
            </w:r>
          </w:p>
        </w:tc>
      </w:tr>
      <w:tr w:rsidR="00281242" w:rsidRPr="00CA196C" w:rsidTr="00F2030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rsidR="00DE3A23" w:rsidRPr="00CA196C" w:rsidRDefault="00DE3A23" w:rsidP="008C3209">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Investissement privé</w:t>
            </w:r>
          </w:p>
        </w:tc>
        <w:tc>
          <w:tcPr>
            <w:tcW w:w="992"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299,3</w:t>
            </w:r>
          </w:p>
        </w:tc>
        <w:tc>
          <w:tcPr>
            <w:tcW w:w="849"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313,3</w:t>
            </w:r>
          </w:p>
        </w:tc>
        <w:tc>
          <w:tcPr>
            <w:tcW w:w="838"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399,2</w:t>
            </w:r>
          </w:p>
        </w:tc>
        <w:tc>
          <w:tcPr>
            <w:tcW w:w="905"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399,4</w:t>
            </w:r>
          </w:p>
        </w:tc>
        <w:tc>
          <w:tcPr>
            <w:tcW w:w="1094" w:type="dxa"/>
            <w:noWrap/>
            <w:hideMark/>
          </w:tcPr>
          <w:p w:rsidR="00DE3A23" w:rsidRPr="00CA196C" w:rsidRDefault="00DE3A23" w:rsidP="00281242">
            <w:pPr>
              <w:ind w:left="57" w:right="57"/>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403,3</w:t>
            </w:r>
          </w:p>
        </w:tc>
      </w:tr>
    </w:tbl>
    <w:p w:rsidR="00431A90" w:rsidRPr="00CA196C" w:rsidRDefault="00DE3A23" w:rsidP="00E92676">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w:t>
      </w:r>
      <w:r w:rsidR="00431A90" w:rsidRPr="00CA196C">
        <w:rPr>
          <w:rFonts w:ascii="Bookman Old Style" w:eastAsia="Times New Roman" w:hAnsi="Bookman Old Style" w:cs="Times New Roman"/>
          <w:i/>
          <w:sz w:val="20"/>
          <w:szCs w:val="20"/>
        </w:rPr>
        <w:t>(e) : Estimations</w:t>
      </w:r>
    </w:p>
    <w:p w:rsidR="00DE3A23" w:rsidRPr="00CA196C" w:rsidRDefault="00DE3A23" w:rsidP="006429B1">
      <w:pPr>
        <w:spacing w:after="0" w:line="240" w:lineRule="auto"/>
        <w:ind w:left="851" w:hanging="851"/>
        <w:jc w:val="both"/>
        <w:rPr>
          <w:rFonts w:ascii="Bookman Old Style" w:eastAsia="Times New Roman" w:hAnsi="Bookman Old Style" w:cs="Times New Roman"/>
          <w:sz w:val="24"/>
          <w:szCs w:val="24"/>
        </w:rPr>
      </w:pPr>
      <w:r w:rsidRPr="00CA196C">
        <w:rPr>
          <w:rFonts w:ascii="Bookman Old Style" w:eastAsia="Times New Roman" w:hAnsi="Bookman Old Style" w:cs="Times New Roman"/>
          <w:b/>
          <w:sz w:val="24"/>
          <w:szCs w:val="24"/>
          <w:u w:val="single"/>
        </w:rPr>
        <w:t>Source:</w:t>
      </w:r>
      <w:r w:rsidRPr="00CA196C">
        <w:rPr>
          <w:rFonts w:ascii="Bookman Old Style" w:eastAsia="Times New Roman" w:hAnsi="Bookman Old Style" w:cs="Times New Roman"/>
          <w:sz w:val="24"/>
          <w:szCs w:val="24"/>
        </w:rPr>
        <w:t xml:space="preserve"> Estimations faites à l'aide du Modèle MACMOD_BI et ISTEEBU, Comptes Economiques du Burundi 2012-2014</w:t>
      </w:r>
    </w:p>
    <w:p w:rsidR="00431A90" w:rsidRPr="00CA196C" w:rsidRDefault="00431A90" w:rsidP="00E92676">
      <w:pPr>
        <w:spacing w:after="0" w:line="240" w:lineRule="auto"/>
        <w:ind w:left="709" w:hanging="709"/>
        <w:jc w:val="both"/>
        <w:rPr>
          <w:rFonts w:ascii="Bookman Old Style" w:eastAsia="Times New Roman" w:hAnsi="Bookman Old Style" w:cs="Times New Roman"/>
          <w:sz w:val="24"/>
          <w:szCs w:val="24"/>
        </w:rPr>
      </w:pPr>
    </w:p>
    <w:p w:rsidR="00DE3A23" w:rsidRPr="00CA196C" w:rsidRDefault="00DE3A23" w:rsidP="00CD26FF">
      <w:pPr>
        <w:numPr>
          <w:ilvl w:val="0"/>
          <w:numId w:val="5"/>
        </w:numPr>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eastAsia="Times New Roman" w:hAnsi="Bookman Old Style" w:cs="Times New Roman"/>
          <w:b/>
          <w:sz w:val="24"/>
          <w:szCs w:val="24"/>
        </w:rPr>
        <w:t>La gestion des finances publiques mise en place, pendant la période 2012-2016, était axée sur la mise en œuvre des réformes budgétaires</w:t>
      </w:r>
      <w:r w:rsidRPr="00CA196C">
        <w:rPr>
          <w:rFonts w:ascii="Bookman Old Style" w:eastAsia="Times New Roman" w:hAnsi="Bookman Old Style" w:cs="Times New Roman"/>
          <w:sz w:val="24"/>
          <w:szCs w:val="24"/>
        </w:rPr>
        <w:t xml:space="preserve"> entamée avec la loi n°1/35 du 04 Décembre 2008 relative aux finances publiques et la gestion du budget prudente afin de sauvegarder l’équilibre macroéconomique et d’accroître la croissance économique. Cette politique budgétaire consiste également à mettre en œuvre des réformes visant à accroître le recouvrement des ressources de l’Etat. Les recettes publiques ont représenté en moyenne 14,5% du PIB</w:t>
      </w:r>
      <w:r w:rsidR="00F2030C"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sz w:val="24"/>
          <w:szCs w:val="24"/>
        </w:rPr>
        <w:t>contre 14,4% du PIB entre 2007 et 2011. En termes nominaux, elles sont passées de 527,6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 en 2012 à 637,8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 en 2016</w:t>
      </w:r>
      <w:r w:rsidR="00AA6234"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sz w:val="24"/>
          <w:szCs w:val="24"/>
        </w:rPr>
        <w:t>soit un accroissement de 110,2 M</w:t>
      </w:r>
      <w:r w:rsidR="00244966">
        <w:rPr>
          <w:rFonts w:ascii="Bookman Old Style" w:eastAsia="Times New Roman" w:hAnsi="Bookman Old Style" w:cs="Times New Roman"/>
          <w:sz w:val="24"/>
          <w:szCs w:val="24"/>
        </w:rPr>
        <w:t>illia</w:t>
      </w:r>
      <w:r w:rsidRPr="00CA196C">
        <w:rPr>
          <w:rFonts w:ascii="Bookman Old Style" w:eastAsia="Times New Roman" w:hAnsi="Bookman Old Style" w:cs="Times New Roman"/>
          <w:sz w:val="24"/>
          <w:szCs w:val="24"/>
        </w:rPr>
        <w:t>rds de BIF pendant les cinq ans</w:t>
      </w:r>
      <w:r w:rsidR="00AA6234" w:rsidRPr="00CA196C">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xml:space="preserve">. Au niveau des dépenses, le </w:t>
      </w:r>
      <w:r w:rsidR="00D71F7F" w:rsidRPr="00CA196C">
        <w:rPr>
          <w:rFonts w:ascii="Bookman Old Style" w:eastAsia="Times New Roman" w:hAnsi="Bookman Old Style" w:cs="Times New Roman"/>
          <w:sz w:val="24"/>
          <w:szCs w:val="24"/>
        </w:rPr>
        <w:t>Gouvernement</w:t>
      </w:r>
      <w:r w:rsidRPr="00CA196C">
        <w:rPr>
          <w:rFonts w:ascii="Bookman Old Style" w:eastAsia="Times New Roman" w:hAnsi="Bookman Old Style" w:cs="Times New Roman"/>
          <w:sz w:val="24"/>
          <w:szCs w:val="24"/>
        </w:rPr>
        <w:t xml:space="preserve"> a poursuivi la politique budgétaire prudente dans le cadre de l’exécution du budget. Cela a permis de contenir la progression des dépenses publiques qui sont passées de 37,3% du PIB  en 2012 à 30,7% du PIB en 2015</w:t>
      </w:r>
      <w:r w:rsidR="00AA6234" w:rsidRPr="00CA196C">
        <w:rPr>
          <w:rFonts w:ascii="Bookman Old Style" w:eastAsia="Times New Roman" w:hAnsi="Bookman Old Style" w:cs="Times New Roman"/>
          <w:sz w:val="24"/>
          <w:szCs w:val="24"/>
        </w:rPr>
        <w:t xml:space="preserve"> (soit une baisse de 6 points)</w:t>
      </w:r>
      <w:r w:rsidRPr="00CA196C">
        <w:rPr>
          <w:rFonts w:ascii="Bookman Old Style" w:eastAsia="Times New Roman" w:hAnsi="Bookman Old Style" w:cs="Times New Roman"/>
          <w:sz w:val="24"/>
          <w:szCs w:val="24"/>
        </w:rPr>
        <w:t>.</w:t>
      </w:r>
    </w:p>
    <w:p w:rsidR="00AA6234" w:rsidRPr="00CA196C" w:rsidRDefault="00AA6234" w:rsidP="008C3209">
      <w:pPr>
        <w:spacing w:before="160" w:after="120" w:line="240" w:lineRule="auto"/>
        <w:contextualSpacing/>
        <w:jc w:val="both"/>
        <w:rPr>
          <w:rFonts w:ascii="Bookman Old Style" w:eastAsia="Times New Roman" w:hAnsi="Bookman Old Style" w:cs="Times New Roman"/>
          <w:sz w:val="24"/>
          <w:szCs w:val="24"/>
        </w:rPr>
      </w:pPr>
    </w:p>
    <w:p w:rsidR="00DE3A23" w:rsidRPr="00CA196C" w:rsidRDefault="00DE3A23" w:rsidP="00D76FCA">
      <w:pPr>
        <w:pStyle w:val="Titre"/>
        <w:rPr>
          <w:rFonts w:ascii="Bookman Old Style" w:hAnsi="Bookman Old Style"/>
        </w:rPr>
      </w:pPr>
      <w:bookmarkStart w:id="131" w:name="_Toc511076244"/>
      <w:bookmarkStart w:id="132" w:name="_Toc511080878"/>
      <w:bookmarkStart w:id="133" w:name="_Toc511081554"/>
      <w:r w:rsidRPr="00CA196C">
        <w:rPr>
          <w:rFonts w:ascii="Bookman Old Style" w:hAnsi="Bookman Old Style"/>
        </w:rPr>
        <w:t xml:space="preserve">Tableau </w:t>
      </w:r>
      <w:r w:rsidR="00E86D60" w:rsidRPr="00CA196C">
        <w:rPr>
          <w:rFonts w:ascii="Bookman Old Style" w:hAnsi="Bookman Old Style"/>
        </w:rPr>
        <w:t>5</w:t>
      </w:r>
      <w:r w:rsidRPr="00CA196C">
        <w:rPr>
          <w:rFonts w:ascii="Bookman Old Style" w:hAnsi="Bookman Old Style"/>
        </w:rPr>
        <w:t>: Evolution des indicateurs des finances publiques</w:t>
      </w:r>
      <w:bookmarkEnd w:id="131"/>
      <w:bookmarkEnd w:id="132"/>
      <w:bookmarkEnd w:id="133"/>
    </w:p>
    <w:tbl>
      <w:tblPr>
        <w:tblStyle w:val="Grilleclaire-Accent5"/>
        <w:tblW w:w="9180" w:type="dxa"/>
        <w:tblLayout w:type="fixed"/>
        <w:tblLook w:val="04A0" w:firstRow="1" w:lastRow="0" w:firstColumn="1" w:lastColumn="0" w:noHBand="0" w:noVBand="1"/>
      </w:tblPr>
      <w:tblGrid>
        <w:gridCol w:w="3794"/>
        <w:gridCol w:w="1276"/>
        <w:gridCol w:w="992"/>
        <w:gridCol w:w="1276"/>
        <w:gridCol w:w="850"/>
        <w:gridCol w:w="992"/>
      </w:tblGrid>
      <w:tr w:rsidR="00AA6234" w:rsidRPr="00CA196C" w:rsidTr="008C32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xml:space="preserve">Indicateurs </w:t>
            </w:r>
            <w:r w:rsidR="00AA6234" w:rsidRPr="00CA196C">
              <w:rPr>
                <w:rFonts w:ascii="Bookman Old Style" w:eastAsia="Times New Roman" w:hAnsi="Bookman Old Style" w:cs="Times New Roman"/>
                <w:i/>
                <w:kern w:val="28"/>
                <w:sz w:val="20"/>
                <w:szCs w:val="20"/>
              </w:rPr>
              <w:t xml:space="preserve"> </w:t>
            </w:r>
            <w:r w:rsidR="00AA6234" w:rsidRPr="00CA196C">
              <w:rPr>
                <w:rFonts w:ascii="Bookman Old Style" w:eastAsia="Times New Roman" w:hAnsi="Bookman Old Style" w:cs="Times New Roman"/>
                <w:sz w:val="20"/>
                <w:szCs w:val="20"/>
              </w:rPr>
              <w:t>(en Mrds de BIF)</w:t>
            </w:r>
          </w:p>
        </w:tc>
        <w:tc>
          <w:tcPr>
            <w:tcW w:w="1276"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2012</w:t>
            </w:r>
          </w:p>
        </w:tc>
        <w:tc>
          <w:tcPr>
            <w:tcW w:w="992"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2013</w:t>
            </w:r>
          </w:p>
        </w:tc>
        <w:tc>
          <w:tcPr>
            <w:tcW w:w="1276"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2014</w:t>
            </w:r>
          </w:p>
        </w:tc>
        <w:tc>
          <w:tcPr>
            <w:tcW w:w="850"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2015</w:t>
            </w:r>
          </w:p>
        </w:tc>
        <w:tc>
          <w:tcPr>
            <w:tcW w:w="992" w:type="dxa"/>
            <w:noWrap/>
            <w:hideMark/>
          </w:tcPr>
          <w:p w:rsidR="00DE3A23" w:rsidRPr="00CA196C" w:rsidRDefault="00DE3A23" w:rsidP="00F2030C">
            <w:pPr>
              <w:ind w:left="57" w:right="57"/>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2016 (</w:t>
            </w:r>
            <w:r w:rsidR="00AA6234" w:rsidRPr="00CA196C">
              <w:rPr>
                <w:rFonts w:ascii="Bookman Old Style" w:eastAsia="Times New Roman" w:hAnsi="Bookman Old Style" w:cs="Times New Roman"/>
                <w:sz w:val="20"/>
                <w:szCs w:val="20"/>
              </w:rPr>
              <w:t>e)</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F66DB8" w:rsidP="00F2030C">
            <w:pPr>
              <w:spacing w:after="200"/>
              <w:ind w:left="57" w:right="57"/>
              <w:jc w:val="both"/>
              <w:rPr>
                <w:rFonts w:ascii="Bookman Old Style" w:eastAsia="Times New Roman" w:hAnsi="Bookman Old Style" w:cs="Times New Roman"/>
                <w:b w:val="0"/>
                <w:sz w:val="20"/>
                <w:szCs w:val="20"/>
              </w:rPr>
            </w:pPr>
            <w:r>
              <w:rPr>
                <w:rFonts w:ascii="Bookman Old Style" w:eastAsia="Times New Roman" w:hAnsi="Bookman Old Style" w:cs="Times New Roman"/>
                <w:sz w:val="20"/>
                <w:szCs w:val="20"/>
              </w:rPr>
              <w:t>Recettes domestiques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526,7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561,3</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652,2</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590,7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637,8</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dont </w:t>
            </w:r>
            <w:r w:rsidR="00AA6234" w:rsidRPr="00CA196C">
              <w:rPr>
                <w:rFonts w:ascii="Bookman Old Style" w:eastAsia="Times New Roman" w:hAnsi="Bookman Old Style" w:cs="Times New Roman"/>
                <w:sz w:val="20"/>
                <w:szCs w:val="20"/>
              </w:rPr>
              <w:t xml:space="preserve">les </w:t>
            </w:r>
            <w:r w:rsidRPr="00CA196C">
              <w:rPr>
                <w:rFonts w:ascii="Bookman Old Style" w:eastAsia="Times New Roman" w:hAnsi="Bookman Old Style" w:cs="Times New Roman"/>
                <w:sz w:val="20"/>
                <w:szCs w:val="20"/>
              </w:rPr>
              <w:t>Recettes fiscales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491,8</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523,5</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568,5</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549,7</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584,6</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totales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1254,6</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1084,9</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1399,9</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1359,4</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1064</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courantes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568,6</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627,1</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674,3</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724,7</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788,2</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lastRenderedPageBreak/>
              <w:t>Dépenses en capital</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477,3</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441,9</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707,8</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472,2</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238,3</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Financées sur ressources propres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91,1</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94,3</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102,7</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87,3</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116,8</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Financées sur ressources extérieures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386,2</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347,6</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605,2</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385</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121,5</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xml:space="preserve">Ratios au PIB </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b/>
                <w:sz w:val="20"/>
                <w:szCs w:val="20"/>
              </w:rPr>
            </w:pP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Recettes totales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15,6%</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14,7%</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15,6%</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13,4%</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13,4%</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 xml:space="preserve">   dont Recettes fiscales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14,6%</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13,7%</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13,6%</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12,4%</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12,3%</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totales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37,3%</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28,5%</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33,5%</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30,7%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22,4%</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courantes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16,9%</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16,4%</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16,1%</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16,4%</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16,6%</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Dépenses en capital</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14,2%</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11,6%</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16,9%</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10,7%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5,0%</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Financées sur ressources propres</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2,5%</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2,5%</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2,5%</w:t>
            </w:r>
          </w:p>
        </w:tc>
      </w:tr>
      <w:tr w:rsidR="00AA6234" w:rsidRPr="00CA196C" w:rsidTr="008C3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Financées sur ressources extérieures</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11,5%</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9,1%</w:t>
            </w:r>
          </w:p>
        </w:tc>
        <w:tc>
          <w:tcPr>
            <w:tcW w:w="1276"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14,5%</w:t>
            </w:r>
          </w:p>
        </w:tc>
        <w:tc>
          <w:tcPr>
            <w:tcW w:w="850"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8,7%</w:t>
            </w:r>
          </w:p>
        </w:tc>
        <w:tc>
          <w:tcPr>
            <w:tcW w:w="992" w:type="dxa"/>
            <w:noWrap/>
            <w:hideMark/>
          </w:tcPr>
          <w:p w:rsidR="00DE3A23" w:rsidRPr="00CA196C" w:rsidRDefault="00DE3A23" w:rsidP="00F2030C">
            <w:pPr>
              <w:ind w:left="57" w:right="57"/>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2,6%</w:t>
            </w:r>
          </w:p>
        </w:tc>
      </w:tr>
      <w:tr w:rsidR="00AA6234" w:rsidRPr="00CA196C" w:rsidTr="008C320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noWrap/>
            <w:hideMark/>
          </w:tcPr>
          <w:p w:rsidR="00DE3A23" w:rsidRPr="00CA196C" w:rsidRDefault="00DE3A23" w:rsidP="00F2030C">
            <w:pPr>
              <w:spacing w:after="200"/>
              <w:ind w:left="57" w:right="57"/>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Solde Budgétaire global (en % du PIB)</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-3,4%</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w:t>
            </w:r>
          </w:p>
        </w:tc>
        <w:tc>
          <w:tcPr>
            <w:tcW w:w="1276"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-2,6%</w:t>
            </w:r>
          </w:p>
        </w:tc>
        <w:tc>
          <w:tcPr>
            <w:tcW w:w="850"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-7,2%</w:t>
            </w:r>
          </w:p>
        </w:tc>
        <w:tc>
          <w:tcPr>
            <w:tcW w:w="992" w:type="dxa"/>
            <w:noWrap/>
            <w:hideMark/>
          </w:tcPr>
          <w:p w:rsidR="00DE3A23" w:rsidRPr="00CA196C" w:rsidRDefault="00DE3A23" w:rsidP="00F2030C">
            <w:pPr>
              <w:ind w:left="57" w:right="57"/>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-5,2%</w:t>
            </w:r>
          </w:p>
        </w:tc>
      </w:tr>
    </w:tbl>
    <w:p w:rsidR="00AA6234" w:rsidRPr="00CA196C" w:rsidRDefault="00AA6234" w:rsidP="00AA6234">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i/>
          <w:sz w:val="20"/>
          <w:szCs w:val="20"/>
        </w:rPr>
        <w:t>(e) : Estimations</w:t>
      </w:r>
    </w:p>
    <w:p w:rsidR="00DE3A23" w:rsidRPr="00CA196C" w:rsidRDefault="00DE3A23" w:rsidP="00E92676">
      <w:pPr>
        <w:spacing w:before="160" w:after="120" w:line="240" w:lineRule="auto"/>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u w:val="single"/>
        </w:rPr>
        <w:t>Source</w:t>
      </w:r>
      <w:r w:rsidRPr="00CA196C">
        <w:rPr>
          <w:rFonts w:ascii="Bookman Old Style" w:eastAsia="Times New Roman" w:hAnsi="Bookman Old Style" w:cs="Times New Roman"/>
          <w:sz w:val="24"/>
          <w:szCs w:val="24"/>
        </w:rPr>
        <w:t xml:space="preserve">: Modèle MACMOD_BI et du MFBP, Rapports sur l'exécution du budget 2012-2015  </w:t>
      </w:r>
    </w:p>
    <w:p w:rsidR="00DE3A23" w:rsidRPr="00CA196C" w:rsidRDefault="00AA6234" w:rsidP="00CD26FF">
      <w:pPr>
        <w:numPr>
          <w:ilvl w:val="0"/>
          <w:numId w:val="5"/>
        </w:numPr>
        <w:spacing w:before="160" w:after="120" w:line="240" w:lineRule="auto"/>
        <w:contextualSpacing/>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Au niveau des échanges extérieurs, l</w:t>
      </w:r>
      <w:r w:rsidR="00DE3A23" w:rsidRPr="00CA196C">
        <w:rPr>
          <w:rFonts w:ascii="Bookman Old Style" w:eastAsia="Times New Roman" w:hAnsi="Bookman Old Style" w:cs="Times New Roman"/>
          <w:sz w:val="24"/>
          <w:szCs w:val="24"/>
        </w:rPr>
        <w:t xml:space="preserve">a balance commerciale est structurellement déficitaire. </w:t>
      </w:r>
      <w:r w:rsidRPr="00CA196C">
        <w:rPr>
          <w:rFonts w:ascii="Bookman Old Style" w:eastAsia="Times New Roman" w:hAnsi="Bookman Old Style" w:cs="Times New Roman"/>
          <w:sz w:val="24"/>
          <w:szCs w:val="24"/>
        </w:rPr>
        <w:t>Les</w:t>
      </w:r>
      <w:r w:rsidR="00DE3A23" w:rsidRPr="00CA196C">
        <w:rPr>
          <w:rFonts w:ascii="Bookman Old Style" w:eastAsia="Times New Roman" w:hAnsi="Bookman Old Style" w:cs="Times New Roman"/>
          <w:sz w:val="24"/>
          <w:szCs w:val="24"/>
        </w:rPr>
        <w:t xml:space="preserve"> importations sont plus élevées que les exportations et connaissent une croissance plus prononcée. En 2015, le taux de couverture des importations par les exportations s'</w:t>
      </w:r>
      <w:r w:rsidR="00CE5851" w:rsidRPr="00CA196C">
        <w:rPr>
          <w:rFonts w:ascii="Bookman Old Style" w:eastAsia="Times New Roman" w:hAnsi="Bookman Old Style" w:cs="Times New Roman"/>
          <w:sz w:val="24"/>
          <w:szCs w:val="24"/>
        </w:rPr>
        <w:t>élev</w:t>
      </w:r>
      <w:r w:rsidR="00CE5851">
        <w:rPr>
          <w:rFonts w:ascii="Bookman Old Style" w:eastAsia="Times New Roman" w:hAnsi="Bookman Old Style" w:cs="Times New Roman"/>
          <w:sz w:val="24"/>
          <w:szCs w:val="24"/>
        </w:rPr>
        <w:t>ait</w:t>
      </w:r>
      <w:r w:rsidR="00DE3A23" w:rsidRPr="00CA196C">
        <w:rPr>
          <w:rFonts w:ascii="Bookman Old Style" w:eastAsia="Times New Roman" w:hAnsi="Bookman Old Style" w:cs="Times New Roman"/>
          <w:sz w:val="24"/>
          <w:szCs w:val="24"/>
        </w:rPr>
        <w:t xml:space="preserve"> à 20,3% alors qu’il était de 18,8% en 2012, soit un gain de 1,5 point de pourcentage. </w:t>
      </w:r>
    </w:p>
    <w:p w:rsidR="00A40657" w:rsidRPr="00CA196C" w:rsidRDefault="00A40657" w:rsidP="008C3209">
      <w:pPr>
        <w:spacing w:before="160" w:after="120" w:line="240" w:lineRule="auto"/>
        <w:ind w:left="360"/>
        <w:contextualSpacing/>
        <w:jc w:val="both"/>
        <w:rPr>
          <w:rFonts w:ascii="Bookman Old Style" w:eastAsia="Times New Roman" w:hAnsi="Bookman Old Style" w:cs="Times New Roman"/>
          <w:sz w:val="24"/>
          <w:szCs w:val="24"/>
        </w:rPr>
      </w:pPr>
    </w:p>
    <w:p w:rsidR="00DE3A23" w:rsidRPr="00CA196C" w:rsidRDefault="00DE3A23" w:rsidP="00D76FCA">
      <w:pPr>
        <w:pStyle w:val="Titre"/>
        <w:rPr>
          <w:rFonts w:ascii="Bookman Old Style" w:hAnsi="Bookman Old Style"/>
        </w:rPr>
      </w:pPr>
      <w:bookmarkStart w:id="134" w:name="_Toc511076245"/>
      <w:bookmarkStart w:id="135" w:name="_Toc511080879"/>
      <w:bookmarkStart w:id="136" w:name="_Toc511081555"/>
      <w:r w:rsidRPr="00CA196C">
        <w:rPr>
          <w:rFonts w:ascii="Bookman Old Style" w:hAnsi="Bookman Old Style"/>
        </w:rPr>
        <w:t xml:space="preserve">Tableau </w:t>
      </w:r>
      <w:r w:rsidR="00014B8B" w:rsidRPr="00CA196C">
        <w:rPr>
          <w:rFonts w:ascii="Bookman Old Style" w:hAnsi="Bookman Old Style"/>
        </w:rPr>
        <w:t>6</w:t>
      </w:r>
      <w:r w:rsidRPr="00CA196C">
        <w:rPr>
          <w:rFonts w:ascii="Bookman Old Style" w:hAnsi="Bookman Old Style"/>
        </w:rPr>
        <w:t>: Evolution des indicateurs du secteur extérieur</w:t>
      </w:r>
      <w:bookmarkEnd w:id="134"/>
      <w:bookmarkEnd w:id="135"/>
      <w:bookmarkEnd w:id="136"/>
    </w:p>
    <w:tbl>
      <w:tblPr>
        <w:tblStyle w:val="Grilleclaire-Accent5"/>
        <w:tblW w:w="9073" w:type="dxa"/>
        <w:tblLook w:val="04A0" w:firstRow="1" w:lastRow="0" w:firstColumn="1" w:lastColumn="0" w:noHBand="0" w:noVBand="1"/>
      </w:tblPr>
      <w:tblGrid>
        <w:gridCol w:w="4520"/>
        <w:gridCol w:w="996"/>
        <w:gridCol w:w="853"/>
        <w:gridCol w:w="854"/>
        <w:gridCol w:w="853"/>
        <w:gridCol w:w="997"/>
      </w:tblGrid>
      <w:tr w:rsidR="00DE3A23" w:rsidRPr="00CA196C" w:rsidTr="00C35DC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AA6234" w:rsidP="00C35DC0">
            <w:pPr>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xml:space="preserve">Indicateurs </w:t>
            </w:r>
          </w:p>
        </w:tc>
        <w:tc>
          <w:tcPr>
            <w:tcW w:w="996"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2012</w:t>
            </w:r>
          </w:p>
        </w:tc>
        <w:tc>
          <w:tcPr>
            <w:tcW w:w="853"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2013</w:t>
            </w:r>
          </w:p>
        </w:tc>
        <w:tc>
          <w:tcPr>
            <w:tcW w:w="854"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2014</w:t>
            </w:r>
          </w:p>
        </w:tc>
        <w:tc>
          <w:tcPr>
            <w:tcW w:w="853"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2015</w:t>
            </w:r>
          </w:p>
        </w:tc>
        <w:tc>
          <w:tcPr>
            <w:tcW w:w="997" w:type="dxa"/>
            <w:noWrap/>
            <w:hideMark/>
          </w:tcPr>
          <w:p w:rsidR="00DE3A23" w:rsidRPr="00CA196C" w:rsidRDefault="00DE3A23" w:rsidP="00C35DC0">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val="0"/>
                <w:bCs w:val="0"/>
                <w:sz w:val="20"/>
                <w:szCs w:val="20"/>
              </w:rPr>
            </w:pPr>
            <w:r w:rsidRPr="00CA196C">
              <w:rPr>
                <w:rFonts w:ascii="Bookman Old Style" w:eastAsia="Times New Roman" w:hAnsi="Bookman Old Style" w:cs="Times New Roman"/>
                <w:sz w:val="20"/>
                <w:szCs w:val="20"/>
              </w:rPr>
              <w:t>2016 (</w:t>
            </w:r>
            <w:r w:rsidR="00AA6234" w:rsidRPr="00CA196C">
              <w:rPr>
                <w:rFonts w:ascii="Bookman Old Style" w:eastAsia="Times New Roman" w:hAnsi="Bookman Old Style" w:cs="Times New Roman"/>
                <w:sz w:val="20"/>
                <w:szCs w:val="20"/>
              </w:rPr>
              <w:t>e</w:t>
            </w:r>
            <w:r w:rsidRPr="00CA196C">
              <w:rPr>
                <w:rFonts w:ascii="Bookman Old Style" w:eastAsia="Times New Roman" w:hAnsi="Bookman Old Style" w:cs="Times New Roman"/>
                <w:sz w:val="20"/>
                <w:szCs w:val="20"/>
              </w:rPr>
              <w:t>)</w:t>
            </w:r>
          </w:p>
        </w:tc>
      </w:tr>
      <w:tr w:rsidR="00AA6234" w:rsidRPr="00CA196C" w:rsidTr="00C35DC0">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DE3A23" w:rsidP="00C35DC0">
            <w:pPr>
              <w:spacing w:after="200"/>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Exportation de biens (en % du PIB)</w:t>
            </w:r>
          </w:p>
        </w:tc>
        <w:tc>
          <w:tcPr>
            <w:tcW w:w="996"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5,8%</w:t>
            </w:r>
          </w:p>
        </w:tc>
        <w:tc>
          <w:tcPr>
            <w:tcW w:w="853"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w:t>
            </w:r>
          </w:p>
        </w:tc>
        <w:tc>
          <w:tcPr>
            <w:tcW w:w="854"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4,9%</w:t>
            </w:r>
          </w:p>
        </w:tc>
        <w:tc>
          <w:tcPr>
            <w:tcW w:w="853"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4,3%</w:t>
            </w:r>
          </w:p>
        </w:tc>
        <w:tc>
          <w:tcPr>
            <w:tcW w:w="997"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w:t>
            </w:r>
          </w:p>
        </w:tc>
      </w:tr>
      <w:tr w:rsidR="00DE3A23" w:rsidRPr="00CA196C" w:rsidTr="00C35DC0">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DE3A23" w:rsidP="00C35DC0">
            <w:pPr>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Importation  de biens (en % du PIB)</w:t>
            </w:r>
          </w:p>
        </w:tc>
        <w:tc>
          <w:tcPr>
            <w:tcW w:w="996"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30,5%</w:t>
            </w:r>
          </w:p>
        </w:tc>
        <w:tc>
          <w:tcPr>
            <w:tcW w:w="853"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27,6%</w:t>
            </w:r>
          </w:p>
        </w:tc>
        <w:tc>
          <w:tcPr>
            <w:tcW w:w="854"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24,2%</w:t>
            </w:r>
          </w:p>
        </w:tc>
        <w:tc>
          <w:tcPr>
            <w:tcW w:w="853"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21,5%</w:t>
            </w:r>
          </w:p>
        </w:tc>
        <w:tc>
          <w:tcPr>
            <w:tcW w:w="997"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18,3%</w:t>
            </w:r>
          </w:p>
        </w:tc>
      </w:tr>
      <w:tr w:rsidR="00AA6234" w:rsidRPr="00CA196C" w:rsidTr="00C35DC0">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DE3A23" w:rsidP="00C35DC0">
            <w:pPr>
              <w:spacing w:after="200"/>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Taux de couverture Export/Import (en %)</w:t>
            </w:r>
          </w:p>
        </w:tc>
        <w:tc>
          <w:tcPr>
            <w:tcW w:w="996"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18,9%</w:t>
            </w:r>
          </w:p>
        </w:tc>
        <w:tc>
          <w:tcPr>
            <w:tcW w:w="853"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13,9%</w:t>
            </w:r>
          </w:p>
        </w:tc>
        <w:tc>
          <w:tcPr>
            <w:tcW w:w="854"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w:t>
            </w:r>
          </w:p>
        </w:tc>
        <w:tc>
          <w:tcPr>
            <w:tcW w:w="853"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20,0%</w:t>
            </w:r>
          </w:p>
        </w:tc>
        <w:tc>
          <w:tcPr>
            <w:tcW w:w="997" w:type="dxa"/>
            <w:noWrap/>
            <w:hideMark/>
          </w:tcPr>
          <w:p w:rsidR="00DE3A23" w:rsidRPr="00CA196C" w:rsidRDefault="00DE3A23" w:rsidP="00C35DC0">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20,3%</w:t>
            </w:r>
          </w:p>
        </w:tc>
      </w:tr>
      <w:tr w:rsidR="00DE3A23" w:rsidRPr="00CA196C" w:rsidTr="00C35DC0">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4520" w:type="dxa"/>
            <w:noWrap/>
            <w:hideMark/>
          </w:tcPr>
          <w:p w:rsidR="00DE3A23" w:rsidRPr="00CA196C" w:rsidRDefault="00DE3A23" w:rsidP="00C35DC0">
            <w:pPr>
              <w:jc w:val="both"/>
              <w:rPr>
                <w:rFonts w:ascii="Bookman Old Style" w:eastAsia="Times New Roman" w:hAnsi="Bookman Old Style" w:cs="Times New Roman"/>
                <w:b w:val="0"/>
                <w:sz w:val="20"/>
                <w:szCs w:val="20"/>
              </w:rPr>
            </w:pPr>
            <w:r w:rsidRPr="00CA196C">
              <w:rPr>
                <w:rFonts w:ascii="Bookman Old Style" w:eastAsia="Times New Roman" w:hAnsi="Bookman Old Style" w:cs="Times New Roman"/>
                <w:sz w:val="20"/>
                <w:szCs w:val="20"/>
              </w:rPr>
              <w:t>Balance commerciale (en % du PIB)</w:t>
            </w:r>
          </w:p>
        </w:tc>
        <w:tc>
          <w:tcPr>
            <w:tcW w:w="996"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-24,7%</w:t>
            </w:r>
          </w:p>
        </w:tc>
        <w:tc>
          <w:tcPr>
            <w:tcW w:w="853"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-23,7%</w:t>
            </w:r>
          </w:p>
        </w:tc>
        <w:tc>
          <w:tcPr>
            <w:tcW w:w="854"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-19,3%</w:t>
            </w:r>
          </w:p>
        </w:tc>
        <w:tc>
          <w:tcPr>
            <w:tcW w:w="853"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-17,2%</w:t>
            </w:r>
          </w:p>
        </w:tc>
        <w:tc>
          <w:tcPr>
            <w:tcW w:w="997" w:type="dxa"/>
            <w:noWrap/>
            <w:hideMark/>
          </w:tcPr>
          <w:p w:rsidR="00DE3A23" w:rsidRPr="00CA196C" w:rsidRDefault="00DE3A23" w:rsidP="00C35DC0">
            <w:pPr>
              <w:jc w:val="cente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-14,5%</w:t>
            </w:r>
          </w:p>
        </w:tc>
      </w:tr>
    </w:tbl>
    <w:p w:rsidR="00A40657" w:rsidRPr="00CA196C" w:rsidRDefault="00A40657" w:rsidP="008C3209">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i/>
          <w:sz w:val="20"/>
          <w:szCs w:val="20"/>
        </w:rPr>
        <w:t>(e) : Estimations</w:t>
      </w:r>
    </w:p>
    <w:p w:rsidR="00DE3A23" w:rsidRPr="00CA196C" w:rsidRDefault="00DE3A23" w:rsidP="00E92676">
      <w:pPr>
        <w:spacing w:before="160" w:after="120" w:line="240" w:lineRule="auto"/>
        <w:ind w:left="851" w:hanging="851"/>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u w:val="single"/>
        </w:rPr>
        <w:lastRenderedPageBreak/>
        <w:t>Source</w:t>
      </w:r>
      <w:r w:rsidRPr="00CA196C">
        <w:rPr>
          <w:rFonts w:ascii="Bookman Old Style" w:eastAsia="Times New Roman" w:hAnsi="Bookman Old Style" w:cs="Times New Roman"/>
          <w:sz w:val="24"/>
          <w:szCs w:val="24"/>
        </w:rPr>
        <w:t>: Modèle MACMOD_BI et de la BRB, Rapports annuels 2012-2015 et  Bulletin mensuel, Janvier 2017</w:t>
      </w:r>
    </w:p>
    <w:p w:rsidR="00F2030C" w:rsidRPr="00CA196C" w:rsidRDefault="00DE3A23" w:rsidP="00F2030C">
      <w:pPr>
        <w:keepNext/>
        <w:keepLines/>
        <w:numPr>
          <w:ilvl w:val="0"/>
          <w:numId w:val="5"/>
        </w:numPr>
        <w:spacing w:before="160" w:after="120" w:line="240" w:lineRule="auto"/>
        <w:contextualSpacing/>
        <w:jc w:val="both"/>
        <w:outlineLvl w:val="3"/>
        <w:rPr>
          <w:rFonts w:ascii="Bookman Old Style" w:eastAsia="Times New Roman" w:hAnsi="Bookman Old Style" w:cs="Times New Roman"/>
          <w:sz w:val="24"/>
          <w:szCs w:val="24"/>
        </w:rPr>
      </w:pPr>
      <w:r w:rsidRPr="00CA196C">
        <w:rPr>
          <w:rFonts w:ascii="Bookman Old Style" w:eastAsiaTheme="majorEastAsia" w:hAnsi="Bookman Old Style" w:cs="Times New Roman"/>
          <w:b/>
          <w:bCs/>
          <w:i/>
          <w:iCs/>
          <w:sz w:val="24"/>
          <w:szCs w:val="24"/>
        </w:rPr>
        <w:t>Au niveau du secteur monétaire, l</w:t>
      </w:r>
      <w:r w:rsidRPr="00CA196C">
        <w:rPr>
          <w:rFonts w:ascii="Bookman Old Style" w:eastAsia="Times New Roman" w:hAnsi="Bookman Old Style" w:cs="Times New Roman"/>
          <w:sz w:val="24"/>
          <w:szCs w:val="24"/>
        </w:rPr>
        <w:t xml:space="preserve">a Banque centrale a poursuivi la politique monétaire axée sur la stabilité des prix avec l’objectif d’un taux d’inflation à un seul chiffre. La banque centrale reste vigilante à l’évolution de l’inflation et continue à améliorer ses capacités de prévision de cet indicateur macroéconomique. La croissance de la masse monétaire (M2) est restée compatible avec celle du PIB nominal : entre 2012-2016, le taux de croissance moyen de la masse monétaire s’est établi à 10,2% alors que celui du PIB nominal s’est situé à 11,1% en moyenne au cours de la période. </w:t>
      </w:r>
      <w:r w:rsidRPr="00CA196C">
        <w:rPr>
          <w:rFonts w:ascii="Bookman Old Style" w:eastAsia="Times New Roman" w:hAnsi="Bookman Old Style" w:cs="Times New Roman"/>
          <w:b/>
          <w:sz w:val="24"/>
          <w:szCs w:val="24"/>
        </w:rPr>
        <w:t xml:space="preserve">Durant </w:t>
      </w:r>
      <w:r w:rsidR="009935D6" w:rsidRPr="00CA196C">
        <w:rPr>
          <w:rFonts w:ascii="Bookman Old Style" w:eastAsia="Times New Roman" w:hAnsi="Bookman Old Style" w:cs="Times New Roman"/>
          <w:b/>
          <w:sz w:val="24"/>
          <w:szCs w:val="24"/>
        </w:rPr>
        <w:t>cette</w:t>
      </w:r>
      <w:r w:rsidRPr="00CA196C">
        <w:rPr>
          <w:rFonts w:ascii="Bookman Old Style" w:eastAsia="Times New Roman" w:hAnsi="Bookman Old Style" w:cs="Times New Roman"/>
          <w:b/>
          <w:sz w:val="24"/>
          <w:szCs w:val="24"/>
        </w:rPr>
        <w:t xml:space="preserve"> période</w:t>
      </w:r>
      <w:r w:rsidR="00CE5851">
        <w:rPr>
          <w:rFonts w:ascii="Bookman Old Style" w:eastAsia="Times New Roman" w:hAnsi="Bookman Old Style" w:cs="Times New Roman"/>
          <w:b/>
          <w:sz w:val="24"/>
          <w:szCs w:val="24"/>
        </w:rPr>
        <w:t>,</w:t>
      </w:r>
      <w:r w:rsidR="009935D6" w:rsidRPr="00CA196C">
        <w:rPr>
          <w:rFonts w:ascii="Bookman Old Style" w:eastAsia="Times New Roman" w:hAnsi="Bookman Old Style" w:cs="Times New Roman"/>
          <w:b/>
          <w:sz w:val="24"/>
          <w:szCs w:val="24"/>
        </w:rPr>
        <w:t xml:space="preserve"> la </w:t>
      </w:r>
      <w:r w:rsidR="00CE5851">
        <w:rPr>
          <w:rFonts w:ascii="Bookman Old Style" w:eastAsia="Times New Roman" w:hAnsi="Bookman Old Style" w:cs="Times New Roman"/>
          <w:b/>
          <w:sz w:val="24"/>
          <w:szCs w:val="24"/>
        </w:rPr>
        <w:t>monnaie</w:t>
      </w:r>
      <w:r w:rsidR="009935D6" w:rsidRPr="00CA196C">
        <w:rPr>
          <w:rFonts w:ascii="Bookman Old Style" w:eastAsia="Times New Roman" w:hAnsi="Bookman Old Style" w:cs="Times New Roman"/>
          <w:b/>
          <w:sz w:val="24"/>
          <w:szCs w:val="24"/>
        </w:rPr>
        <w:t xml:space="preserve"> nationale (BIF)</w:t>
      </w:r>
      <w:r w:rsidRPr="00CA196C">
        <w:rPr>
          <w:rFonts w:ascii="Bookman Old Style" w:eastAsia="Times New Roman" w:hAnsi="Bookman Old Style" w:cs="Times New Roman"/>
          <w:b/>
          <w:sz w:val="24"/>
          <w:szCs w:val="24"/>
        </w:rPr>
        <w:t xml:space="preserve"> a connu une dépréciation continue par rapport aux principales devises étrangères</w:t>
      </w:r>
      <w:r w:rsidRPr="00CA196C">
        <w:rPr>
          <w:rFonts w:ascii="Bookman Old Style" w:eastAsia="Times New Roman" w:hAnsi="Bookman Old Style" w:cs="Times New Roman"/>
          <w:sz w:val="24"/>
          <w:szCs w:val="24"/>
        </w:rPr>
        <w:t>. Face au dollar américain, principale monnaie d’importation, il s’est déprécié de 5,7% contre 4,2% sur la période 2007-2011, soit une perte 1,5 points de pourcentage.</w:t>
      </w:r>
    </w:p>
    <w:p w:rsidR="00DE3A23" w:rsidRPr="00CA196C" w:rsidRDefault="00BC33DD" w:rsidP="00D76FCA">
      <w:pPr>
        <w:pStyle w:val="Titre"/>
        <w:rPr>
          <w:rFonts w:ascii="Bookman Old Style" w:hAnsi="Bookman Old Style"/>
        </w:rPr>
      </w:pPr>
      <w:bookmarkStart w:id="137" w:name="_Toc511076246"/>
      <w:bookmarkStart w:id="138" w:name="_Toc511080880"/>
      <w:bookmarkStart w:id="139" w:name="_Toc511081556"/>
      <w:r w:rsidRPr="00CA196C">
        <w:rPr>
          <w:rFonts w:ascii="Bookman Old Style" w:hAnsi="Bookman Old Style"/>
        </w:rPr>
        <w:t xml:space="preserve">Tableau </w:t>
      </w:r>
      <w:r w:rsidR="00014B8B" w:rsidRPr="00CA196C">
        <w:rPr>
          <w:rFonts w:ascii="Bookman Old Style" w:hAnsi="Bookman Old Style"/>
        </w:rPr>
        <w:t>7</w:t>
      </w:r>
      <w:r w:rsidRPr="00CA196C">
        <w:rPr>
          <w:rFonts w:ascii="Bookman Old Style" w:hAnsi="Bookman Old Style"/>
        </w:rPr>
        <w:t xml:space="preserve">. </w:t>
      </w:r>
      <w:r w:rsidR="00DE3A23" w:rsidRPr="00CA196C">
        <w:rPr>
          <w:rFonts w:ascii="Bookman Old Style" w:hAnsi="Bookman Old Style"/>
        </w:rPr>
        <w:t>Evolution des indicateurs de monnaie et de crédit</w:t>
      </w:r>
      <w:bookmarkEnd w:id="137"/>
      <w:bookmarkEnd w:id="138"/>
      <w:bookmarkEnd w:id="139"/>
    </w:p>
    <w:tbl>
      <w:tblPr>
        <w:tblStyle w:val="Grilleclaire-Accent11"/>
        <w:tblW w:w="8646" w:type="dxa"/>
        <w:tblLook w:val="04A0" w:firstRow="1" w:lastRow="0" w:firstColumn="1" w:lastColumn="0" w:noHBand="0" w:noVBand="1"/>
      </w:tblPr>
      <w:tblGrid>
        <w:gridCol w:w="4065"/>
        <w:gridCol w:w="1038"/>
        <w:gridCol w:w="850"/>
        <w:gridCol w:w="777"/>
        <w:gridCol w:w="992"/>
        <w:gridCol w:w="992"/>
      </w:tblGrid>
      <w:tr w:rsidR="00DE3A23" w:rsidRPr="00CA196C" w:rsidTr="009935D6">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065" w:type="dxa"/>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 Indicateurs de monnaie et crédit</w:t>
            </w:r>
          </w:p>
        </w:tc>
        <w:tc>
          <w:tcPr>
            <w:tcW w:w="1038" w:type="dxa"/>
            <w:noWrap/>
            <w:hideMark/>
          </w:tcPr>
          <w:p w:rsidR="00DE3A23" w:rsidRPr="00CA196C" w:rsidRDefault="00DE3A23" w:rsidP="00E9267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2012</w:t>
            </w:r>
          </w:p>
        </w:tc>
        <w:tc>
          <w:tcPr>
            <w:tcW w:w="850" w:type="dxa"/>
            <w:noWrap/>
            <w:hideMark/>
          </w:tcPr>
          <w:p w:rsidR="00DE3A23" w:rsidRPr="00CA196C" w:rsidRDefault="00DE3A23" w:rsidP="00E9267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2013</w:t>
            </w:r>
          </w:p>
        </w:tc>
        <w:tc>
          <w:tcPr>
            <w:tcW w:w="709" w:type="dxa"/>
            <w:noWrap/>
            <w:hideMark/>
          </w:tcPr>
          <w:p w:rsidR="00DE3A23" w:rsidRPr="00CA196C" w:rsidRDefault="00DE3A23" w:rsidP="00E9267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2014</w:t>
            </w:r>
          </w:p>
        </w:tc>
        <w:tc>
          <w:tcPr>
            <w:tcW w:w="992" w:type="dxa"/>
            <w:noWrap/>
            <w:hideMark/>
          </w:tcPr>
          <w:p w:rsidR="00DE3A23" w:rsidRPr="00CA196C" w:rsidRDefault="00DE3A23" w:rsidP="00E9267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2015</w:t>
            </w:r>
          </w:p>
        </w:tc>
        <w:tc>
          <w:tcPr>
            <w:tcW w:w="992" w:type="dxa"/>
            <w:noWrap/>
            <w:hideMark/>
          </w:tcPr>
          <w:p w:rsidR="00DE3A23" w:rsidRPr="00CA196C" w:rsidRDefault="00DE3A23" w:rsidP="009935D6">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2016 (</w:t>
            </w:r>
            <w:r w:rsidR="009935D6" w:rsidRPr="00CA196C">
              <w:rPr>
                <w:rFonts w:ascii="Bookman Old Style" w:eastAsia="Times New Roman" w:hAnsi="Bookman Old Style" w:cs="Times New Roman"/>
                <w:sz w:val="20"/>
                <w:szCs w:val="20"/>
              </w:rPr>
              <w:t>e</w:t>
            </w:r>
            <w:r w:rsidRPr="00CA196C">
              <w:rPr>
                <w:rFonts w:ascii="Bookman Old Style" w:eastAsia="Times New Roman" w:hAnsi="Bookman Old Style" w:cs="Times New Roman"/>
                <w:sz w:val="20"/>
                <w:szCs w:val="20"/>
              </w:rPr>
              <w:t>)</w:t>
            </w:r>
          </w:p>
        </w:tc>
      </w:tr>
      <w:tr w:rsidR="00DE3A23" w:rsidRPr="00CA196C" w:rsidTr="008C32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5" w:type="dxa"/>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Avoirs extérieurs nets (Mrds de BIF)</w:t>
            </w:r>
          </w:p>
        </w:tc>
        <w:tc>
          <w:tcPr>
            <w:tcW w:w="1038"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196,6</w:t>
            </w:r>
          </w:p>
        </w:tc>
        <w:tc>
          <w:tcPr>
            <w:tcW w:w="850"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229,8</w:t>
            </w:r>
          </w:p>
        </w:tc>
        <w:tc>
          <w:tcPr>
            <w:tcW w:w="709"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180,5</w:t>
            </w:r>
          </w:p>
        </w:tc>
        <w:tc>
          <w:tcPr>
            <w:tcW w:w="992"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-76,2</w:t>
            </w:r>
          </w:p>
        </w:tc>
        <w:tc>
          <w:tcPr>
            <w:tcW w:w="992"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-176,5</w:t>
            </w:r>
          </w:p>
        </w:tc>
      </w:tr>
      <w:tr w:rsidR="00DE3A23" w:rsidRPr="00CA196C" w:rsidTr="008C320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5" w:type="dxa"/>
            <w:shd w:val="clear" w:color="auto" w:fill="FFFFFF" w:themeFill="background1"/>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Créances nettes sur l'Etat (Mrds de BIF)</w:t>
            </w:r>
          </w:p>
        </w:tc>
        <w:tc>
          <w:tcPr>
            <w:tcW w:w="1038"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277,3</w:t>
            </w:r>
          </w:p>
        </w:tc>
        <w:tc>
          <w:tcPr>
            <w:tcW w:w="850"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275,1</w:t>
            </w:r>
          </w:p>
        </w:tc>
        <w:tc>
          <w:tcPr>
            <w:tcW w:w="709"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385,1</w:t>
            </w:r>
          </w:p>
        </w:tc>
        <w:tc>
          <w:tcPr>
            <w:tcW w:w="992"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688,6</w:t>
            </w:r>
          </w:p>
        </w:tc>
        <w:tc>
          <w:tcPr>
            <w:tcW w:w="992"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910,3</w:t>
            </w:r>
          </w:p>
        </w:tc>
      </w:tr>
      <w:tr w:rsidR="00DE3A23" w:rsidRPr="00CA196C" w:rsidTr="008C32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5" w:type="dxa"/>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Créances sur l'économie (Mrds de BIF)</w:t>
            </w:r>
          </w:p>
        </w:tc>
        <w:tc>
          <w:tcPr>
            <w:tcW w:w="1038"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642,8</w:t>
            </w:r>
          </w:p>
        </w:tc>
        <w:tc>
          <w:tcPr>
            <w:tcW w:w="850"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697,2</w:t>
            </w:r>
          </w:p>
        </w:tc>
        <w:tc>
          <w:tcPr>
            <w:tcW w:w="709"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750,8</w:t>
            </w:r>
          </w:p>
        </w:tc>
        <w:tc>
          <w:tcPr>
            <w:tcW w:w="992" w:type="dxa"/>
            <w:noWrap/>
            <w:hideMark/>
          </w:tcPr>
          <w:p w:rsidR="00DE3A23" w:rsidRPr="00CA196C" w:rsidRDefault="00DE3A23" w:rsidP="00E92676">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718,7</w:t>
            </w:r>
          </w:p>
        </w:tc>
        <w:tc>
          <w:tcPr>
            <w:tcW w:w="992" w:type="dxa"/>
            <w:noWrap/>
            <w:hideMark/>
          </w:tcPr>
          <w:p w:rsidR="00DE3A23" w:rsidRPr="00CA196C" w:rsidRDefault="00DE3A23" w:rsidP="00E9267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733,1</w:t>
            </w:r>
          </w:p>
        </w:tc>
      </w:tr>
      <w:tr w:rsidR="00DE3A23" w:rsidRPr="00CA196C" w:rsidTr="008C3209">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065" w:type="dxa"/>
            <w:shd w:val="clear" w:color="auto" w:fill="FFFFFF" w:themeFill="background1"/>
            <w:noWrap/>
            <w:hideMark/>
          </w:tcPr>
          <w:p w:rsidR="00DE3A23" w:rsidRPr="00CA196C" w:rsidRDefault="00DE3A23" w:rsidP="00E92676">
            <w:pPr>
              <w:spacing w:after="200" w:line="276" w:lineRule="auto"/>
              <w:jc w:val="both"/>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Taux de croissance de la masse monétaire</w:t>
            </w:r>
          </w:p>
        </w:tc>
        <w:tc>
          <w:tcPr>
            <w:tcW w:w="1038"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11,3%</w:t>
            </w:r>
          </w:p>
        </w:tc>
        <w:tc>
          <w:tcPr>
            <w:tcW w:w="850"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13,2%</w:t>
            </w:r>
          </w:p>
        </w:tc>
        <w:tc>
          <w:tcPr>
            <w:tcW w:w="709"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9,8%</w:t>
            </w:r>
          </w:p>
        </w:tc>
        <w:tc>
          <w:tcPr>
            <w:tcW w:w="992"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5,0%</w:t>
            </w:r>
          </w:p>
        </w:tc>
        <w:tc>
          <w:tcPr>
            <w:tcW w:w="992" w:type="dxa"/>
            <w:shd w:val="clear" w:color="auto" w:fill="FFFFFF" w:themeFill="background1"/>
            <w:noWrap/>
            <w:hideMark/>
          </w:tcPr>
          <w:p w:rsidR="00DE3A23" w:rsidRPr="00CA196C" w:rsidRDefault="00DE3A23" w:rsidP="00E9267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sz w:val="20"/>
                <w:szCs w:val="20"/>
              </w:rPr>
            </w:pPr>
            <w:r w:rsidRPr="00CA196C">
              <w:rPr>
                <w:rFonts w:ascii="Bookman Old Style" w:eastAsia="Times New Roman" w:hAnsi="Bookman Old Style" w:cs="Times New Roman"/>
                <w:sz w:val="20"/>
                <w:szCs w:val="20"/>
              </w:rPr>
              <w:t>12,0%</w:t>
            </w:r>
          </w:p>
        </w:tc>
      </w:tr>
    </w:tbl>
    <w:p w:rsidR="009935D6" w:rsidRPr="00CA196C" w:rsidRDefault="009935D6" w:rsidP="008C3209">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sz w:val="24"/>
          <w:szCs w:val="24"/>
        </w:rPr>
        <w:t xml:space="preserve">      </w:t>
      </w:r>
      <w:r w:rsidRPr="00CA196C">
        <w:rPr>
          <w:rFonts w:ascii="Bookman Old Style" w:eastAsia="Times New Roman" w:hAnsi="Bookman Old Style" w:cs="Times New Roman"/>
          <w:i/>
          <w:sz w:val="20"/>
          <w:szCs w:val="20"/>
        </w:rPr>
        <w:t>(e) : Estimations</w:t>
      </w:r>
    </w:p>
    <w:p w:rsidR="00DE3A23" w:rsidRPr="00CA196C" w:rsidRDefault="00DE3A23" w:rsidP="008C3209">
      <w:pPr>
        <w:spacing w:after="0" w:line="240" w:lineRule="auto"/>
        <w:ind w:left="709" w:hanging="709"/>
        <w:jc w:val="both"/>
        <w:rPr>
          <w:rFonts w:ascii="Bookman Old Style" w:eastAsia="Times New Roman" w:hAnsi="Bookman Old Style" w:cs="Times New Roman"/>
          <w:sz w:val="24"/>
          <w:szCs w:val="24"/>
        </w:rPr>
      </w:pPr>
      <w:r w:rsidRPr="00CA196C">
        <w:rPr>
          <w:rFonts w:ascii="Bookman Old Style" w:eastAsia="Times New Roman" w:hAnsi="Bookman Old Style" w:cs="Times New Roman"/>
          <w:b/>
          <w:sz w:val="24"/>
          <w:szCs w:val="24"/>
          <w:u w:val="single"/>
        </w:rPr>
        <w:t>Source:</w:t>
      </w:r>
      <w:r w:rsidRPr="00CA196C">
        <w:rPr>
          <w:rFonts w:ascii="Bookman Old Style" w:eastAsia="Times New Roman" w:hAnsi="Bookman Old Style" w:cs="Times New Roman"/>
          <w:sz w:val="24"/>
          <w:szCs w:val="24"/>
        </w:rPr>
        <w:t xml:space="preserve"> Modèle MACMOD_BI et de la BRB, Rapports annuels  2012-2015 et bulletin mensuel, Janvier 2017</w:t>
      </w:r>
    </w:p>
    <w:p w:rsidR="00A301A3" w:rsidRPr="00CA196C" w:rsidRDefault="00A301A3"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F2030C" w:rsidRPr="00CA196C" w:rsidRDefault="00F2030C" w:rsidP="00E92676">
      <w:pPr>
        <w:spacing w:line="240" w:lineRule="auto"/>
        <w:jc w:val="both"/>
        <w:rPr>
          <w:rFonts w:ascii="Bookman Old Style" w:hAnsi="Bookman Old Style" w:cs="Times New Roman"/>
          <w:sz w:val="24"/>
          <w:szCs w:val="24"/>
        </w:rPr>
      </w:pPr>
    </w:p>
    <w:p w:rsidR="00ED1681" w:rsidRPr="00CA196C" w:rsidRDefault="00ED1681" w:rsidP="00E92676">
      <w:pPr>
        <w:spacing w:line="240" w:lineRule="auto"/>
        <w:jc w:val="both"/>
        <w:rPr>
          <w:rFonts w:ascii="Bookman Old Style" w:hAnsi="Bookman Old Style" w:cs="Times New Roman"/>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bookmarkStart w:id="140" w:name="_Toc500667058"/>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B27491" w:rsidRPr="00CA196C" w:rsidRDefault="00B27491" w:rsidP="006429B1">
      <w:pPr>
        <w:pStyle w:val="Paragraphedeliste"/>
        <w:keepNext/>
        <w:keepLines/>
        <w:spacing w:before="160" w:after="120" w:line="240" w:lineRule="auto"/>
        <w:ind w:left="0"/>
        <w:outlineLvl w:val="0"/>
        <w:rPr>
          <w:rFonts w:ascii="Bookman Old Style" w:eastAsiaTheme="majorEastAsia" w:hAnsi="Bookman Old Style" w:cs="Times New Roman"/>
          <w:b/>
          <w:bCs/>
          <w:sz w:val="24"/>
          <w:szCs w:val="24"/>
        </w:rPr>
      </w:pPr>
    </w:p>
    <w:p w:rsidR="005C00E9" w:rsidRDefault="005C00E9" w:rsidP="005D43FC">
      <w:pPr>
        <w:pStyle w:val="Titre1"/>
      </w:pPr>
    </w:p>
    <w:p w:rsidR="005C00E9" w:rsidRDefault="005C00E9" w:rsidP="005D43FC">
      <w:pPr>
        <w:pStyle w:val="Titre1"/>
      </w:pPr>
    </w:p>
    <w:p w:rsidR="00DE3A23" w:rsidRPr="00CA196C" w:rsidRDefault="006429B1" w:rsidP="005D43FC">
      <w:pPr>
        <w:pStyle w:val="Titre1"/>
      </w:pPr>
      <w:bookmarkStart w:id="141" w:name="_Toc511080881"/>
      <w:bookmarkStart w:id="142" w:name="_Toc511081557"/>
      <w:r w:rsidRPr="00CA196C">
        <w:t xml:space="preserve">IV. </w:t>
      </w:r>
      <w:r w:rsidR="00DE3A23" w:rsidRPr="00CA196C">
        <w:t>ENJEUX ET ORIENTATIONS STRATEGIQUES</w:t>
      </w:r>
      <w:bookmarkEnd w:id="140"/>
      <w:r w:rsidR="00DE3A23" w:rsidRPr="00CA196C">
        <w:t xml:space="preserve"> DU </w:t>
      </w:r>
      <w:r w:rsidR="000920EC" w:rsidRPr="00CA196C">
        <w:t>PND BURUNDI 2018-2027</w:t>
      </w:r>
      <w:bookmarkEnd w:id="141"/>
      <w:bookmarkEnd w:id="142"/>
    </w:p>
    <w:p w:rsidR="00ED1681" w:rsidRPr="00CA196C" w:rsidRDefault="00ED1681" w:rsidP="00B27491">
      <w:pPr>
        <w:keepNext/>
        <w:keepLines/>
        <w:spacing w:before="160" w:after="120" w:line="240" w:lineRule="auto"/>
        <w:jc w:val="center"/>
        <w:outlineLvl w:val="0"/>
        <w:rPr>
          <w:rFonts w:ascii="Bookman Old Style" w:eastAsiaTheme="majorEastAsia" w:hAnsi="Bookman Old Style" w:cs="Times New Roman"/>
          <w:b/>
          <w:bCs/>
          <w:sz w:val="24"/>
          <w:szCs w:val="24"/>
        </w:rPr>
      </w:pPr>
    </w:p>
    <w:p w:rsidR="00ED1681" w:rsidRPr="00CA196C" w:rsidRDefault="00ED1681" w:rsidP="00B27491">
      <w:pPr>
        <w:keepNext/>
        <w:keepLines/>
        <w:spacing w:before="160" w:after="120" w:line="240" w:lineRule="auto"/>
        <w:jc w:val="center"/>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ED1681" w:rsidRPr="00CA196C" w:rsidRDefault="00ED1681" w:rsidP="00ED1681">
      <w:pPr>
        <w:keepNext/>
        <w:keepLines/>
        <w:spacing w:before="160" w:after="120" w:line="240" w:lineRule="auto"/>
        <w:jc w:val="both"/>
        <w:outlineLvl w:val="0"/>
        <w:rPr>
          <w:rFonts w:ascii="Bookman Old Style" w:eastAsiaTheme="majorEastAsia" w:hAnsi="Bookman Old Style" w:cs="Times New Roman"/>
          <w:b/>
          <w:bCs/>
          <w:sz w:val="24"/>
          <w:szCs w:val="24"/>
        </w:rPr>
      </w:pPr>
    </w:p>
    <w:p w:rsidR="00463318" w:rsidRDefault="00463318">
      <w:pPr>
        <w:rPr>
          <w:rFonts w:ascii="Helvetica" w:eastAsia="Times New Roman" w:hAnsi="Helvetica" w:cs="Times New Roman"/>
          <w:b/>
          <w:color w:val="C0504D" w:themeColor="accent2"/>
          <w:sz w:val="28"/>
          <w:szCs w:val="24"/>
          <w:u w:color="000000"/>
          <w:bdr w:val="nil"/>
        </w:rPr>
      </w:pPr>
      <w:r>
        <w:br w:type="page"/>
      </w:r>
    </w:p>
    <w:p w:rsidR="00DE3A23" w:rsidRPr="00CA196C" w:rsidRDefault="00DE3A23" w:rsidP="00ED27D9">
      <w:pPr>
        <w:pStyle w:val="Titre2"/>
      </w:pPr>
      <w:bookmarkStart w:id="143" w:name="_Toc511080882"/>
      <w:bookmarkStart w:id="144" w:name="_Toc511081558"/>
      <w:r w:rsidRPr="00CA196C">
        <w:lastRenderedPageBreak/>
        <w:t xml:space="preserve">4.1. </w:t>
      </w:r>
      <w:r w:rsidR="00633E4D" w:rsidRPr="00CA196C">
        <w:t xml:space="preserve">Scénarii de base et </w:t>
      </w:r>
      <w:r w:rsidRPr="00CA196C">
        <w:t>Vue d’ensemble des enjeux et orientations stratégiques</w:t>
      </w:r>
      <w:bookmarkEnd w:id="143"/>
      <w:bookmarkEnd w:id="144"/>
    </w:p>
    <w:p w:rsidR="00FA4A1D" w:rsidRPr="00CA196C" w:rsidRDefault="005A142F" w:rsidP="00BD2775">
      <w:pPr>
        <w:pStyle w:val="Titre3"/>
        <w:rPr>
          <w:rFonts w:ascii="Bookman Old Style" w:hAnsi="Bookman Old Style"/>
        </w:rPr>
      </w:pPr>
      <w:bookmarkStart w:id="145" w:name="_Toc511076184"/>
      <w:bookmarkStart w:id="146" w:name="_Toc511080883"/>
      <w:bookmarkStart w:id="147" w:name="_Toc511081386"/>
      <w:bookmarkStart w:id="148" w:name="_Toc511081559"/>
      <w:r w:rsidRPr="00CA196C">
        <w:rPr>
          <w:rFonts w:ascii="Bookman Old Style" w:hAnsi="Bookman Old Style"/>
        </w:rPr>
        <w:t xml:space="preserve">4.1.1. Scénarii de base du </w:t>
      </w:r>
      <w:r w:rsidR="000920EC" w:rsidRPr="00CA196C">
        <w:rPr>
          <w:rFonts w:ascii="Bookman Old Style" w:hAnsi="Bookman Old Style"/>
        </w:rPr>
        <w:t>PND BURUNDI 2018-2027</w:t>
      </w:r>
      <w:bookmarkEnd w:id="145"/>
      <w:bookmarkEnd w:id="146"/>
      <w:bookmarkEnd w:id="147"/>
      <w:bookmarkEnd w:id="148"/>
    </w:p>
    <w:p w:rsidR="006548B9" w:rsidRPr="00CA196C" w:rsidRDefault="005A142F" w:rsidP="00CD26FF">
      <w:pPr>
        <w:pStyle w:val="Paragraphedeliste"/>
        <w:numPr>
          <w:ilvl w:val="0"/>
          <w:numId w:val="5"/>
        </w:numPr>
        <w:spacing w:before="160" w:after="120" w:line="240" w:lineRule="auto"/>
        <w:jc w:val="both"/>
        <w:rPr>
          <w:rFonts w:ascii="Bookman Old Style" w:hAnsi="Bookman Old Style" w:cs="Times New Roman"/>
          <w:sz w:val="24"/>
          <w:szCs w:val="24"/>
        </w:rPr>
      </w:pPr>
      <w:r w:rsidRPr="00CA196C">
        <w:rPr>
          <w:rFonts w:ascii="Bookman Old Style" w:eastAsia="Calibri" w:hAnsi="Bookman Old Style" w:cs="Times New Roman"/>
          <w:u w:color="000000"/>
          <w:bdr w:val="nil"/>
        </w:rPr>
        <w:t xml:space="preserve">En vue d’élaborer un plan de développement basé sur des faits probants, </w:t>
      </w:r>
      <w:r w:rsidR="0033380D" w:rsidRPr="00CA196C">
        <w:rPr>
          <w:rFonts w:ascii="Bookman Old Style" w:eastAsia="Calibri" w:hAnsi="Bookman Old Style" w:cs="Times New Roman"/>
          <w:u w:color="000000"/>
          <w:bdr w:val="nil"/>
        </w:rPr>
        <w:t xml:space="preserve">trois </w:t>
      </w:r>
      <w:r w:rsidR="006548B9" w:rsidRPr="00CA196C">
        <w:rPr>
          <w:rFonts w:ascii="Bookman Old Style" w:hAnsi="Bookman Old Style" w:cs="Times New Roman"/>
          <w:sz w:val="23"/>
          <w:szCs w:val="23"/>
        </w:rPr>
        <w:t xml:space="preserve">scénarios ont été </w:t>
      </w:r>
      <w:r w:rsidR="004855CC" w:rsidRPr="00CA196C">
        <w:rPr>
          <w:rFonts w:ascii="Bookman Old Style" w:hAnsi="Bookman Old Style" w:cs="Times New Roman"/>
          <w:sz w:val="23"/>
          <w:szCs w:val="23"/>
        </w:rPr>
        <w:t>simulés à partir du cadrage macroéconomique</w:t>
      </w:r>
      <w:r w:rsidR="006548B9" w:rsidRPr="00CA196C">
        <w:rPr>
          <w:rFonts w:ascii="Bookman Old Style" w:hAnsi="Bookman Old Style" w:cs="Times New Roman"/>
          <w:sz w:val="23"/>
          <w:szCs w:val="23"/>
        </w:rPr>
        <w:t xml:space="preserve">: </w:t>
      </w:r>
      <w:r w:rsidR="0033380D" w:rsidRPr="00CA196C">
        <w:rPr>
          <w:rFonts w:ascii="Bookman Old Style" w:hAnsi="Bookman Old Style" w:cs="Times New Roman"/>
          <w:sz w:val="23"/>
          <w:szCs w:val="23"/>
        </w:rPr>
        <w:t xml:space="preserve">Scénario </w:t>
      </w:r>
      <w:r w:rsidR="006548B9" w:rsidRPr="00CA196C">
        <w:rPr>
          <w:rFonts w:ascii="Bookman Old Style" w:hAnsi="Bookman Old Style" w:cs="Times New Roman"/>
          <w:sz w:val="23"/>
          <w:szCs w:val="23"/>
        </w:rPr>
        <w:t>optimiste</w:t>
      </w:r>
      <w:r w:rsidR="005F01FD" w:rsidRPr="00CA196C">
        <w:rPr>
          <w:rFonts w:ascii="Bookman Old Style" w:hAnsi="Bookman Old Style" w:cs="Times New Roman"/>
          <w:sz w:val="23"/>
          <w:szCs w:val="23"/>
        </w:rPr>
        <w:t>, scénario tendanciel</w:t>
      </w:r>
      <w:r w:rsidR="006548B9" w:rsidRPr="00CA196C">
        <w:rPr>
          <w:rFonts w:ascii="Bookman Old Style" w:hAnsi="Bookman Old Style" w:cs="Times New Roman"/>
          <w:sz w:val="23"/>
          <w:szCs w:val="23"/>
        </w:rPr>
        <w:t xml:space="preserve"> et</w:t>
      </w:r>
      <w:r w:rsidR="0033380D" w:rsidRPr="00CA196C">
        <w:rPr>
          <w:rFonts w:ascii="Bookman Old Style" w:hAnsi="Bookman Old Style" w:cs="Times New Roman"/>
          <w:sz w:val="23"/>
          <w:szCs w:val="23"/>
        </w:rPr>
        <w:t xml:space="preserve"> scénario pessimiste</w:t>
      </w:r>
      <w:r w:rsidRPr="00CA196C">
        <w:rPr>
          <w:rFonts w:ascii="Bookman Old Style" w:hAnsi="Bookman Old Style" w:cs="Times New Roman"/>
          <w:sz w:val="23"/>
          <w:szCs w:val="23"/>
        </w:rPr>
        <w:t xml:space="preserve">. L’élaboration </w:t>
      </w:r>
      <w:r w:rsidR="005F01FD" w:rsidRPr="00CA196C">
        <w:rPr>
          <w:rFonts w:ascii="Bookman Old Style" w:hAnsi="Bookman Old Style" w:cs="Times New Roman"/>
          <w:sz w:val="23"/>
          <w:szCs w:val="23"/>
        </w:rPr>
        <w:t xml:space="preserve">du </w:t>
      </w:r>
      <w:r w:rsidR="000920EC" w:rsidRPr="00CA196C">
        <w:rPr>
          <w:rFonts w:ascii="Bookman Old Style" w:hAnsi="Bookman Old Style" w:cs="Times New Roman"/>
          <w:bCs/>
          <w:sz w:val="24"/>
          <w:szCs w:val="24"/>
        </w:rPr>
        <w:t>PND BURUNDI 2018-2027</w:t>
      </w:r>
      <w:r w:rsidR="005F01FD" w:rsidRPr="00CA196C">
        <w:rPr>
          <w:rFonts w:ascii="Bookman Old Style" w:hAnsi="Bookman Old Style" w:cs="Times New Roman"/>
          <w:bCs/>
          <w:sz w:val="24"/>
          <w:szCs w:val="24"/>
        </w:rPr>
        <w:t xml:space="preserve"> est </w:t>
      </w:r>
      <w:r w:rsidR="004855CC" w:rsidRPr="00CA196C">
        <w:rPr>
          <w:rFonts w:ascii="Bookman Old Style" w:hAnsi="Bookman Old Style" w:cs="Times New Roman"/>
          <w:bCs/>
          <w:sz w:val="24"/>
          <w:szCs w:val="24"/>
        </w:rPr>
        <w:t>bâti</w:t>
      </w:r>
      <w:r w:rsidR="005F01FD" w:rsidRPr="00CA196C">
        <w:rPr>
          <w:rFonts w:ascii="Bookman Old Style" w:hAnsi="Bookman Old Style" w:cs="Times New Roman"/>
          <w:bCs/>
          <w:sz w:val="24"/>
          <w:szCs w:val="24"/>
        </w:rPr>
        <w:t xml:space="preserve"> sur le scénario optimiste</w:t>
      </w:r>
      <w:r w:rsidR="004855CC" w:rsidRPr="00CA196C">
        <w:rPr>
          <w:rFonts w:ascii="Bookman Old Style" w:hAnsi="Bookman Old Style" w:cs="Times New Roman"/>
          <w:bCs/>
          <w:sz w:val="24"/>
          <w:szCs w:val="24"/>
        </w:rPr>
        <w:t xml:space="preserve"> qui, lui-même, est</w:t>
      </w:r>
      <w:r w:rsidR="005F01FD" w:rsidRPr="00CA196C">
        <w:rPr>
          <w:rFonts w:ascii="Bookman Old Style" w:hAnsi="Bookman Old Style" w:cs="Times New Roman"/>
          <w:bCs/>
          <w:sz w:val="24"/>
          <w:szCs w:val="24"/>
        </w:rPr>
        <w:t xml:space="preserve"> </w:t>
      </w:r>
      <w:r w:rsidR="00BA0DFB" w:rsidRPr="00CA196C">
        <w:rPr>
          <w:rFonts w:ascii="Bookman Old Style" w:hAnsi="Bookman Old Style" w:cs="Times New Roman"/>
          <w:sz w:val="23"/>
          <w:szCs w:val="23"/>
        </w:rPr>
        <w:t xml:space="preserve">basée sur </w:t>
      </w:r>
      <w:r w:rsidR="0033380D" w:rsidRPr="00CA196C">
        <w:rPr>
          <w:rFonts w:ascii="Bookman Old Style" w:hAnsi="Bookman Old Style" w:cs="Times New Roman"/>
          <w:sz w:val="23"/>
          <w:szCs w:val="23"/>
        </w:rPr>
        <w:t xml:space="preserve">des hypothèses </w:t>
      </w:r>
      <w:r w:rsidR="00BA0DFB" w:rsidRPr="00CA196C">
        <w:rPr>
          <w:rFonts w:ascii="Bookman Old Style" w:hAnsi="Bookman Old Style" w:cs="Times New Roman"/>
          <w:sz w:val="23"/>
          <w:szCs w:val="23"/>
        </w:rPr>
        <w:t>relatives à l’évolution attendue du contexte international et de la situation de l’économie nationale</w:t>
      </w:r>
      <w:r w:rsidR="0033380D" w:rsidRPr="00CA196C">
        <w:rPr>
          <w:rFonts w:ascii="Bookman Old Style" w:hAnsi="Bookman Old Style" w:cs="Times New Roman"/>
          <w:sz w:val="23"/>
          <w:szCs w:val="23"/>
        </w:rPr>
        <w:t>.</w:t>
      </w:r>
      <w:r w:rsidRPr="00CA196C">
        <w:rPr>
          <w:rFonts w:ascii="Bookman Old Style" w:hAnsi="Bookman Old Style" w:cs="Times New Roman"/>
          <w:sz w:val="23"/>
          <w:szCs w:val="23"/>
        </w:rPr>
        <w:t xml:space="preserve"> </w:t>
      </w:r>
      <w:r w:rsidR="00BA0DFB" w:rsidRPr="00CA196C">
        <w:rPr>
          <w:rFonts w:ascii="Bookman Old Style" w:hAnsi="Bookman Old Style" w:cs="Times New Roman"/>
          <w:bCs/>
          <w:sz w:val="24"/>
          <w:szCs w:val="24"/>
        </w:rPr>
        <w:t xml:space="preserve">Au niveau international, le </w:t>
      </w:r>
      <w:r w:rsidR="000920EC" w:rsidRPr="00CA196C">
        <w:rPr>
          <w:rFonts w:ascii="Bookman Old Style" w:hAnsi="Bookman Old Style" w:cs="Times New Roman"/>
          <w:bCs/>
          <w:sz w:val="24"/>
          <w:szCs w:val="24"/>
        </w:rPr>
        <w:t>PND BURUNDI 2018-2027</w:t>
      </w:r>
      <w:r w:rsidR="00BA0DFB" w:rsidRPr="00CA196C">
        <w:rPr>
          <w:rFonts w:ascii="Bookman Old Style" w:hAnsi="Bookman Old Style" w:cs="Times New Roman"/>
          <w:bCs/>
          <w:sz w:val="24"/>
          <w:szCs w:val="24"/>
        </w:rPr>
        <w:t xml:space="preserve"> </w:t>
      </w:r>
      <w:r w:rsidR="006548B9" w:rsidRPr="00CA196C">
        <w:rPr>
          <w:rFonts w:ascii="Bookman Old Style" w:hAnsi="Bookman Old Style" w:cs="Times New Roman"/>
          <w:bCs/>
          <w:sz w:val="24"/>
          <w:szCs w:val="24"/>
        </w:rPr>
        <w:t xml:space="preserve">est bâtie sur l’hypothèse que </w:t>
      </w:r>
      <w:r w:rsidR="00BA0DFB" w:rsidRPr="00CA196C">
        <w:rPr>
          <w:rFonts w:ascii="Bookman Old Style" w:hAnsi="Bookman Old Style" w:cs="Times New Roman"/>
          <w:bCs/>
          <w:sz w:val="24"/>
          <w:szCs w:val="24"/>
        </w:rPr>
        <w:t xml:space="preserve"> la période 2018-2027 sera</w:t>
      </w:r>
      <w:r w:rsidR="006548B9" w:rsidRPr="00CA196C">
        <w:rPr>
          <w:rFonts w:ascii="Bookman Old Style" w:hAnsi="Bookman Old Style" w:cs="Times New Roman"/>
          <w:bCs/>
          <w:sz w:val="24"/>
          <w:szCs w:val="24"/>
        </w:rPr>
        <w:t xml:space="preserve"> </w:t>
      </w:r>
      <w:r w:rsidR="00BA0DFB" w:rsidRPr="00CA196C">
        <w:rPr>
          <w:rFonts w:ascii="Bookman Old Style" w:hAnsi="Bookman Old Style" w:cs="Times New Roman"/>
          <w:bCs/>
          <w:sz w:val="24"/>
          <w:szCs w:val="24"/>
        </w:rPr>
        <w:t xml:space="preserve">marquée par une consolidation de la reprise économique tirée par les économies émergentes, une évolution favorable des cours mondiaux des principales matières premières ainsi qu'une évolution favorable du prix du pétrole pour les pays importateurs. </w:t>
      </w:r>
      <w:r w:rsidR="006548B9" w:rsidRPr="00CA196C">
        <w:rPr>
          <w:rFonts w:ascii="Bookman Old Style" w:hAnsi="Bookman Old Style" w:cs="Times New Roman"/>
          <w:sz w:val="23"/>
          <w:szCs w:val="23"/>
        </w:rPr>
        <w:t xml:space="preserve">Quant au niveau national, le cadrage macroéconomique est fait sur l’hypothèse que </w:t>
      </w:r>
      <w:r w:rsidR="006548B9" w:rsidRPr="00CA196C">
        <w:rPr>
          <w:rFonts w:ascii="Bookman Old Style" w:hAnsi="Bookman Old Style" w:cs="Times New Roman"/>
          <w:bCs/>
          <w:sz w:val="24"/>
          <w:szCs w:val="24"/>
        </w:rPr>
        <w:t xml:space="preserve">la période 2018-2027  se caractérisera par un certain nombre d'actions sous-tendant le développement économique, entre autres de: (i) la </w:t>
      </w:r>
      <w:r w:rsidR="006548B9" w:rsidRPr="00CA196C">
        <w:rPr>
          <w:rFonts w:ascii="Bookman Old Style" w:hAnsi="Bookman Old Style" w:cs="Times New Roman"/>
          <w:sz w:val="24"/>
          <w:szCs w:val="24"/>
        </w:rPr>
        <w:t xml:space="preserve">modernisation et diversification de la production agricole, animale et halieutique ; (ii) l’augmenter et l’amélioration de l’offre énergétique notamment la construction de nouvelles centrales hydroélectriques et d’autres sources d’énergie; (iii) la promotion de la production industrielle, particulièrement l’industrie agro-alimentaire; (iv) l’amélioration de  la qualité des ressources humaines par le renforcement de l’offre et l’accessibilité aux services d’éducation et de santé; (v) le développement des services, principalement les transports, le tourisme, les TIC et les services financiers; (vi) l’exploitation progressive des sites de minerais déjà identifiés; (vii) l’accroissement des infrastructures d'appui à la production en quantité et qualité, notamment les infrastructures d’énergie, de transport et de télécommunication visant l’interconnexion en vue de profiter pleinement des opportunités offertes par l’intégration du pays au sein des organisations régionales et internationales et (viii) la diversification des produits exportables pour augmenter les réserves internationales. </w:t>
      </w:r>
    </w:p>
    <w:p w:rsidR="004855CC" w:rsidRPr="00CA196C" w:rsidRDefault="004855CC" w:rsidP="004855CC">
      <w:pPr>
        <w:pStyle w:val="Paragraphedeliste"/>
        <w:spacing w:before="160" w:after="120" w:line="240" w:lineRule="auto"/>
        <w:ind w:left="360"/>
        <w:jc w:val="both"/>
        <w:rPr>
          <w:rFonts w:ascii="Bookman Old Style" w:hAnsi="Bookman Old Style" w:cs="Times New Roman"/>
          <w:sz w:val="24"/>
          <w:szCs w:val="24"/>
        </w:rPr>
      </w:pPr>
    </w:p>
    <w:p w:rsidR="005A142F" w:rsidRPr="00CA196C" w:rsidRDefault="004855CC" w:rsidP="00CD26FF">
      <w:pPr>
        <w:pStyle w:val="Paragraphedeliste"/>
        <w:numPr>
          <w:ilvl w:val="0"/>
          <w:numId w:val="5"/>
        </w:num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Pr="00CA196C">
        <w:rPr>
          <w:rFonts w:ascii="Bookman Old Style" w:hAnsi="Bookman Old Style" w:cs="Times New Roman"/>
          <w:sz w:val="23"/>
          <w:szCs w:val="23"/>
        </w:rPr>
        <w:t xml:space="preserve">Ainsi, tous les programmes, projet et actions que le </w:t>
      </w:r>
      <w:r w:rsidR="00D71F7F" w:rsidRPr="00CA196C">
        <w:rPr>
          <w:rFonts w:ascii="Bookman Old Style" w:hAnsi="Bookman Old Style" w:cs="Times New Roman"/>
          <w:sz w:val="23"/>
          <w:szCs w:val="23"/>
        </w:rPr>
        <w:t>Gouvernement</w:t>
      </w:r>
      <w:r w:rsidRPr="00CA196C">
        <w:rPr>
          <w:rFonts w:ascii="Bookman Old Style" w:hAnsi="Bookman Old Style" w:cs="Times New Roman"/>
          <w:sz w:val="23"/>
          <w:szCs w:val="23"/>
        </w:rPr>
        <w:t xml:space="preserve"> va engager seront orientés vers une dynamique de croissance soutenue qui sera à deux chiffres en 2027. Avec les hypothèses retenues dans le cadrage macroéconomique, le scénario positif prévoit en moyenne un taux de croissance du PIB de 10,7% en 2027.</w:t>
      </w:r>
    </w:p>
    <w:p w:rsidR="004E228F" w:rsidRPr="00CA196C" w:rsidRDefault="004E228F" w:rsidP="004E228F">
      <w:pPr>
        <w:pStyle w:val="Paragraphedeliste"/>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2B7839" w:rsidRDefault="002B7839" w:rsidP="004E228F">
      <w:pPr>
        <w:spacing w:before="160" w:after="120" w:line="240" w:lineRule="auto"/>
        <w:jc w:val="both"/>
        <w:rPr>
          <w:rFonts w:ascii="Bookman Old Style" w:hAnsi="Bookman Old Style" w:cs="Times New Roman"/>
          <w:b/>
          <w:bCs/>
          <w:sz w:val="24"/>
          <w:szCs w:val="24"/>
        </w:rPr>
      </w:pPr>
      <w:r w:rsidRPr="002B7839">
        <w:rPr>
          <w:rFonts w:ascii="Bookman Old Style" w:hAnsi="Bookman Old Style" w:cs="Times New Roman"/>
          <w:b/>
          <w:bCs/>
          <w:sz w:val="24"/>
          <w:szCs w:val="24"/>
        </w:rPr>
        <w:lastRenderedPageBreak/>
        <w:t>Encadré 2 : Cadrage macr</w:t>
      </w:r>
      <w:r w:rsidR="004C5AC6">
        <w:rPr>
          <w:rFonts w:ascii="Bookman Old Style" w:hAnsi="Bookman Old Style" w:cs="Times New Roman"/>
          <w:b/>
          <w:bCs/>
          <w:sz w:val="24"/>
          <w:szCs w:val="24"/>
        </w:rPr>
        <w:t xml:space="preserve">oéconomique, </w:t>
      </w:r>
      <w:r w:rsidRPr="002B7839">
        <w:rPr>
          <w:rFonts w:ascii="Bookman Old Style" w:hAnsi="Bookman Old Style" w:cs="Times New Roman"/>
          <w:b/>
          <w:bCs/>
          <w:sz w:val="24"/>
          <w:szCs w:val="24"/>
        </w:rPr>
        <w:t>base de prévision</w:t>
      </w:r>
      <w:r w:rsidR="004C5AC6">
        <w:rPr>
          <w:rFonts w:ascii="Bookman Old Style" w:hAnsi="Bookman Old Style" w:cs="Times New Roman"/>
          <w:b/>
          <w:bCs/>
          <w:sz w:val="24"/>
          <w:szCs w:val="24"/>
        </w:rPr>
        <w:t>s</w:t>
      </w:r>
      <w:r w:rsidRPr="002B7839">
        <w:rPr>
          <w:rFonts w:ascii="Bookman Old Style" w:hAnsi="Bookman Old Style" w:cs="Times New Roman"/>
          <w:b/>
          <w:bCs/>
          <w:sz w:val="24"/>
          <w:szCs w:val="24"/>
        </w:rPr>
        <w:t xml:space="preserve"> de performances sectorielles</w:t>
      </w:r>
    </w:p>
    <w:tbl>
      <w:tblPr>
        <w:tblStyle w:val="Grilledutableau"/>
        <w:tblW w:w="0" w:type="auto"/>
        <w:shd w:val="clear" w:color="auto" w:fill="DAEEF3" w:themeFill="accent5" w:themeFillTint="33"/>
        <w:tblLook w:val="04A0" w:firstRow="1" w:lastRow="0" w:firstColumn="1" w:lastColumn="0" w:noHBand="0" w:noVBand="1"/>
      </w:tblPr>
      <w:tblGrid>
        <w:gridCol w:w="9212"/>
      </w:tblGrid>
      <w:tr w:rsidR="002C3813" w:rsidRPr="002C3813" w:rsidTr="00DA35C1">
        <w:tc>
          <w:tcPr>
            <w:tcW w:w="9212" w:type="dxa"/>
            <w:shd w:val="clear" w:color="auto" w:fill="DAEEF3" w:themeFill="accent5" w:themeFillTint="33"/>
          </w:tcPr>
          <w:p w:rsidR="004E228F" w:rsidRPr="002C3813" w:rsidRDefault="000A6862" w:rsidP="009474BF">
            <w:pPr>
              <w:autoSpaceDE w:val="0"/>
              <w:autoSpaceDN w:val="0"/>
              <w:adjustRightInd w:val="0"/>
              <w:jc w:val="both"/>
              <w:rPr>
                <w:rFonts w:ascii="Bookman Old Style" w:hAnsi="Bookman Old Style" w:cs="Arial"/>
                <w:sz w:val="20"/>
                <w:szCs w:val="20"/>
              </w:rPr>
            </w:pPr>
            <w:r w:rsidRPr="002C3813">
              <w:rPr>
                <w:rFonts w:ascii="Bookman Old Style" w:hAnsi="Bookman Old Style" w:cs="Arial"/>
                <w:bCs/>
                <w:sz w:val="20"/>
                <w:szCs w:val="20"/>
              </w:rPr>
              <w:t>Le but du cadrage macroéconomique est de faire des projections macroéconomiques.</w:t>
            </w:r>
            <w:r w:rsidRPr="002C3813">
              <w:rPr>
                <w:rFonts w:ascii="Bookman Old Style" w:hAnsi="Bookman Old Style" w:cs="Arial"/>
                <w:b/>
                <w:bCs/>
                <w:sz w:val="20"/>
                <w:szCs w:val="20"/>
              </w:rPr>
              <w:t xml:space="preserve"> </w:t>
            </w:r>
            <w:r w:rsidRPr="002C3813">
              <w:rPr>
                <w:rFonts w:ascii="Bookman Old Style" w:hAnsi="Bookman Old Style" w:cs="Arial"/>
                <w:sz w:val="20"/>
                <w:szCs w:val="20"/>
              </w:rPr>
              <w:t xml:space="preserve">Il s’agit d’un exercice qui </w:t>
            </w:r>
            <w:r w:rsidR="004E228F" w:rsidRPr="002C3813">
              <w:rPr>
                <w:rFonts w:ascii="Bookman Old Style" w:hAnsi="Bookman Old Style" w:cs="Arial"/>
                <w:sz w:val="20"/>
                <w:szCs w:val="20"/>
              </w:rPr>
              <w:t>repose sur les hypothèses de l’évolution de l’environnement économique</w:t>
            </w:r>
            <w:r w:rsidR="004176DA" w:rsidRPr="002C3813">
              <w:rPr>
                <w:rFonts w:ascii="Bookman Old Style" w:hAnsi="Bookman Old Style" w:cs="Arial"/>
                <w:sz w:val="20"/>
                <w:szCs w:val="20"/>
              </w:rPr>
              <w:t xml:space="preserve"> national et </w:t>
            </w:r>
            <w:r w:rsidR="004E228F" w:rsidRPr="002C3813">
              <w:rPr>
                <w:rFonts w:ascii="Bookman Old Style" w:hAnsi="Bookman Old Style" w:cs="Arial"/>
                <w:sz w:val="20"/>
                <w:szCs w:val="20"/>
              </w:rPr>
              <w:t>international</w:t>
            </w:r>
            <w:r w:rsidR="004176DA" w:rsidRPr="002C3813">
              <w:rPr>
                <w:rFonts w:ascii="Bookman Old Style" w:hAnsi="Bookman Old Style" w:cs="Arial"/>
                <w:sz w:val="20"/>
                <w:szCs w:val="20"/>
              </w:rPr>
              <w:t>. Les hypothèses sont bâties sur les perspectives des</w:t>
            </w:r>
            <w:r w:rsidR="004E228F" w:rsidRPr="002C3813">
              <w:rPr>
                <w:rFonts w:ascii="Bookman Old Style" w:hAnsi="Bookman Old Style" w:cs="Arial"/>
                <w:sz w:val="20"/>
                <w:szCs w:val="20"/>
              </w:rPr>
              <w:t xml:space="preserve"> secteurs porteurs de l’économie </w:t>
            </w:r>
            <w:r w:rsidRPr="002C3813">
              <w:rPr>
                <w:rFonts w:ascii="Bookman Old Style" w:hAnsi="Bookman Old Style" w:cs="Arial"/>
                <w:sz w:val="20"/>
                <w:szCs w:val="20"/>
              </w:rPr>
              <w:t xml:space="preserve">dans son ensemble </w:t>
            </w:r>
            <w:r w:rsidR="004176DA" w:rsidRPr="002C3813">
              <w:rPr>
                <w:rFonts w:ascii="Bookman Old Style" w:hAnsi="Bookman Old Style" w:cs="Arial"/>
                <w:sz w:val="20"/>
                <w:szCs w:val="20"/>
              </w:rPr>
              <w:t>et les opportunités éventuelles du</w:t>
            </w:r>
            <w:r w:rsidRPr="002C3813">
              <w:rPr>
                <w:rFonts w:ascii="Bookman Old Style" w:hAnsi="Bookman Old Style" w:cs="Arial"/>
                <w:sz w:val="20"/>
                <w:szCs w:val="20"/>
              </w:rPr>
              <w:t xml:space="preserve"> contexte international</w:t>
            </w:r>
            <w:r w:rsidR="004E228F" w:rsidRPr="002C3813">
              <w:rPr>
                <w:rFonts w:ascii="Bookman Old Style" w:hAnsi="Bookman Old Style" w:cs="Arial"/>
                <w:sz w:val="20"/>
                <w:szCs w:val="20"/>
              </w:rPr>
              <w:t xml:space="preserve">. </w:t>
            </w:r>
          </w:p>
          <w:p w:rsidR="009474BF" w:rsidRPr="002C3813" w:rsidRDefault="009474BF" w:rsidP="009474BF">
            <w:pPr>
              <w:autoSpaceDE w:val="0"/>
              <w:autoSpaceDN w:val="0"/>
              <w:adjustRightInd w:val="0"/>
              <w:jc w:val="both"/>
              <w:rPr>
                <w:rFonts w:ascii="Bookman Old Style" w:hAnsi="Bookman Old Style" w:cs="Arial"/>
                <w:sz w:val="20"/>
                <w:szCs w:val="20"/>
              </w:rPr>
            </w:pPr>
          </w:p>
          <w:p w:rsidR="004E228F" w:rsidRPr="002C3813" w:rsidRDefault="003E5556" w:rsidP="009474BF">
            <w:p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 xml:space="preserve">Les </w:t>
            </w:r>
            <w:r w:rsidR="004E228F" w:rsidRPr="002C3813">
              <w:rPr>
                <w:rFonts w:ascii="Bookman Old Style" w:hAnsi="Bookman Old Style" w:cs="Arial"/>
                <w:sz w:val="20"/>
                <w:szCs w:val="20"/>
              </w:rPr>
              <w:t xml:space="preserve">hypothèses sur l’environnement économique international portent </w:t>
            </w:r>
            <w:r w:rsidR="009474BF" w:rsidRPr="002C3813">
              <w:rPr>
                <w:rFonts w:ascii="Bookman Old Style" w:hAnsi="Bookman Old Style" w:cs="Arial"/>
                <w:sz w:val="20"/>
                <w:szCs w:val="20"/>
              </w:rPr>
              <w:t xml:space="preserve">généralement sur </w:t>
            </w:r>
            <w:r w:rsidR="004E228F" w:rsidRPr="002C3813">
              <w:rPr>
                <w:rFonts w:ascii="Bookman Old Style" w:hAnsi="Bookman Old Style" w:cs="Arial"/>
                <w:sz w:val="20"/>
                <w:szCs w:val="20"/>
              </w:rPr>
              <w:t xml:space="preserve">l’évolution des cours </w:t>
            </w:r>
            <w:r w:rsidR="009474BF" w:rsidRPr="002C3813">
              <w:rPr>
                <w:rFonts w:ascii="Bookman Old Style" w:hAnsi="Bookman Old Style" w:cs="Arial"/>
                <w:sz w:val="20"/>
                <w:szCs w:val="20"/>
              </w:rPr>
              <w:t xml:space="preserve">des produits d’exportation tels que le coton, </w:t>
            </w:r>
            <w:r w:rsidR="004E228F" w:rsidRPr="002C3813">
              <w:rPr>
                <w:rFonts w:ascii="Bookman Old Style" w:hAnsi="Bookman Old Style" w:cs="Arial"/>
                <w:sz w:val="20"/>
                <w:szCs w:val="20"/>
              </w:rPr>
              <w:t xml:space="preserve">l’or et </w:t>
            </w:r>
            <w:r w:rsidR="009474BF" w:rsidRPr="002C3813">
              <w:rPr>
                <w:rFonts w:ascii="Bookman Old Style" w:hAnsi="Bookman Old Style" w:cs="Arial"/>
                <w:sz w:val="20"/>
                <w:szCs w:val="20"/>
              </w:rPr>
              <w:t>le</w:t>
            </w:r>
            <w:r w:rsidR="004E228F" w:rsidRPr="002C3813">
              <w:rPr>
                <w:rFonts w:ascii="Bookman Old Style" w:hAnsi="Bookman Old Style" w:cs="Arial"/>
                <w:sz w:val="20"/>
                <w:szCs w:val="20"/>
              </w:rPr>
              <w:t xml:space="preserve"> pétrole</w:t>
            </w:r>
            <w:r w:rsidR="004C5AC6" w:rsidRPr="002C3813">
              <w:rPr>
                <w:rFonts w:ascii="Bookman Old Style" w:hAnsi="Bookman Old Style" w:cs="Arial"/>
                <w:sz w:val="20"/>
                <w:szCs w:val="20"/>
              </w:rPr>
              <w:t xml:space="preserve"> ainsi la dynamique de la </w:t>
            </w:r>
            <w:r w:rsidR="007F472F" w:rsidRPr="002C3813">
              <w:rPr>
                <w:rFonts w:ascii="Bookman Old Style" w:hAnsi="Bookman Old Style" w:cs="Arial"/>
                <w:sz w:val="20"/>
                <w:szCs w:val="20"/>
              </w:rPr>
              <w:t xml:space="preserve">situation financière </w:t>
            </w:r>
            <w:r w:rsidR="004C5AC6" w:rsidRPr="002C3813">
              <w:rPr>
                <w:rFonts w:ascii="Bookman Old Style" w:hAnsi="Bookman Old Style" w:cs="Arial"/>
                <w:sz w:val="20"/>
                <w:szCs w:val="20"/>
              </w:rPr>
              <w:t>au niveau international.</w:t>
            </w:r>
            <w:r w:rsidR="004176DA" w:rsidRPr="002C3813">
              <w:rPr>
                <w:rFonts w:ascii="Bookman Old Style" w:hAnsi="Bookman Old Style" w:cs="Arial"/>
                <w:sz w:val="20"/>
                <w:szCs w:val="20"/>
              </w:rPr>
              <w:t xml:space="preserve"> </w:t>
            </w:r>
          </w:p>
          <w:p w:rsidR="004E228F" w:rsidRPr="002C3813" w:rsidRDefault="004E228F" w:rsidP="004E228F">
            <w:pPr>
              <w:autoSpaceDE w:val="0"/>
              <w:autoSpaceDN w:val="0"/>
              <w:adjustRightInd w:val="0"/>
              <w:rPr>
                <w:rFonts w:ascii="Bookman Old Style" w:hAnsi="Bookman Old Style" w:cs="Arial"/>
                <w:sz w:val="20"/>
                <w:szCs w:val="20"/>
              </w:rPr>
            </w:pPr>
          </w:p>
          <w:p w:rsidR="007F472F" w:rsidRPr="002C3813" w:rsidRDefault="007F472F" w:rsidP="007F472F">
            <w:p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bCs/>
                <w:sz w:val="20"/>
                <w:szCs w:val="20"/>
              </w:rPr>
              <w:t xml:space="preserve">Pour </w:t>
            </w:r>
            <w:r w:rsidR="004E228F" w:rsidRPr="002C3813">
              <w:rPr>
                <w:rFonts w:ascii="Bookman Old Style" w:hAnsi="Bookman Old Style" w:cs="Arial"/>
                <w:bCs/>
                <w:sz w:val="20"/>
                <w:szCs w:val="20"/>
              </w:rPr>
              <w:t>l’économie nationale</w:t>
            </w:r>
            <w:r w:rsidRPr="002C3813">
              <w:rPr>
                <w:rFonts w:ascii="Bookman Old Style" w:hAnsi="Bookman Old Style" w:cs="Arial"/>
                <w:bCs/>
                <w:sz w:val="20"/>
                <w:szCs w:val="20"/>
              </w:rPr>
              <w:t>, l</w:t>
            </w:r>
            <w:r w:rsidR="004E228F" w:rsidRPr="002C3813">
              <w:rPr>
                <w:rFonts w:ascii="Bookman Old Style" w:hAnsi="Bookman Old Style" w:cs="Arial"/>
                <w:sz w:val="20"/>
                <w:szCs w:val="20"/>
              </w:rPr>
              <w:t>es hypothèses spécifiques sur l’économie nationale reposent sur</w:t>
            </w:r>
            <w:r w:rsidRPr="002C3813">
              <w:rPr>
                <w:rFonts w:ascii="Bookman Old Style" w:hAnsi="Bookman Old Style" w:cs="Arial"/>
                <w:sz w:val="20"/>
                <w:szCs w:val="20"/>
              </w:rPr>
              <w:t xml:space="preserve"> l’en</w:t>
            </w:r>
            <w:r w:rsidR="00D530B2" w:rsidRPr="002C3813">
              <w:rPr>
                <w:rFonts w:ascii="Bookman Old Style" w:hAnsi="Bookman Old Style" w:cs="Arial"/>
                <w:sz w:val="20"/>
                <w:szCs w:val="20"/>
              </w:rPr>
              <w:t>s</w:t>
            </w:r>
            <w:r w:rsidRPr="002C3813">
              <w:rPr>
                <w:rFonts w:ascii="Bookman Old Style" w:hAnsi="Bookman Old Style" w:cs="Arial"/>
                <w:sz w:val="20"/>
                <w:szCs w:val="20"/>
              </w:rPr>
              <w:t>emble des secteurs politique, économique et sociale. Il s’agit :</w:t>
            </w:r>
            <w:r w:rsidR="004E228F" w:rsidRPr="002C3813">
              <w:rPr>
                <w:rFonts w:ascii="Bookman Old Style" w:hAnsi="Bookman Old Style" w:cs="Arial"/>
                <w:sz w:val="20"/>
                <w:szCs w:val="20"/>
              </w:rPr>
              <w:t xml:space="preserve"> </w:t>
            </w:r>
          </w:p>
          <w:p w:rsidR="00D530B2" w:rsidRPr="002C3813" w:rsidRDefault="007F472F" w:rsidP="004E228F">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L</w:t>
            </w:r>
            <w:r w:rsidR="004E228F" w:rsidRPr="002C3813">
              <w:rPr>
                <w:rFonts w:ascii="Bookman Old Style" w:hAnsi="Bookman Old Style" w:cs="Arial"/>
                <w:sz w:val="20"/>
                <w:szCs w:val="20"/>
              </w:rPr>
              <w:t>a</w:t>
            </w:r>
            <w:r w:rsidRPr="002C3813">
              <w:rPr>
                <w:rFonts w:ascii="Bookman Old Style" w:hAnsi="Bookman Old Style" w:cs="Arial"/>
                <w:sz w:val="20"/>
                <w:szCs w:val="20"/>
              </w:rPr>
              <w:t xml:space="preserve"> dynamique </w:t>
            </w:r>
            <w:r w:rsidR="004E228F" w:rsidRPr="002C3813">
              <w:rPr>
                <w:rFonts w:ascii="Bookman Old Style" w:hAnsi="Bookman Old Style" w:cs="Arial"/>
                <w:sz w:val="20"/>
                <w:szCs w:val="20"/>
              </w:rPr>
              <w:t xml:space="preserve">de la </w:t>
            </w:r>
            <w:r w:rsidR="00D530B2" w:rsidRPr="002C3813">
              <w:rPr>
                <w:rFonts w:ascii="Bookman Old Style" w:hAnsi="Bookman Old Style" w:cs="Arial"/>
                <w:sz w:val="20"/>
                <w:szCs w:val="20"/>
              </w:rPr>
              <w:t>situa</w:t>
            </w:r>
            <w:r w:rsidRPr="002C3813">
              <w:rPr>
                <w:rFonts w:ascii="Bookman Old Style" w:hAnsi="Bookman Old Style" w:cs="Arial"/>
                <w:sz w:val="20"/>
                <w:szCs w:val="20"/>
              </w:rPr>
              <w:t>tion</w:t>
            </w:r>
            <w:r w:rsidR="004E228F" w:rsidRPr="002C3813">
              <w:rPr>
                <w:rFonts w:ascii="Bookman Old Style" w:hAnsi="Bookman Old Style" w:cs="Arial"/>
                <w:sz w:val="20"/>
                <w:szCs w:val="20"/>
              </w:rPr>
              <w:t xml:space="preserve"> sociopolitique et sécuritaire </w:t>
            </w:r>
            <w:r w:rsidRPr="002C3813">
              <w:rPr>
                <w:rFonts w:ascii="Bookman Old Style" w:hAnsi="Bookman Old Style" w:cs="Arial"/>
                <w:sz w:val="20"/>
                <w:szCs w:val="20"/>
              </w:rPr>
              <w:t>qui</w:t>
            </w:r>
            <w:r w:rsidR="00D530B2" w:rsidRPr="002C3813">
              <w:rPr>
                <w:rFonts w:ascii="Bookman Old Style" w:hAnsi="Bookman Old Style" w:cs="Arial"/>
                <w:sz w:val="20"/>
                <w:szCs w:val="20"/>
              </w:rPr>
              <w:t xml:space="preserve"> favorise </w:t>
            </w:r>
            <w:r w:rsidR="004E228F" w:rsidRPr="002C3813">
              <w:rPr>
                <w:rFonts w:ascii="Bookman Old Style" w:hAnsi="Bookman Old Style" w:cs="Arial"/>
                <w:sz w:val="20"/>
                <w:szCs w:val="20"/>
              </w:rPr>
              <w:t xml:space="preserve">les investissements publics et privés, ainsi que la relance de l’activité économique ; </w:t>
            </w:r>
          </w:p>
          <w:p w:rsidR="00D530B2" w:rsidRPr="002C3813" w:rsidRDefault="004E228F" w:rsidP="004E228F">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Times New Roman"/>
                <w:sz w:val="20"/>
                <w:szCs w:val="20"/>
              </w:rPr>
              <w:t xml:space="preserve"> </w:t>
            </w:r>
            <w:r w:rsidRPr="002C3813">
              <w:rPr>
                <w:rFonts w:ascii="Bookman Old Style" w:hAnsi="Bookman Old Style" w:cs="Arial"/>
                <w:sz w:val="20"/>
                <w:szCs w:val="20"/>
              </w:rPr>
              <w:t>la bonne pluviosité</w:t>
            </w:r>
            <w:r w:rsidR="00D530B2" w:rsidRPr="002C3813">
              <w:rPr>
                <w:rFonts w:ascii="Bookman Old Style" w:hAnsi="Bookman Old Style" w:cs="Arial"/>
                <w:sz w:val="20"/>
                <w:szCs w:val="20"/>
              </w:rPr>
              <w:t xml:space="preserve"> qui favorise les rendements agricoles</w:t>
            </w:r>
            <w:r w:rsidRPr="002C3813">
              <w:rPr>
                <w:rFonts w:ascii="Bookman Old Style" w:hAnsi="Bookman Old Style" w:cs="Arial"/>
                <w:sz w:val="20"/>
                <w:szCs w:val="20"/>
              </w:rPr>
              <w:t xml:space="preserve"> ; </w:t>
            </w:r>
          </w:p>
          <w:p w:rsidR="00D530B2" w:rsidRPr="002C3813" w:rsidRDefault="00D530B2" w:rsidP="004E228F">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Les mesures de</w:t>
            </w:r>
            <w:r w:rsidR="004E228F" w:rsidRPr="002C3813">
              <w:rPr>
                <w:rFonts w:ascii="Bookman Old Style" w:hAnsi="Bookman Old Style" w:cs="Arial"/>
                <w:sz w:val="20"/>
                <w:szCs w:val="20"/>
              </w:rPr>
              <w:t xml:space="preserve"> politique de soutien au secteur primaire </w:t>
            </w:r>
            <w:r w:rsidRPr="002C3813">
              <w:rPr>
                <w:rFonts w:ascii="Bookman Old Style" w:hAnsi="Bookman Old Style" w:cs="Arial"/>
                <w:sz w:val="20"/>
                <w:szCs w:val="20"/>
              </w:rPr>
              <w:t xml:space="preserve">comme </w:t>
            </w:r>
            <w:r w:rsidR="004E228F" w:rsidRPr="002C3813">
              <w:rPr>
                <w:rFonts w:ascii="Bookman Old Style" w:hAnsi="Bookman Old Style" w:cs="Arial"/>
                <w:sz w:val="20"/>
                <w:szCs w:val="20"/>
              </w:rPr>
              <w:t xml:space="preserve">la subvention des intrants agricoles et la mécanisation agricole ; </w:t>
            </w:r>
          </w:p>
          <w:p w:rsidR="00D530B2" w:rsidRPr="002C3813" w:rsidRDefault="00D530B2" w:rsidP="00D530B2">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l</w:t>
            </w:r>
            <w:r w:rsidR="004E228F" w:rsidRPr="002C3813">
              <w:rPr>
                <w:rFonts w:ascii="Bookman Old Style" w:hAnsi="Bookman Old Style" w:cs="Arial"/>
                <w:sz w:val="20"/>
                <w:szCs w:val="20"/>
              </w:rPr>
              <w:t>es réfor</w:t>
            </w:r>
            <w:r w:rsidRPr="002C3813">
              <w:rPr>
                <w:rFonts w:ascii="Bookman Old Style" w:hAnsi="Bookman Old Style" w:cs="Arial"/>
                <w:sz w:val="20"/>
                <w:szCs w:val="20"/>
              </w:rPr>
              <w:t>mes du secteur de l’énergie pour augmenter l’offre d’énergie ;</w:t>
            </w:r>
          </w:p>
          <w:p w:rsidR="004E228F" w:rsidRPr="002C3813" w:rsidRDefault="00D530B2" w:rsidP="00D530B2">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2C3813">
              <w:rPr>
                <w:rFonts w:ascii="Bookman Old Style" w:hAnsi="Bookman Old Style" w:cs="Arial"/>
                <w:sz w:val="20"/>
                <w:szCs w:val="20"/>
              </w:rPr>
              <w:t>la recherche et</w:t>
            </w:r>
            <w:r w:rsidR="004E228F" w:rsidRPr="002C3813">
              <w:rPr>
                <w:rFonts w:ascii="Bookman Old Style" w:hAnsi="Bookman Old Style" w:cs="Arial"/>
                <w:sz w:val="20"/>
                <w:szCs w:val="20"/>
              </w:rPr>
              <w:t xml:space="preserve"> l’exploitation minière. </w:t>
            </w:r>
          </w:p>
          <w:p w:rsidR="002172A4" w:rsidRPr="002C3813" w:rsidRDefault="00D530B2" w:rsidP="002172A4">
            <w:pPr>
              <w:spacing w:before="160" w:after="120"/>
              <w:jc w:val="both"/>
              <w:rPr>
                <w:rFonts w:ascii="Times New Roman" w:hAnsi="Times New Roman"/>
                <w:bCs/>
                <w:sz w:val="20"/>
                <w:szCs w:val="20"/>
              </w:rPr>
            </w:pPr>
            <w:r w:rsidRPr="002C3813">
              <w:rPr>
                <w:rFonts w:ascii="Bookman Old Style" w:hAnsi="Bookman Old Style" w:cs="Times New Roman"/>
                <w:bCs/>
                <w:sz w:val="20"/>
                <w:szCs w:val="20"/>
              </w:rPr>
              <w:t>Dans le cadre du PND 2018-2027 du Burundi, les hypothèses qui sous-tendent les performances attendues sont</w:t>
            </w:r>
            <w:r w:rsidR="002172A4" w:rsidRPr="002C3813">
              <w:rPr>
                <w:rFonts w:ascii="Bookman Old Style" w:hAnsi="Bookman Old Style" w:cs="Times New Roman"/>
                <w:bCs/>
                <w:sz w:val="20"/>
                <w:szCs w:val="20"/>
              </w:rPr>
              <w:t xml:space="preserve"> également relatives aux contextes international et national. </w:t>
            </w:r>
            <w:r w:rsidR="002172A4" w:rsidRPr="002C3813">
              <w:rPr>
                <w:rFonts w:ascii="Times New Roman" w:hAnsi="Times New Roman"/>
                <w:bCs/>
                <w:sz w:val="20"/>
                <w:szCs w:val="20"/>
              </w:rPr>
              <w:t>Au niveau inte</w:t>
            </w:r>
            <w:r w:rsidR="00B83143" w:rsidRPr="002C3813">
              <w:rPr>
                <w:rFonts w:ascii="Times New Roman" w:hAnsi="Times New Roman"/>
                <w:bCs/>
                <w:sz w:val="20"/>
                <w:szCs w:val="20"/>
              </w:rPr>
              <w:t>rnational, 3</w:t>
            </w:r>
            <w:r w:rsidR="002172A4" w:rsidRPr="002C3813">
              <w:rPr>
                <w:rFonts w:ascii="Times New Roman" w:hAnsi="Times New Roman"/>
                <w:bCs/>
                <w:sz w:val="20"/>
                <w:szCs w:val="20"/>
              </w:rPr>
              <w:t xml:space="preserve"> hypothèses</w:t>
            </w:r>
            <w:r w:rsidR="00B83143" w:rsidRPr="002C3813">
              <w:rPr>
                <w:rFonts w:ascii="Times New Roman" w:hAnsi="Times New Roman"/>
                <w:bCs/>
                <w:sz w:val="20"/>
                <w:szCs w:val="20"/>
              </w:rPr>
              <w:t xml:space="preserve"> ont été retenues</w:t>
            </w:r>
            <w:r w:rsidR="002172A4" w:rsidRPr="002C3813">
              <w:rPr>
                <w:rFonts w:ascii="Times New Roman" w:hAnsi="Times New Roman"/>
                <w:bCs/>
                <w:sz w:val="20"/>
                <w:szCs w:val="20"/>
              </w:rPr>
              <w:t>:</w:t>
            </w:r>
          </w:p>
          <w:p w:rsidR="002172A4" w:rsidRPr="007A5FD3" w:rsidRDefault="002172A4"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la consolidation de la reprise économique tirée par les économies émergentes,</w:t>
            </w:r>
          </w:p>
          <w:p w:rsidR="002172A4" w:rsidRPr="007A5FD3" w:rsidRDefault="002172A4"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 xml:space="preserve">l’évolution favorable des cours mondiaux des principales matières premières </w:t>
            </w:r>
          </w:p>
          <w:p w:rsidR="00B83143" w:rsidRPr="007A5FD3" w:rsidRDefault="002172A4"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 xml:space="preserve">l’évolution favorable du prix du pétrole pour les pays importateurs. </w:t>
            </w:r>
          </w:p>
          <w:p w:rsidR="00B83143" w:rsidRPr="00315C6E" w:rsidRDefault="00B83143" w:rsidP="00315C6E">
            <w:pPr>
              <w:autoSpaceDE w:val="0"/>
              <w:autoSpaceDN w:val="0"/>
              <w:adjustRightInd w:val="0"/>
              <w:spacing w:after="181"/>
              <w:ind w:left="142"/>
              <w:jc w:val="both"/>
              <w:rPr>
                <w:rFonts w:ascii="Bookman Old Style" w:hAnsi="Bookman Old Style" w:cs="Arial"/>
                <w:sz w:val="20"/>
                <w:szCs w:val="20"/>
              </w:rPr>
            </w:pPr>
            <w:r w:rsidRPr="00315C6E">
              <w:rPr>
                <w:rFonts w:ascii="Bookman Old Style" w:hAnsi="Bookman Old Style" w:cs="Arial"/>
                <w:sz w:val="20"/>
                <w:szCs w:val="20"/>
              </w:rPr>
              <w:t>Au niveau national,  les performances attendues  sont basées sur  8 hypothèses relatives aux actions à mener :</w:t>
            </w:r>
          </w:p>
          <w:p w:rsidR="00B83143" w:rsidRPr="007A5FD3" w:rsidRDefault="00B83143"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 xml:space="preserve">la modernisation et la diversification de la production agricole, animale et halieutique; </w:t>
            </w:r>
          </w:p>
          <w:p w:rsidR="00B83143" w:rsidRPr="007A5FD3" w:rsidRDefault="00B83143"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l’augmentation et l’amélioration de l’offre énergétique notamment la construction de nouvelles centrales hydroélectriques et d’autres sources d’énergie</w:t>
            </w:r>
          </w:p>
          <w:p w:rsidR="00B83143" w:rsidRPr="007A5FD3" w:rsidRDefault="00B83143"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la promotion de la production industrielle, particulièrement l’industrie agro-alimentaire</w:t>
            </w:r>
          </w:p>
          <w:p w:rsidR="00B83143" w:rsidRPr="007A5FD3" w:rsidRDefault="00B83143"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l’amélioration de la qualité des ressources humaines par le renforcement de l’offre et l’accessibilité aux services d’éducation et de santé;</w:t>
            </w:r>
          </w:p>
          <w:p w:rsidR="00B83143" w:rsidRPr="007A5FD3" w:rsidRDefault="00B83143"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le développement des services, principalement les transports, le tourisme, les TIC et les services financiers</w:t>
            </w:r>
          </w:p>
          <w:p w:rsidR="00B83143" w:rsidRPr="007A5FD3" w:rsidRDefault="00B83143"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l’exploitation des sites de minerais déjà identifiés</w:t>
            </w:r>
          </w:p>
          <w:p w:rsidR="00B83143" w:rsidRPr="007A5FD3" w:rsidRDefault="00B83143" w:rsidP="007A5FD3">
            <w:pPr>
              <w:pStyle w:val="Paragraphedeliste"/>
              <w:numPr>
                <w:ilvl w:val="0"/>
                <w:numId w:val="28"/>
              </w:numPr>
              <w:autoSpaceDE w:val="0"/>
              <w:autoSpaceDN w:val="0"/>
              <w:adjustRightInd w:val="0"/>
              <w:spacing w:after="181"/>
              <w:jc w:val="both"/>
              <w:rPr>
                <w:rFonts w:ascii="Bookman Old Style" w:hAnsi="Bookman Old Style" w:cs="Arial"/>
                <w:sz w:val="20"/>
                <w:szCs w:val="20"/>
              </w:rPr>
            </w:pPr>
            <w:r w:rsidRPr="007A5FD3">
              <w:rPr>
                <w:rFonts w:ascii="Bookman Old Style" w:hAnsi="Bookman Old Style" w:cs="Arial"/>
                <w:sz w:val="20"/>
                <w:szCs w:val="20"/>
              </w:rPr>
              <w:t xml:space="preserve">l’accroissement des infrastructures d'appui à la production en quantité et qualité, notamment les infrastructures d’énergie, de transport et de télécommunication visant l’interconnexion en vue de profiter pleinement des opportunités offertes par l’intégration du pays au sein des organisations régionales et internationales </w:t>
            </w:r>
          </w:p>
          <w:p w:rsidR="002172A4" w:rsidRPr="002C3813" w:rsidRDefault="00B83143" w:rsidP="007A5FD3">
            <w:pPr>
              <w:pStyle w:val="Paragraphedeliste"/>
              <w:numPr>
                <w:ilvl w:val="0"/>
                <w:numId w:val="28"/>
              </w:numPr>
              <w:autoSpaceDE w:val="0"/>
              <w:autoSpaceDN w:val="0"/>
              <w:adjustRightInd w:val="0"/>
              <w:spacing w:after="181"/>
              <w:jc w:val="both"/>
              <w:rPr>
                <w:sz w:val="20"/>
                <w:szCs w:val="20"/>
              </w:rPr>
            </w:pPr>
            <w:r w:rsidRPr="007A5FD3">
              <w:rPr>
                <w:rFonts w:ascii="Bookman Old Style" w:hAnsi="Bookman Old Style" w:cs="Arial"/>
                <w:sz w:val="20"/>
                <w:szCs w:val="20"/>
              </w:rPr>
              <w:t>la diversification des produits exportables pour augmenter les réserves internationales.</w:t>
            </w:r>
            <w:r w:rsidRPr="002C3813">
              <w:rPr>
                <w:rFonts w:ascii="Times New Roman" w:hAnsi="Times New Roman"/>
                <w:sz w:val="20"/>
                <w:szCs w:val="20"/>
              </w:rPr>
              <w:t xml:space="preserve"> </w:t>
            </w:r>
          </w:p>
        </w:tc>
      </w:tr>
    </w:tbl>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4E228F" w:rsidRPr="00CA196C" w:rsidRDefault="004E228F" w:rsidP="004E228F">
      <w:pPr>
        <w:spacing w:before="160" w:after="120" w:line="240" w:lineRule="auto"/>
        <w:jc w:val="both"/>
        <w:rPr>
          <w:rFonts w:ascii="Bookman Old Style" w:hAnsi="Bookman Old Style" w:cs="Times New Roman"/>
          <w:bCs/>
          <w:sz w:val="24"/>
          <w:szCs w:val="24"/>
        </w:rPr>
      </w:pPr>
    </w:p>
    <w:p w:rsidR="002B7839" w:rsidRPr="002B7839" w:rsidRDefault="00D76FCA" w:rsidP="002B7839">
      <w:pPr>
        <w:pStyle w:val="Sous-titre"/>
        <w:rPr>
          <w:rFonts w:ascii="Bookman Old Style" w:hAnsi="Bookman Old Style"/>
        </w:rPr>
      </w:pPr>
      <w:bookmarkStart w:id="149" w:name="_Toc511076254"/>
      <w:bookmarkStart w:id="150" w:name="_Toc511080884"/>
      <w:bookmarkStart w:id="151" w:name="_Toc511081560"/>
      <w:r w:rsidRPr="00CA196C">
        <w:rPr>
          <w:rFonts w:ascii="Bookman Old Style" w:hAnsi="Bookman Old Style"/>
        </w:rPr>
        <w:lastRenderedPageBreak/>
        <w:t>Graphique</w:t>
      </w:r>
      <w:r w:rsidR="00BC33DD" w:rsidRPr="00CA196C">
        <w:rPr>
          <w:rFonts w:ascii="Bookman Old Style" w:hAnsi="Bookman Old Style"/>
        </w:rPr>
        <w:t xml:space="preserve"> </w:t>
      </w:r>
      <w:r w:rsidRPr="00CA196C">
        <w:rPr>
          <w:rFonts w:ascii="Bookman Old Style" w:hAnsi="Bookman Old Style"/>
        </w:rPr>
        <w:t>3</w:t>
      </w:r>
      <w:r w:rsidR="0033380D" w:rsidRPr="00CA196C">
        <w:rPr>
          <w:rFonts w:ascii="Bookman Old Style" w:hAnsi="Bookman Old Style"/>
        </w:rPr>
        <w:t xml:space="preserve"> : </w:t>
      </w:r>
      <w:r w:rsidR="00867E6D" w:rsidRPr="00CA196C">
        <w:rPr>
          <w:rFonts w:ascii="Bookman Old Style" w:hAnsi="Bookman Old Style"/>
        </w:rPr>
        <w:t>Scénarii des c</w:t>
      </w:r>
      <w:r w:rsidR="0033380D" w:rsidRPr="00CA196C">
        <w:rPr>
          <w:rFonts w:ascii="Bookman Old Style" w:hAnsi="Bookman Old Style"/>
        </w:rPr>
        <w:t>ible</w:t>
      </w:r>
      <w:r w:rsidR="00867E6D" w:rsidRPr="00CA196C">
        <w:rPr>
          <w:rFonts w:ascii="Bookman Old Style" w:hAnsi="Bookman Old Style"/>
        </w:rPr>
        <w:t xml:space="preserve">s </w:t>
      </w:r>
      <w:r w:rsidR="009352B1" w:rsidRPr="00CA196C">
        <w:rPr>
          <w:rFonts w:ascii="Bookman Old Style" w:hAnsi="Bookman Old Style"/>
        </w:rPr>
        <w:t xml:space="preserve">et projection </w:t>
      </w:r>
      <w:r w:rsidR="00867E6D" w:rsidRPr="00CA196C">
        <w:rPr>
          <w:rFonts w:ascii="Bookman Old Style" w:hAnsi="Bookman Old Style"/>
        </w:rPr>
        <w:t>de croissance</w:t>
      </w:r>
      <w:r w:rsidR="00AD774C" w:rsidRPr="00CA196C">
        <w:rPr>
          <w:rFonts w:ascii="Bookman Old Style" w:hAnsi="Bookman Old Style"/>
        </w:rPr>
        <w:t xml:space="preserve"> économique en 2027</w:t>
      </w:r>
      <w:bookmarkEnd w:id="149"/>
      <w:bookmarkEnd w:id="150"/>
      <w:bookmarkEnd w:id="151"/>
    </w:p>
    <w:p w:rsidR="00332654" w:rsidRPr="002B7839" w:rsidRDefault="002B7839" w:rsidP="002B7839">
      <w:pPr>
        <w:spacing w:before="120" w:after="120" w:line="240" w:lineRule="auto"/>
        <w:jc w:val="both"/>
        <w:outlineLvl w:val="1"/>
        <w:rPr>
          <w:rFonts w:ascii="Bookman Old Style" w:eastAsia="Times New Roman" w:hAnsi="Bookman Old Style" w:cs="Times New Roman"/>
          <w:b/>
          <w:sz w:val="24"/>
          <w:szCs w:val="24"/>
          <w:u w:color="000000"/>
          <w:bdr w:val="nil"/>
        </w:rPr>
      </w:pPr>
      <w:bookmarkStart w:id="152" w:name="_Toc511080885"/>
      <w:bookmarkStart w:id="153" w:name="_Toc511081561"/>
      <w:r w:rsidRPr="002B7839">
        <w:rPr>
          <w:rFonts w:ascii="Bookman Old Style" w:hAnsi="Bookman Old Style"/>
          <w:noProof/>
          <w:shd w:val="clear" w:color="auto" w:fill="EAF1DD" w:themeFill="accent3" w:themeFillTint="33"/>
          <w:lang w:eastAsia="fr-FR"/>
        </w:rPr>
        <w:drawing>
          <wp:inline distT="0" distB="0" distL="0" distR="0">
            <wp:extent cx="2871470" cy="275590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1470" cy="2755900"/>
                    </a:xfrm>
                    <a:prstGeom prst="rect">
                      <a:avLst/>
                    </a:prstGeom>
                    <a:noFill/>
                  </pic:spPr>
                </pic:pic>
              </a:graphicData>
            </a:graphic>
          </wp:inline>
        </w:drawing>
      </w:r>
      <w:r>
        <w:rPr>
          <w:rFonts w:ascii="Bookman Old Style" w:eastAsia="Times New Roman" w:hAnsi="Bookman Old Style" w:cs="Times New Roman"/>
          <w:b/>
          <w:sz w:val="24"/>
          <w:szCs w:val="24"/>
          <w:u w:color="000000"/>
          <w:bdr w:val="nil"/>
        </w:rPr>
        <w:t xml:space="preserve"> </w:t>
      </w:r>
      <w:r w:rsidR="003818E3" w:rsidRPr="00CA196C">
        <w:rPr>
          <w:rFonts w:ascii="Bookman Old Style" w:eastAsia="Times New Roman" w:hAnsi="Bookman Old Style" w:cs="Times New Roman"/>
          <w:b/>
          <w:noProof/>
          <w:sz w:val="24"/>
          <w:szCs w:val="24"/>
          <w:u w:color="000000"/>
          <w:bdr w:val="nil"/>
          <w:lang w:eastAsia="fr-FR"/>
        </w:rPr>
        <w:drawing>
          <wp:inline distT="0" distB="0" distL="0" distR="0">
            <wp:extent cx="2631057" cy="2751826"/>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4952" cy="2755900"/>
                    </a:xfrm>
                    <a:prstGeom prst="rect">
                      <a:avLst/>
                    </a:prstGeom>
                    <a:noFill/>
                  </pic:spPr>
                </pic:pic>
              </a:graphicData>
            </a:graphic>
          </wp:inline>
        </w:drawing>
      </w:r>
      <w:bookmarkEnd w:id="152"/>
      <w:bookmarkEnd w:id="153"/>
    </w:p>
    <w:p w:rsidR="00A57785" w:rsidRPr="00CA196C" w:rsidRDefault="0039336E" w:rsidP="00BD2775">
      <w:pPr>
        <w:pStyle w:val="Titre3"/>
        <w:rPr>
          <w:rFonts w:ascii="Bookman Old Style" w:hAnsi="Bookman Old Style"/>
        </w:rPr>
      </w:pPr>
      <w:bookmarkStart w:id="154" w:name="_Toc511076185"/>
      <w:bookmarkStart w:id="155" w:name="_Toc511080886"/>
      <w:bookmarkStart w:id="156" w:name="_Toc511081387"/>
      <w:bookmarkStart w:id="157" w:name="_Toc511081562"/>
      <w:r w:rsidRPr="00CA196C">
        <w:rPr>
          <w:rFonts w:ascii="Bookman Old Style" w:hAnsi="Bookman Old Style"/>
        </w:rPr>
        <w:t xml:space="preserve">4.1.2. </w:t>
      </w:r>
      <w:r w:rsidR="00A57785" w:rsidRPr="00CA196C">
        <w:rPr>
          <w:rFonts w:ascii="Bookman Old Style" w:hAnsi="Bookman Old Style"/>
        </w:rPr>
        <w:t>Vue d’ensemble des enjeux et orientations stratégiques</w:t>
      </w:r>
      <w:bookmarkEnd w:id="154"/>
      <w:bookmarkEnd w:id="155"/>
      <w:bookmarkEnd w:id="156"/>
      <w:bookmarkEnd w:id="157"/>
    </w:p>
    <w:p w:rsidR="0030480A" w:rsidRPr="00CA196C" w:rsidRDefault="00DE3A23" w:rsidP="00CD26FF">
      <w:pPr>
        <w:pStyle w:val="Paragraphedeliste"/>
        <w:numPr>
          <w:ilvl w:val="0"/>
          <w:numId w:val="5"/>
        </w:numPr>
        <w:spacing w:before="120" w:after="120" w:line="240" w:lineRule="auto"/>
        <w:jc w:val="both"/>
        <w:outlineLvl w:val="1"/>
        <w:rPr>
          <w:rFonts w:ascii="Bookman Old Style" w:eastAsia="Calibri" w:hAnsi="Bookman Old Style" w:cs="Times New Roman"/>
          <w:sz w:val="24"/>
          <w:szCs w:val="24"/>
          <w:u w:color="000000"/>
          <w:bdr w:val="nil"/>
        </w:rPr>
      </w:pPr>
      <w:bookmarkStart w:id="158" w:name="_Toc511080887"/>
      <w:bookmarkStart w:id="159" w:name="_Toc511081563"/>
      <w:r w:rsidRPr="00CA196C">
        <w:rPr>
          <w:rFonts w:ascii="Bookman Old Style" w:eastAsia="Times New Roman" w:hAnsi="Bookman Old Style" w:cs="Times New Roman"/>
          <w:sz w:val="24"/>
          <w:szCs w:val="24"/>
          <w:u w:color="000000"/>
          <w:bdr w:val="nil"/>
        </w:rPr>
        <w:t xml:space="preserve">Sur la décennie 2018-2027, le Burundi </w:t>
      </w:r>
      <w:r w:rsidR="00C6627F">
        <w:rPr>
          <w:rFonts w:ascii="Bookman Old Style" w:eastAsia="Times New Roman" w:hAnsi="Bookman Old Style" w:cs="Times New Roman"/>
          <w:sz w:val="24"/>
          <w:szCs w:val="24"/>
          <w:u w:color="000000"/>
          <w:bdr w:val="nil"/>
        </w:rPr>
        <w:t>traduira</w:t>
      </w:r>
      <w:r w:rsidR="000C6552" w:rsidRPr="00CA196C">
        <w:rPr>
          <w:rFonts w:ascii="Bookman Old Style" w:eastAsia="Times New Roman" w:hAnsi="Bookman Old Style" w:cs="Times New Roman"/>
          <w:sz w:val="24"/>
          <w:szCs w:val="24"/>
          <w:u w:color="000000"/>
          <w:bdr w:val="nil"/>
        </w:rPr>
        <w:t xml:space="preserve"> </w:t>
      </w:r>
      <w:r w:rsidRPr="00CA196C">
        <w:rPr>
          <w:rFonts w:ascii="Bookman Old Style" w:eastAsia="Times New Roman" w:hAnsi="Bookman Old Style" w:cs="Times New Roman"/>
          <w:sz w:val="24"/>
          <w:szCs w:val="24"/>
          <w:u w:color="000000"/>
          <w:bdr w:val="nil"/>
        </w:rPr>
        <w:t>sa vision en réalité</w:t>
      </w:r>
      <w:r w:rsidR="00EE085B" w:rsidRPr="00CA196C">
        <w:rPr>
          <w:rFonts w:ascii="Bookman Old Style" w:eastAsia="Times New Roman" w:hAnsi="Bookman Old Style" w:cs="Times New Roman"/>
          <w:sz w:val="24"/>
          <w:szCs w:val="24"/>
          <w:u w:color="000000"/>
          <w:bdr w:val="nil"/>
        </w:rPr>
        <w:t xml:space="preserve"> </w:t>
      </w:r>
      <w:r w:rsidRPr="00CA196C">
        <w:rPr>
          <w:rFonts w:ascii="Bookman Old Style" w:eastAsia="Times New Roman" w:hAnsi="Bookman Old Style" w:cs="Times New Roman"/>
          <w:sz w:val="24"/>
          <w:szCs w:val="24"/>
          <w:u w:color="000000"/>
          <w:bdr w:val="nil"/>
        </w:rPr>
        <w:t xml:space="preserve">à travers une transformation structurelle de son économie </w:t>
      </w:r>
      <w:r w:rsidRPr="00CA196C">
        <w:rPr>
          <w:rFonts w:ascii="Bookman Old Style" w:eastAsia="Calibri" w:hAnsi="Bookman Old Style" w:cs="Times New Roman"/>
          <w:sz w:val="24"/>
          <w:szCs w:val="24"/>
          <w:u w:color="000000"/>
          <w:bdr w:val="nil"/>
        </w:rPr>
        <w:t xml:space="preserve">pour une croissance forte, durable pour un bien-être social. La réalisation de cette vision orientée vers </w:t>
      </w:r>
      <w:r w:rsidR="00693A16" w:rsidRPr="00CA196C">
        <w:rPr>
          <w:rFonts w:ascii="Bookman Old Style" w:eastAsia="Calibri" w:hAnsi="Bookman Old Style" w:cs="Times New Roman"/>
          <w:sz w:val="24"/>
          <w:szCs w:val="24"/>
          <w:u w:color="000000"/>
          <w:bdr w:val="nil"/>
        </w:rPr>
        <w:t>« </w:t>
      </w:r>
      <w:r w:rsidRPr="00CA196C">
        <w:rPr>
          <w:rFonts w:ascii="Bookman Old Style" w:eastAsia="Calibri" w:hAnsi="Bookman Old Style" w:cs="Times New Roman"/>
          <w:b/>
          <w:i/>
          <w:sz w:val="24"/>
          <w:szCs w:val="24"/>
          <w:u w:color="000000"/>
          <w:bdr w:val="nil"/>
        </w:rPr>
        <w:t xml:space="preserve">une économie résiliente et une croissance inclusive, </w:t>
      </w:r>
      <w:r w:rsidR="00EE085B" w:rsidRPr="00CA196C">
        <w:rPr>
          <w:rFonts w:ascii="Bookman Old Style" w:eastAsia="Calibri" w:hAnsi="Bookman Old Style" w:cs="Times New Roman"/>
          <w:b/>
          <w:i/>
          <w:sz w:val="24"/>
          <w:szCs w:val="24"/>
          <w:u w:color="000000"/>
          <w:bdr w:val="nil"/>
        </w:rPr>
        <w:t xml:space="preserve">et </w:t>
      </w:r>
      <w:r w:rsidRPr="00CA196C">
        <w:rPr>
          <w:rFonts w:ascii="Bookman Old Style" w:eastAsia="Calibri" w:hAnsi="Bookman Old Style" w:cs="Times New Roman"/>
          <w:b/>
          <w:i/>
          <w:sz w:val="24"/>
          <w:szCs w:val="24"/>
          <w:u w:color="000000"/>
          <w:bdr w:val="nil"/>
        </w:rPr>
        <w:t>créatrice d’emplois décents</w:t>
      </w:r>
      <w:r w:rsidR="00693A16" w:rsidRPr="00CA196C">
        <w:rPr>
          <w:rFonts w:ascii="Bookman Old Style" w:eastAsia="Calibri" w:hAnsi="Bookman Old Style" w:cs="Times New Roman"/>
          <w:b/>
          <w:i/>
          <w:sz w:val="24"/>
          <w:szCs w:val="24"/>
          <w:u w:color="000000"/>
          <w:bdr w:val="nil"/>
        </w:rPr>
        <w:t> »</w:t>
      </w:r>
      <w:r w:rsidRPr="00CA196C">
        <w:rPr>
          <w:rFonts w:ascii="Bookman Old Style" w:eastAsia="Calibri" w:hAnsi="Bookman Old Style" w:cs="Times New Roman"/>
          <w:sz w:val="24"/>
          <w:szCs w:val="24"/>
          <w:u w:color="000000"/>
          <w:bdr w:val="nil"/>
        </w:rPr>
        <w:t xml:space="preserve"> sera construite sur un trio d’enjeux  basé sur quatre dimensions interactives: </w:t>
      </w:r>
      <w:r w:rsidR="00637C8B" w:rsidRPr="00637C8B">
        <w:rPr>
          <w:rFonts w:ascii="Bookman Old Style" w:eastAsia="Calibri" w:hAnsi="Bookman Old Style" w:cs="Times New Roman"/>
          <w:sz w:val="24"/>
          <w:szCs w:val="24"/>
          <w:u w:color="000000"/>
          <w:bdr w:val="nil"/>
        </w:rPr>
        <w:t>Croissance,</w:t>
      </w:r>
      <w:r w:rsidR="00637C8B">
        <w:rPr>
          <w:rFonts w:ascii="Bookman Old Style" w:eastAsia="Calibri" w:hAnsi="Bookman Old Style" w:cs="Times New Roman"/>
          <w:sz w:val="24"/>
          <w:szCs w:val="24"/>
          <w:u w:color="000000"/>
          <w:bdr w:val="nil"/>
        </w:rPr>
        <w:t xml:space="preserve"> </w:t>
      </w:r>
      <w:r w:rsidRPr="00CA196C">
        <w:rPr>
          <w:rFonts w:ascii="Bookman Old Style" w:eastAsia="Calibri" w:hAnsi="Bookman Old Style" w:cs="Times New Roman"/>
          <w:sz w:val="24"/>
          <w:szCs w:val="24"/>
          <w:u w:color="000000"/>
          <w:bdr w:val="nil"/>
        </w:rPr>
        <w:t xml:space="preserve">Gouvernance, Mobilisation de ressources et </w:t>
      </w:r>
      <w:r w:rsidR="00EE085B" w:rsidRPr="00CA196C">
        <w:rPr>
          <w:rFonts w:ascii="Bookman Old Style" w:eastAsia="Calibri" w:hAnsi="Bookman Old Style" w:cs="Times New Roman"/>
          <w:sz w:val="24"/>
          <w:szCs w:val="24"/>
          <w:u w:color="000000"/>
          <w:bdr w:val="nil"/>
        </w:rPr>
        <w:t>C</w:t>
      </w:r>
      <w:r w:rsidRPr="00CA196C">
        <w:rPr>
          <w:rFonts w:ascii="Bookman Old Style" w:eastAsia="Calibri" w:hAnsi="Bookman Old Style" w:cs="Times New Roman"/>
          <w:sz w:val="24"/>
          <w:szCs w:val="24"/>
          <w:u w:color="000000"/>
          <w:bdr w:val="nil"/>
        </w:rPr>
        <w:t xml:space="preserve">oopération. </w:t>
      </w:r>
      <w:r w:rsidR="00F8287E" w:rsidRPr="00CA196C">
        <w:rPr>
          <w:rFonts w:ascii="Bookman Old Style" w:eastAsia="Calibri" w:hAnsi="Bookman Old Style" w:cs="Times New Roman"/>
          <w:sz w:val="24"/>
          <w:szCs w:val="24"/>
          <w:u w:color="000000"/>
          <w:bdr w:val="nil"/>
        </w:rPr>
        <w:t>L’exécution des programme</w:t>
      </w:r>
      <w:r w:rsidR="00470A99" w:rsidRPr="00CA196C">
        <w:rPr>
          <w:rFonts w:ascii="Bookman Old Style" w:eastAsia="Calibri" w:hAnsi="Bookman Old Style" w:cs="Times New Roman"/>
          <w:sz w:val="24"/>
          <w:szCs w:val="24"/>
          <w:u w:color="000000"/>
          <w:bdr w:val="nil"/>
        </w:rPr>
        <w:t>s</w:t>
      </w:r>
      <w:r w:rsidR="00F8287E" w:rsidRPr="00CA196C">
        <w:rPr>
          <w:rFonts w:ascii="Bookman Old Style" w:eastAsia="Calibri" w:hAnsi="Bookman Old Style" w:cs="Times New Roman"/>
          <w:sz w:val="24"/>
          <w:szCs w:val="24"/>
          <w:u w:color="000000"/>
          <w:bdr w:val="nil"/>
        </w:rPr>
        <w:t xml:space="preserve"> prévus dans ce plan permettra une dynamique de croissance qui conduira à une moyenne à 2 chiffres en 2027.</w:t>
      </w:r>
      <w:bookmarkEnd w:id="158"/>
      <w:bookmarkEnd w:id="159"/>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BC33DD" w:rsidRPr="00CA196C" w:rsidRDefault="00BC33DD" w:rsidP="00BC33DD">
      <w:pPr>
        <w:spacing w:before="120" w:after="120" w:line="240" w:lineRule="auto"/>
        <w:jc w:val="both"/>
        <w:outlineLvl w:val="1"/>
        <w:rPr>
          <w:rFonts w:ascii="Bookman Old Style" w:eastAsia="Calibri" w:hAnsi="Bookman Old Style" w:cs="Times New Roman"/>
          <w:sz w:val="24"/>
          <w:szCs w:val="24"/>
          <w:u w:color="000000"/>
          <w:bdr w:val="nil"/>
        </w:rPr>
      </w:pPr>
    </w:p>
    <w:p w:rsidR="00014B8B" w:rsidRPr="00CA196C" w:rsidRDefault="00014B8B">
      <w:pPr>
        <w:rPr>
          <w:rFonts w:ascii="Bookman Old Style" w:eastAsia="Calibri" w:hAnsi="Bookman Old Style" w:cs="Times New Roman"/>
          <w:sz w:val="24"/>
          <w:szCs w:val="24"/>
          <w:u w:color="000000"/>
          <w:bdr w:val="nil"/>
        </w:rPr>
      </w:pPr>
      <w:r w:rsidRPr="00CA196C">
        <w:rPr>
          <w:rFonts w:ascii="Bookman Old Style" w:eastAsia="Calibri" w:hAnsi="Bookman Old Style" w:cs="Times New Roman"/>
          <w:sz w:val="24"/>
          <w:szCs w:val="24"/>
          <w:u w:color="000000"/>
          <w:bdr w:val="nil"/>
        </w:rPr>
        <w:br w:type="page"/>
      </w:r>
    </w:p>
    <w:p w:rsidR="0030480A" w:rsidRPr="00381847" w:rsidRDefault="00D76FCA" w:rsidP="00D76FCA">
      <w:pPr>
        <w:pStyle w:val="Sous-titre"/>
        <w:rPr>
          <w:rFonts w:ascii="Bookman Old Style" w:hAnsi="Bookman Old Style"/>
          <w:color w:val="FF0000"/>
        </w:rPr>
      </w:pPr>
      <w:bookmarkStart w:id="160" w:name="_Toc511076255"/>
      <w:bookmarkStart w:id="161" w:name="_Toc511080888"/>
      <w:bookmarkStart w:id="162" w:name="_Toc511081564"/>
      <w:r w:rsidRPr="00CA196C">
        <w:rPr>
          <w:rFonts w:ascii="Bookman Old Style" w:hAnsi="Bookman Old Style"/>
        </w:rPr>
        <w:lastRenderedPageBreak/>
        <w:t>Graphique</w:t>
      </w:r>
      <w:r w:rsidR="00A05194" w:rsidRPr="00CA196C">
        <w:rPr>
          <w:rFonts w:ascii="Bookman Old Style" w:hAnsi="Bookman Old Style"/>
        </w:rPr>
        <w:t xml:space="preserve"> </w:t>
      </w:r>
      <w:r w:rsidRPr="00CA196C">
        <w:rPr>
          <w:rFonts w:ascii="Bookman Old Style" w:hAnsi="Bookman Old Style"/>
        </w:rPr>
        <w:t>4</w:t>
      </w:r>
      <w:r w:rsidR="00DE3A23" w:rsidRPr="00CA196C">
        <w:rPr>
          <w:rFonts w:ascii="Bookman Old Style" w:hAnsi="Bookman Old Style"/>
        </w:rPr>
        <w:t xml:space="preserve">.  Trois enjeux  </w:t>
      </w:r>
      <w:r w:rsidR="00693A16" w:rsidRPr="00CA196C">
        <w:rPr>
          <w:rFonts w:ascii="Bookman Old Style" w:hAnsi="Bookman Old Style"/>
        </w:rPr>
        <w:t>et trajectoire de la</w:t>
      </w:r>
      <w:r w:rsidR="00DE3A23" w:rsidRPr="00CA196C">
        <w:rPr>
          <w:rFonts w:ascii="Bookman Old Style" w:hAnsi="Bookman Old Style"/>
        </w:rPr>
        <w:t xml:space="preserve"> </w:t>
      </w:r>
      <w:r w:rsidR="00DE3A23" w:rsidRPr="0020032C">
        <w:rPr>
          <w:rFonts w:ascii="Bookman Old Style" w:hAnsi="Bookman Old Style"/>
        </w:rPr>
        <w:t xml:space="preserve">croissance </w:t>
      </w:r>
      <w:r w:rsidR="005E69C6" w:rsidRPr="0020032C">
        <w:rPr>
          <w:rFonts w:ascii="Bookman Old Style" w:hAnsi="Bookman Old Style"/>
        </w:rPr>
        <w:t>moyenne</w:t>
      </w:r>
      <w:r w:rsidR="005E69C6" w:rsidRPr="00CA196C">
        <w:rPr>
          <w:rFonts w:ascii="Bookman Old Style" w:hAnsi="Bookman Old Style"/>
        </w:rPr>
        <w:t xml:space="preserve"> </w:t>
      </w:r>
      <w:r w:rsidR="00693A16" w:rsidRPr="00CA196C">
        <w:rPr>
          <w:rFonts w:ascii="Bookman Old Style" w:hAnsi="Bookman Old Style"/>
        </w:rPr>
        <w:t>jusqu’en</w:t>
      </w:r>
      <w:r w:rsidR="00DE3A23" w:rsidRPr="00CA196C">
        <w:rPr>
          <w:rFonts w:ascii="Bookman Old Style" w:hAnsi="Bookman Old Style"/>
        </w:rPr>
        <w:t xml:space="preserve"> 2027</w:t>
      </w:r>
      <w:bookmarkEnd w:id="160"/>
      <w:bookmarkEnd w:id="161"/>
      <w:bookmarkEnd w:id="162"/>
      <w:r w:rsidR="00DE3A23" w:rsidRPr="00CA196C">
        <w:rPr>
          <w:rFonts w:ascii="Bookman Old Style" w:hAnsi="Bookman Old Style"/>
        </w:rPr>
        <w:t xml:space="preserve"> </w:t>
      </w:r>
    </w:p>
    <w:p w:rsidR="005272CD" w:rsidRPr="00CA196C" w:rsidRDefault="00D25654" w:rsidP="00E92676">
      <w:pPr>
        <w:spacing w:before="120" w:after="120" w:line="240" w:lineRule="auto"/>
        <w:jc w:val="both"/>
        <w:outlineLvl w:val="1"/>
        <w:rPr>
          <w:rFonts w:ascii="Bookman Old Style" w:eastAsia="Times New Roman" w:hAnsi="Bookman Old Style" w:cs="Times New Roman"/>
          <w:b/>
          <w:sz w:val="24"/>
          <w:szCs w:val="24"/>
          <w:u w:color="000000"/>
          <w:bdr w:val="nil"/>
        </w:rPr>
      </w:pPr>
      <w:bookmarkStart w:id="163" w:name="_Toc511080889"/>
      <w:bookmarkStart w:id="164" w:name="_Toc511081565"/>
      <w:r w:rsidRPr="003818E3">
        <w:rPr>
          <w:rFonts w:ascii="Book Antiqua" w:eastAsia="Times New Roman" w:hAnsi="Book Antiqua" w:cs="Times New Roman"/>
          <w:b/>
          <w:noProof/>
          <w:sz w:val="24"/>
          <w:szCs w:val="24"/>
          <w:u w:color="000000"/>
          <w:bdr w:val="nil"/>
          <w:shd w:val="clear" w:color="auto" w:fill="EAF1DD" w:themeFill="accent3" w:themeFillTint="33"/>
          <w:lang w:eastAsia="fr-FR"/>
        </w:rPr>
        <w:drawing>
          <wp:inline distT="0" distB="0" distL="0" distR="0">
            <wp:extent cx="2622430" cy="3381555"/>
            <wp:effectExtent l="19050" t="0" r="25520" b="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r w:rsidR="00644F30">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253D6E">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A858B3" w:rsidRPr="003818E3">
        <w:rPr>
          <w:rFonts w:ascii="Book Antiqua" w:eastAsia="Times New Roman" w:hAnsi="Book Antiqua" w:cs="Times New Roman"/>
          <w:b/>
          <w:noProof/>
          <w:sz w:val="24"/>
          <w:szCs w:val="24"/>
          <w:u w:color="000000"/>
          <w:bdr w:val="nil"/>
          <w:shd w:val="clear" w:color="auto" w:fill="EAF1DD" w:themeFill="accent3" w:themeFillTint="33"/>
          <w:lang w:eastAsia="fr-FR"/>
        </w:rPr>
        <w:drawing>
          <wp:inline distT="0" distB="0" distL="0" distR="0">
            <wp:extent cx="2620010" cy="3321050"/>
            <wp:effectExtent l="19050" t="19050" r="8890" b="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bookmarkEnd w:id="163"/>
      <w:bookmarkEnd w:id="164"/>
      <w:r w:rsidR="00CF08C2">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644F30">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CF08C2">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r w:rsidR="00644F30">
        <w:rPr>
          <w:rFonts w:ascii="Bookman Old Style" w:eastAsia="Times New Roman" w:hAnsi="Bookman Old Style" w:cs="Times New Roman"/>
          <w:b/>
          <w:noProof/>
          <w:sz w:val="24"/>
          <w:szCs w:val="24"/>
          <w:u w:color="000000"/>
          <w:bdr w:val="nil"/>
          <w:shd w:val="clear" w:color="auto" w:fill="EAF1DD" w:themeFill="accent3" w:themeFillTint="33"/>
          <w:lang w:eastAsia="fr-FR"/>
        </w:rPr>
        <w:t xml:space="preserve"> </w:t>
      </w:r>
    </w:p>
    <w:p w:rsidR="008477FB" w:rsidRPr="00CA196C" w:rsidRDefault="008477FB" w:rsidP="00C50049">
      <w:pPr>
        <w:spacing w:before="160" w:after="120" w:line="240" w:lineRule="auto"/>
        <w:jc w:val="both"/>
        <w:rPr>
          <w:rFonts w:ascii="Bookman Old Style" w:eastAsia="Calibri" w:hAnsi="Bookman Old Style" w:cs="Times New Roman"/>
          <w:sz w:val="24"/>
          <w:szCs w:val="24"/>
          <w:u w:color="000000"/>
          <w:bdr w:val="nil"/>
        </w:rPr>
      </w:pPr>
    </w:p>
    <w:p w:rsidR="00F04650" w:rsidRPr="00CA196C" w:rsidRDefault="00DE3A23" w:rsidP="00CD26FF">
      <w:pPr>
        <w:pStyle w:val="Paragraphedeliste"/>
        <w:numPr>
          <w:ilvl w:val="0"/>
          <w:numId w:val="5"/>
        </w:numPr>
        <w:spacing w:before="160" w:after="120" w:line="240" w:lineRule="auto"/>
        <w:jc w:val="both"/>
        <w:rPr>
          <w:rFonts w:ascii="Bookman Old Style" w:eastAsia="Calibri" w:hAnsi="Bookman Old Style" w:cs="Times New Roman"/>
          <w:sz w:val="24"/>
          <w:szCs w:val="24"/>
          <w:u w:color="000000"/>
          <w:bdr w:val="nil"/>
        </w:rPr>
      </w:pPr>
      <w:r w:rsidRPr="00CA196C">
        <w:rPr>
          <w:rFonts w:ascii="Bookman Old Style" w:eastAsia="Times New Roman" w:hAnsi="Bookman Old Style" w:cs="Times New Roman"/>
          <w:sz w:val="24"/>
          <w:szCs w:val="24"/>
          <w:u w:color="000000"/>
          <w:bdr w:val="nil"/>
        </w:rPr>
        <w:t xml:space="preserve">A partir de ces trois enjeux, le </w:t>
      </w:r>
      <w:r w:rsidR="000920EC" w:rsidRPr="00CA196C">
        <w:rPr>
          <w:rFonts w:ascii="Bookman Old Style" w:eastAsia="Times New Roman" w:hAnsi="Bookman Old Style" w:cs="Times New Roman"/>
          <w:sz w:val="24"/>
          <w:szCs w:val="24"/>
          <w:u w:color="000000"/>
          <w:bdr w:val="nil"/>
        </w:rPr>
        <w:t>PND BURUNDI 2018-2027</w:t>
      </w:r>
      <w:r w:rsidRPr="00CA196C">
        <w:rPr>
          <w:rFonts w:ascii="Bookman Old Style" w:eastAsia="Times New Roman" w:hAnsi="Bookman Old Style" w:cs="Times New Roman"/>
          <w:sz w:val="24"/>
          <w:szCs w:val="24"/>
          <w:u w:color="000000"/>
          <w:bdr w:val="nil"/>
        </w:rPr>
        <w:t xml:space="preserve"> décrit cinq orientations:</w:t>
      </w:r>
      <w:r w:rsidR="00834011" w:rsidRPr="00CA196C">
        <w:rPr>
          <w:rFonts w:ascii="Bookman Old Style" w:eastAsia="Times New Roman" w:hAnsi="Bookman Old Style" w:cs="Times New Roman"/>
          <w:sz w:val="24"/>
          <w:szCs w:val="24"/>
          <w:u w:color="000000"/>
          <w:bdr w:val="nil"/>
        </w:rPr>
        <w:t xml:space="preserve"> </w:t>
      </w:r>
      <w:r w:rsidR="00336E04" w:rsidRPr="00336E04">
        <w:rPr>
          <w:rFonts w:ascii="Bookman Old Style" w:eastAsia="Times New Roman" w:hAnsi="Bookman Old Style" w:cs="Times New Roman"/>
          <w:sz w:val="24"/>
          <w:szCs w:val="24"/>
          <w:u w:color="000000"/>
          <w:bdr w:val="nil"/>
        </w:rPr>
        <w:t>(</w:t>
      </w:r>
      <w:r w:rsidRPr="00336E04">
        <w:rPr>
          <w:rFonts w:ascii="Bookman Old Style" w:eastAsia="Times New Roman" w:hAnsi="Bookman Old Style" w:cs="Times New Roman"/>
          <w:sz w:val="24"/>
          <w:szCs w:val="24"/>
          <w:u w:color="000000"/>
          <w:bdr w:val="nil"/>
        </w:rPr>
        <w:t xml:space="preserve">i) </w:t>
      </w:r>
      <w:r w:rsidRPr="00336E04">
        <w:rPr>
          <w:rFonts w:ascii="Bookman Old Style" w:eastAsia="Times New Roman" w:hAnsi="Bookman Old Style" w:cs="Times New Roman"/>
          <w:sz w:val="24"/>
          <w:szCs w:val="24"/>
        </w:rPr>
        <w:t>Dynamiser les secteurs porteurs de croissance</w:t>
      </w:r>
      <w:r w:rsidR="00834011" w:rsidRPr="00336E04">
        <w:rPr>
          <w:rFonts w:ascii="Bookman Old Style" w:eastAsia="Times New Roman" w:hAnsi="Bookman Old Style" w:cs="Times New Roman"/>
          <w:sz w:val="24"/>
          <w:szCs w:val="24"/>
        </w:rPr>
        <w:t> </w:t>
      </w:r>
      <w:r w:rsidR="00834011" w:rsidRPr="00336E04">
        <w:rPr>
          <w:rFonts w:ascii="Bookman Old Style" w:eastAsia="Times New Roman" w:hAnsi="Bookman Old Style" w:cs="Times New Roman"/>
          <w:sz w:val="24"/>
          <w:szCs w:val="24"/>
          <w:u w:color="000000"/>
          <w:bdr w:val="nil"/>
        </w:rPr>
        <w:t>;</w:t>
      </w:r>
      <w:r w:rsidRPr="00336E04">
        <w:rPr>
          <w:rFonts w:ascii="Bookman Old Style" w:eastAsia="Times New Roman" w:hAnsi="Bookman Old Style" w:cs="Times New Roman"/>
          <w:sz w:val="24"/>
          <w:szCs w:val="24"/>
          <w:u w:color="000000"/>
          <w:bdr w:val="nil"/>
        </w:rPr>
        <w:t xml:space="preserve"> (ii)</w:t>
      </w:r>
      <w:r w:rsidRPr="00CA196C">
        <w:rPr>
          <w:rFonts w:ascii="Bookman Old Style" w:eastAsia="Times New Roman" w:hAnsi="Bookman Old Style" w:cs="Times New Roman"/>
          <w:sz w:val="24"/>
          <w:szCs w:val="24"/>
          <w:u w:color="000000"/>
          <w:bdr w:val="nil"/>
        </w:rPr>
        <w:t xml:space="preserve"> </w:t>
      </w:r>
      <w:r w:rsidRPr="00CA196C">
        <w:rPr>
          <w:rFonts w:ascii="Bookman Old Style" w:eastAsia="Times New Roman" w:hAnsi="Bookman Old Style" w:cs="Times New Roman"/>
          <w:sz w:val="24"/>
          <w:szCs w:val="24"/>
        </w:rPr>
        <w:t>Développer le capital humain</w:t>
      </w:r>
      <w:r w:rsidR="00834011" w:rsidRPr="00CA196C">
        <w:rPr>
          <w:rFonts w:ascii="Bookman Old Style" w:eastAsia="Times New Roman" w:hAnsi="Bookman Old Style" w:cs="Times New Roman"/>
          <w:sz w:val="24"/>
          <w:szCs w:val="24"/>
        </w:rPr>
        <w:t> </w:t>
      </w:r>
      <w:r w:rsidR="00834011" w:rsidRPr="00CA196C">
        <w:rPr>
          <w:rFonts w:ascii="Bookman Old Style" w:eastAsia="Times New Roman" w:hAnsi="Bookman Old Style" w:cs="Times New Roman"/>
          <w:sz w:val="24"/>
          <w:szCs w:val="24"/>
          <w:u w:color="000000"/>
          <w:bdr w:val="nil"/>
        </w:rPr>
        <w:t>;</w:t>
      </w:r>
      <w:r w:rsidR="00336E04">
        <w:rPr>
          <w:rFonts w:ascii="Bookman Old Style" w:eastAsia="Times New Roman" w:hAnsi="Bookman Old Style" w:cs="Times New Roman"/>
          <w:sz w:val="24"/>
          <w:szCs w:val="24"/>
          <w:u w:color="000000"/>
          <w:bdr w:val="nil"/>
        </w:rPr>
        <w:t xml:space="preserve"> (iii</w:t>
      </w:r>
      <w:r w:rsidRPr="00CA196C">
        <w:rPr>
          <w:rFonts w:ascii="Bookman Old Style" w:eastAsia="Times New Roman" w:hAnsi="Bookman Old Style" w:cs="Times New Roman"/>
          <w:sz w:val="24"/>
          <w:szCs w:val="24"/>
          <w:u w:color="000000"/>
          <w:bdr w:val="nil"/>
        </w:rPr>
        <w:t xml:space="preserve">) </w:t>
      </w:r>
      <w:r w:rsidRPr="00CA196C">
        <w:rPr>
          <w:rFonts w:ascii="Bookman Old Style" w:eastAsia="Times New Roman" w:hAnsi="Bookman Old Style" w:cs="Times New Roman"/>
          <w:sz w:val="24"/>
          <w:szCs w:val="24"/>
        </w:rPr>
        <w:t>Protéger l’environnement, s’adapter aux changements climatiques et améliorer  l’aménagement du territoire</w:t>
      </w:r>
      <w:r w:rsidRPr="00CA196C">
        <w:rPr>
          <w:rFonts w:ascii="Bookman Old Style" w:eastAsia="Times New Roman" w:hAnsi="Bookman Old Style" w:cs="Times New Roman"/>
          <w:sz w:val="24"/>
          <w:szCs w:val="24"/>
          <w:u w:color="000000"/>
          <w:bdr w:val="nil"/>
        </w:rPr>
        <w:t xml:space="preserve"> et </w:t>
      </w:r>
      <w:r w:rsidR="00336E04" w:rsidRPr="00336E04">
        <w:rPr>
          <w:rFonts w:ascii="Bookman Old Style" w:eastAsia="Times New Roman" w:hAnsi="Bookman Old Style" w:cs="Times New Roman"/>
          <w:sz w:val="24"/>
          <w:szCs w:val="24"/>
          <w:u w:color="000000"/>
          <w:bdr w:val="nil"/>
        </w:rPr>
        <w:t>(i</w:t>
      </w:r>
      <w:r w:rsidR="00A065D8">
        <w:rPr>
          <w:rFonts w:ascii="Bookman Old Style" w:eastAsia="Times New Roman" w:hAnsi="Bookman Old Style" w:cs="Times New Roman"/>
          <w:sz w:val="24"/>
          <w:szCs w:val="24"/>
          <w:u w:color="000000"/>
          <w:bdr w:val="nil"/>
        </w:rPr>
        <w:t>v</w:t>
      </w:r>
      <w:r w:rsidR="00336E04" w:rsidRPr="00336E04">
        <w:rPr>
          <w:rFonts w:ascii="Bookman Old Style" w:eastAsia="Times New Roman" w:hAnsi="Bookman Old Style" w:cs="Times New Roman"/>
          <w:sz w:val="24"/>
          <w:szCs w:val="24"/>
          <w:u w:color="000000"/>
          <w:bdr w:val="nil"/>
        </w:rPr>
        <w:t xml:space="preserve">) Renforcer  la </w:t>
      </w:r>
      <w:r w:rsidR="00336E04">
        <w:rPr>
          <w:rFonts w:ascii="Bookman Old Style" w:eastAsia="Times New Roman" w:hAnsi="Bookman Old Style" w:cs="Times New Roman"/>
          <w:sz w:val="24"/>
          <w:szCs w:val="24"/>
          <w:u w:color="000000"/>
          <w:bdr w:val="nil"/>
        </w:rPr>
        <w:t>démocratie, la gouvernance,</w:t>
      </w:r>
      <w:r w:rsidR="00336E04" w:rsidRPr="00336E04">
        <w:rPr>
          <w:rFonts w:ascii="Bookman Old Style" w:eastAsia="Times New Roman" w:hAnsi="Bookman Old Style" w:cs="Times New Roman"/>
          <w:sz w:val="24"/>
          <w:szCs w:val="24"/>
          <w:u w:color="000000"/>
          <w:bdr w:val="nil"/>
        </w:rPr>
        <w:t xml:space="preserve"> l’Etat de droit et la sauvegarde de la souveraineté nationale ; </w:t>
      </w:r>
      <w:r w:rsidRPr="00CA196C">
        <w:rPr>
          <w:rFonts w:ascii="Bookman Old Style" w:eastAsia="Times New Roman" w:hAnsi="Bookman Old Style" w:cs="Times New Roman"/>
          <w:sz w:val="24"/>
          <w:szCs w:val="24"/>
          <w:u w:color="000000"/>
          <w:bdr w:val="nil"/>
        </w:rPr>
        <w:t xml:space="preserve">(v) </w:t>
      </w:r>
      <w:r w:rsidRPr="00CA196C">
        <w:rPr>
          <w:rFonts w:ascii="Bookman Old Style" w:eastAsia="Times New Roman" w:hAnsi="Bookman Old Style" w:cs="Times New Roman"/>
          <w:sz w:val="24"/>
          <w:szCs w:val="24"/>
        </w:rPr>
        <w:t xml:space="preserve">Renforcer les </w:t>
      </w:r>
      <w:r w:rsidRPr="00CA196C">
        <w:rPr>
          <w:rFonts w:ascii="Bookman Old Style" w:hAnsi="Bookman Old Style" w:cs="Times New Roman"/>
          <w:sz w:val="24"/>
          <w:szCs w:val="24"/>
        </w:rPr>
        <w:t xml:space="preserve">mécanismes de </w:t>
      </w:r>
      <w:r w:rsidRPr="00CA196C">
        <w:rPr>
          <w:rFonts w:ascii="Bookman Old Style" w:eastAsia="Times New Roman" w:hAnsi="Bookman Old Style" w:cs="Times New Roman"/>
          <w:sz w:val="24"/>
          <w:szCs w:val="24"/>
        </w:rPr>
        <w:t>mobilisation des ressources e</w:t>
      </w:r>
      <w:r w:rsidR="00CE5851">
        <w:rPr>
          <w:rFonts w:ascii="Bookman Old Style" w:eastAsia="Times New Roman" w:hAnsi="Bookman Old Style" w:cs="Times New Roman"/>
          <w:sz w:val="24"/>
          <w:szCs w:val="24"/>
        </w:rPr>
        <w:t>t d</w:t>
      </w:r>
      <w:r w:rsidR="00EF4745" w:rsidRPr="00CA196C">
        <w:rPr>
          <w:rFonts w:ascii="Bookman Old Style" w:eastAsia="Times New Roman" w:hAnsi="Bookman Old Style" w:cs="Times New Roman"/>
          <w:sz w:val="24"/>
          <w:szCs w:val="24"/>
        </w:rPr>
        <w:t xml:space="preserve">évelopper la  coopération et </w:t>
      </w:r>
      <w:r w:rsidRPr="00CA196C">
        <w:rPr>
          <w:rFonts w:ascii="Bookman Old Style" w:eastAsia="Times New Roman" w:hAnsi="Bookman Old Style" w:cs="Times New Roman"/>
          <w:sz w:val="24"/>
          <w:szCs w:val="24"/>
        </w:rPr>
        <w:t>le partenariat.</w:t>
      </w:r>
      <w:r w:rsidR="005E69C6" w:rsidRPr="00CA196C">
        <w:rPr>
          <w:rFonts w:ascii="Bookman Old Style" w:eastAsia="Times New Roman" w:hAnsi="Bookman Old Style" w:cs="Times New Roman"/>
          <w:sz w:val="24"/>
          <w:szCs w:val="24"/>
        </w:rPr>
        <w:t xml:space="preserve"> </w:t>
      </w:r>
    </w:p>
    <w:p w:rsidR="00F04650" w:rsidRPr="00CA196C" w:rsidRDefault="00F04650" w:rsidP="00F04650">
      <w:pPr>
        <w:pStyle w:val="Paragraphedeliste"/>
        <w:spacing w:before="160" w:after="120" w:line="240" w:lineRule="auto"/>
        <w:ind w:left="360"/>
        <w:jc w:val="both"/>
        <w:rPr>
          <w:rFonts w:ascii="Bookman Old Style" w:eastAsia="Calibri" w:hAnsi="Bookman Old Style" w:cs="Times New Roman"/>
          <w:sz w:val="24"/>
          <w:szCs w:val="24"/>
          <w:u w:color="000000"/>
          <w:bdr w:val="nil"/>
        </w:rPr>
      </w:pPr>
    </w:p>
    <w:p w:rsidR="003812AB" w:rsidRPr="00CA196C" w:rsidRDefault="00DE3A23" w:rsidP="00CD26FF">
      <w:pPr>
        <w:pStyle w:val="Paragraphedeliste"/>
        <w:numPr>
          <w:ilvl w:val="0"/>
          <w:numId w:val="5"/>
        </w:numPr>
        <w:spacing w:before="160" w:after="120" w:line="240" w:lineRule="auto"/>
        <w:jc w:val="both"/>
        <w:rPr>
          <w:rFonts w:ascii="Bookman Old Style" w:eastAsia="Calibri" w:hAnsi="Bookman Old Style" w:cs="Times New Roman"/>
          <w:sz w:val="24"/>
          <w:szCs w:val="24"/>
          <w:u w:color="000000"/>
          <w:bdr w:val="nil"/>
        </w:rPr>
      </w:pPr>
      <w:r w:rsidRPr="00CA196C">
        <w:rPr>
          <w:rFonts w:ascii="Bookman Old Style" w:eastAsia="Times New Roman" w:hAnsi="Bookman Old Style" w:cs="Times New Roman"/>
          <w:sz w:val="24"/>
          <w:szCs w:val="24"/>
        </w:rPr>
        <w:t xml:space="preserve">Chaque orientation  stratégique est composée d’axes d’intervention qui, à leur tour sont composés d’objectifs stratégiques. Au total, le </w:t>
      </w:r>
      <w:r w:rsidR="000920EC" w:rsidRPr="00CA196C">
        <w:rPr>
          <w:rFonts w:ascii="Bookman Old Style" w:eastAsia="Times New Roman" w:hAnsi="Bookman Old Style" w:cs="Times New Roman"/>
          <w:sz w:val="24"/>
          <w:szCs w:val="24"/>
          <w:u w:color="000000"/>
          <w:bdr w:val="nil"/>
        </w:rPr>
        <w:t>PND BURUNDI 2018-2027</w:t>
      </w:r>
      <w:r w:rsidRPr="00CA196C">
        <w:rPr>
          <w:rFonts w:ascii="Bookman Old Style" w:eastAsia="Times New Roman" w:hAnsi="Bookman Old Style" w:cs="Times New Roman"/>
          <w:sz w:val="24"/>
          <w:szCs w:val="24"/>
          <w:u w:color="000000"/>
          <w:bdr w:val="nil"/>
        </w:rPr>
        <w:t xml:space="preserve"> du Burundi </w:t>
      </w:r>
      <w:r w:rsidRPr="00CE5851">
        <w:rPr>
          <w:rFonts w:ascii="Bookman Old Style" w:eastAsia="Times New Roman" w:hAnsi="Bookman Old Style" w:cs="Times New Roman"/>
          <w:sz w:val="24"/>
          <w:szCs w:val="24"/>
          <w:u w:color="000000"/>
          <w:bdr w:val="nil"/>
        </w:rPr>
        <w:t xml:space="preserve">comprend </w:t>
      </w:r>
      <w:r w:rsidR="003D2623" w:rsidRPr="00CE5851">
        <w:rPr>
          <w:rFonts w:ascii="Bookman Old Style" w:eastAsia="Times New Roman" w:hAnsi="Bookman Old Style" w:cs="Times New Roman"/>
          <w:sz w:val="24"/>
          <w:szCs w:val="24"/>
          <w:u w:color="000000"/>
          <w:bdr w:val="nil"/>
        </w:rPr>
        <w:t>16</w:t>
      </w:r>
      <w:r w:rsidRPr="00CE5851">
        <w:rPr>
          <w:rFonts w:ascii="Bookman Old Style" w:eastAsia="Times New Roman" w:hAnsi="Bookman Old Style" w:cs="Times New Roman"/>
          <w:sz w:val="24"/>
          <w:szCs w:val="24"/>
          <w:u w:color="000000"/>
          <w:bdr w:val="nil"/>
        </w:rPr>
        <w:t xml:space="preserve"> axes d’intervention  composés de </w:t>
      </w:r>
      <w:r w:rsidR="00F04650" w:rsidRPr="00CE5851">
        <w:rPr>
          <w:rFonts w:ascii="Bookman Old Style" w:eastAsia="Times New Roman" w:hAnsi="Bookman Old Style" w:cs="Times New Roman"/>
          <w:sz w:val="24"/>
          <w:szCs w:val="24"/>
          <w:u w:color="000000"/>
          <w:bdr w:val="nil"/>
        </w:rPr>
        <w:t>5</w:t>
      </w:r>
      <w:r w:rsidR="003D2623" w:rsidRPr="00CE5851">
        <w:rPr>
          <w:rFonts w:ascii="Bookman Old Style" w:eastAsia="Times New Roman" w:hAnsi="Bookman Old Style" w:cs="Times New Roman"/>
          <w:sz w:val="24"/>
          <w:szCs w:val="24"/>
          <w:u w:color="000000"/>
          <w:bdr w:val="nil"/>
        </w:rPr>
        <w:t>1</w:t>
      </w:r>
      <w:r w:rsidRPr="00CE5851">
        <w:rPr>
          <w:rFonts w:ascii="Bookman Old Style" w:eastAsia="Times New Roman" w:hAnsi="Bookman Old Style" w:cs="Times New Roman"/>
          <w:sz w:val="24"/>
          <w:szCs w:val="24"/>
          <w:u w:color="000000"/>
          <w:bdr w:val="nil"/>
        </w:rPr>
        <w:t xml:space="preserve"> objectifs stratégiques (voir le tableau synoptique </w:t>
      </w:r>
      <w:r w:rsidR="00551A56" w:rsidRPr="00CE5851">
        <w:rPr>
          <w:rFonts w:ascii="Bookman Old Style" w:eastAsia="Times New Roman" w:hAnsi="Bookman Old Style" w:cs="Times New Roman"/>
          <w:sz w:val="24"/>
          <w:szCs w:val="24"/>
          <w:u w:color="000000"/>
          <w:bdr w:val="nil"/>
        </w:rPr>
        <w:t xml:space="preserve">: annexe   </w:t>
      </w:r>
      <w:r w:rsidRPr="00CE5851">
        <w:rPr>
          <w:rFonts w:ascii="Bookman Old Style" w:eastAsia="Times New Roman" w:hAnsi="Bookman Old Style" w:cs="Times New Roman"/>
          <w:sz w:val="24"/>
          <w:szCs w:val="24"/>
          <w:u w:color="000000"/>
          <w:bdr w:val="nil"/>
        </w:rPr>
        <w:t>x).</w:t>
      </w:r>
      <w:r w:rsidR="003812AB" w:rsidRPr="00CE5851">
        <w:rPr>
          <w:rFonts w:ascii="Bookman Old Style" w:eastAsia="Times New Roman" w:hAnsi="Bookman Old Style" w:cs="Times New Roman"/>
          <w:sz w:val="24"/>
          <w:szCs w:val="24"/>
          <w:u w:color="000000"/>
          <w:bdr w:val="nil"/>
        </w:rPr>
        <w:t xml:space="preserve"> Pendant la décennie 2018-2027, toutes l</w:t>
      </w:r>
      <w:r w:rsidRPr="00CE5851">
        <w:rPr>
          <w:rFonts w:ascii="Bookman Old Style" w:eastAsia="Times New Roman" w:hAnsi="Bookman Old Style" w:cs="Times New Roman"/>
          <w:sz w:val="24"/>
          <w:szCs w:val="24"/>
          <w:u w:color="000000"/>
          <w:bdr w:val="nil"/>
        </w:rPr>
        <w:t>es poli</w:t>
      </w:r>
      <w:r w:rsidR="003812AB" w:rsidRPr="00CE5851">
        <w:rPr>
          <w:rFonts w:ascii="Bookman Old Style" w:eastAsia="Times New Roman" w:hAnsi="Bookman Old Style" w:cs="Times New Roman"/>
          <w:sz w:val="24"/>
          <w:szCs w:val="24"/>
          <w:u w:color="000000"/>
          <w:bdr w:val="nil"/>
        </w:rPr>
        <w:t>tiques publiques et économiques</w:t>
      </w:r>
      <w:r w:rsidR="000C6552" w:rsidRPr="00CE5851">
        <w:rPr>
          <w:rFonts w:ascii="Bookman Old Style" w:eastAsia="Times New Roman" w:hAnsi="Bookman Old Style" w:cs="Times New Roman"/>
          <w:sz w:val="24"/>
          <w:szCs w:val="24"/>
          <w:u w:color="000000"/>
          <w:bdr w:val="nil"/>
        </w:rPr>
        <w:t xml:space="preserve"> du Burundi </w:t>
      </w:r>
      <w:r w:rsidRPr="00CE5851">
        <w:rPr>
          <w:rFonts w:ascii="Bookman Old Style" w:eastAsia="Times New Roman" w:hAnsi="Bookman Old Style" w:cs="Times New Roman"/>
          <w:sz w:val="24"/>
          <w:szCs w:val="24"/>
          <w:u w:color="000000"/>
          <w:bdr w:val="nil"/>
        </w:rPr>
        <w:t>s’inspireront d’un plan à 3Enjeux-5</w:t>
      </w:r>
      <w:r w:rsidR="001B459B" w:rsidRPr="00CE5851">
        <w:rPr>
          <w:rFonts w:ascii="Bookman Old Style" w:eastAsia="Times New Roman" w:hAnsi="Bookman Old Style" w:cs="Times New Roman"/>
          <w:sz w:val="24"/>
          <w:szCs w:val="24"/>
          <w:u w:color="000000"/>
          <w:bdr w:val="nil"/>
        </w:rPr>
        <w:t xml:space="preserve"> </w:t>
      </w:r>
      <w:r w:rsidRPr="00CE5851">
        <w:rPr>
          <w:rFonts w:ascii="Bookman Old Style" w:eastAsia="Times New Roman" w:hAnsi="Bookman Old Style" w:cs="Times New Roman"/>
          <w:sz w:val="24"/>
          <w:szCs w:val="24"/>
          <w:u w:color="000000"/>
          <w:bdr w:val="nil"/>
        </w:rPr>
        <w:t>Orientations-</w:t>
      </w:r>
      <w:r w:rsidR="003D2623" w:rsidRPr="00CE5851">
        <w:rPr>
          <w:rFonts w:ascii="Bookman Old Style" w:eastAsia="Times New Roman" w:hAnsi="Bookman Old Style" w:cs="Times New Roman"/>
          <w:sz w:val="24"/>
          <w:szCs w:val="24"/>
          <w:u w:color="000000"/>
          <w:bdr w:val="nil"/>
        </w:rPr>
        <w:t>16</w:t>
      </w:r>
      <w:r w:rsidR="001B459B" w:rsidRPr="00CE5851">
        <w:rPr>
          <w:rFonts w:ascii="Bookman Old Style" w:eastAsia="Times New Roman" w:hAnsi="Bookman Old Style" w:cs="Times New Roman"/>
          <w:sz w:val="24"/>
          <w:szCs w:val="24"/>
          <w:u w:color="000000"/>
          <w:bdr w:val="nil"/>
        </w:rPr>
        <w:t xml:space="preserve"> </w:t>
      </w:r>
      <w:r w:rsidRPr="00CE5851">
        <w:rPr>
          <w:rFonts w:ascii="Bookman Old Style" w:eastAsia="Times New Roman" w:hAnsi="Bookman Old Style" w:cs="Times New Roman"/>
          <w:sz w:val="24"/>
          <w:szCs w:val="24"/>
          <w:u w:color="000000"/>
          <w:bdr w:val="nil"/>
        </w:rPr>
        <w:t xml:space="preserve">axes et </w:t>
      </w:r>
      <w:r w:rsidR="003812AB" w:rsidRPr="00CE5851">
        <w:rPr>
          <w:rFonts w:ascii="Bookman Old Style" w:eastAsia="Times New Roman" w:hAnsi="Bookman Old Style" w:cs="Times New Roman"/>
          <w:sz w:val="24"/>
          <w:szCs w:val="24"/>
          <w:u w:color="000000"/>
          <w:bdr w:val="nil"/>
        </w:rPr>
        <w:t>5</w:t>
      </w:r>
      <w:r w:rsidR="003D2623" w:rsidRPr="00CE5851">
        <w:rPr>
          <w:rFonts w:ascii="Bookman Old Style" w:eastAsia="Times New Roman" w:hAnsi="Bookman Old Style" w:cs="Times New Roman"/>
          <w:sz w:val="24"/>
          <w:szCs w:val="24"/>
          <w:u w:color="000000"/>
          <w:bdr w:val="nil"/>
        </w:rPr>
        <w:t>1</w:t>
      </w:r>
      <w:r w:rsidR="003812AB" w:rsidRPr="00CE5851">
        <w:rPr>
          <w:rFonts w:ascii="Bookman Old Style" w:eastAsia="Times New Roman" w:hAnsi="Bookman Old Style" w:cs="Times New Roman"/>
          <w:sz w:val="24"/>
          <w:szCs w:val="24"/>
          <w:u w:color="000000"/>
          <w:bdr w:val="nil"/>
        </w:rPr>
        <w:t xml:space="preserve"> </w:t>
      </w:r>
      <w:r w:rsidRPr="00CE5851">
        <w:rPr>
          <w:rFonts w:ascii="Bookman Old Style" w:eastAsia="Times New Roman" w:hAnsi="Bookman Old Style" w:cs="Times New Roman"/>
          <w:sz w:val="24"/>
          <w:szCs w:val="24"/>
          <w:u w:color="000000"/>
          <w:bdr w:val="nil"/>
        </w:rPr>
        <w:t xml:space="preserve">Objectifs: </w:t>
      </w:r>
      <w:r w:rsidR="003812AB" w:rsidRPr="00CE5851">
        <w:rPr>
          <w:rFonts w:ascii="Bookman Old Style" w:eastAsia="Times New Roman" w:hAnsi="Bookman Old Style" w:cs="Times New Roman"/>
          <w:b/>
          <w:i/>
          <w:sz w:val="24"/>
          <w:szCs w:val="24"/>
          <w:u w:color="000000"/>
          <w:bdr w:val="nil"/>
        </w:rPr>
        <w:t>« le PND-3E-</w:t>
      </w:r>
      <w:r w:rsidRPr="00CE5851">
        <w:rPr>
          <w:rFonts w:ascii="Bookman Old Style" w:eastAsia="Times New Roman" w:hAnsi="Bookman Old Style" w:cs="Times New Roman"/>
          <w:b/>
          <w:i/>
          <w:sz w:val="24"/>
          <w:szCs w:val="24"/>
          <w:u w:color="000000"/>
          <w:bdr w:val="nil"/>
        </w:rPr>
        <w:t>5</w:t>
      </w:r>
      <w:r w:rsidR="003812AB" w:rsidRPr="00CE5851">
        <w:rPr>
          <w:rFonts w:ascii="Bookman Old Style" w:eastAsia="Times New Roman" w:hAnsi="Bookman Old Style" w:cs="Times New Roman"/>
          <w:b/>
          <w:i/>
          <w:sz w:val="24"/>
          <w:szCs w:val="24"/>
          <w:u w:color="000000"/>
          <w:bdr w:val="nil"/>
        </w:rPr>
        <w:t>O</w:t>
      </w:r>
      <w:r w:rsidR="00362761" w:rsidRPr="00CE5851">
        <w:rPr>
          <w:rFonts w:ascii="Bookman Old Style" w:eastAsia="Times New Roman" w:hAnsi="Bookman Old Style" w:cs="Times New Roman"/>
          <w:b/>
          <w:i/>
          <w:sz w:val="24"/>
          <w:szCs w:val="24"/>
          <w:u w:color="000000"/>
          <w:bdr w:val="nil"/>
        </w:rPr>
        <w:t>R</w:t>
      </w:r>
      <w:r w:rsidR="003812AB" w:rsidRPr="00CE5851">
        <w:rPr>
          <w:rFonts w:ascii="Bookman Old Style" w:eastAsia="Times New Roman" w:hAnsi="Bookman Old Style" w:cs="Times New Roman"/>
          <w:b/>
          <w:i/>
          <w:sz w:val="24"/>
          <w:szCs w:val="24"/>
          <w:u w:color="000000"/>
          <w:bdr w:val="nil"/>
        </w:rPr>
        <w:t>-</w:t>
      </w:r>
      <w:r w:rsidR="003D2623" w:rsidRPr="00CE5851">
        <w:rPr>
          <w:rFonts w:ascii="Bookman Old Style" w:eastAsia="Times New Roman" w:hAnsi="Bookman Old Style" w:cs="Times New Roman"/>
          <w:b/>
          <w:i/>
          <w:sz w:val="24"/>
          <w:szCs w:val="24"/>
          <w:u w:color="000000"/>
          <w:bdr w:val="nil"/>
        </w:rPr>
        <w:t>16</w:t>
      </w:r>
      <w:r w:rsidRPr="00CE5851">
        <w:rPr>
          <w:rFonts w:ascii="Bookman Old Style" w:eastAsia="Times New Roman" w:hAnsi="Bookman Old Style" w:cs="Times New Roman"/>
          <w:b/>
          <w:i/>
          <w:sz w:val="24"/>
          <w:szCs w:val="24"/>
          <w:u w:color="000000"/>
          <w:bdr w:val="nil"/>
        </w:rPr>
        <w:t>A-</w:t>
      </w:r>
      <w:r w:rsidR="00957E9C" w:rsidRPr="00CE5851">
        <w:rPr>
          <w:rFonts w:ascii="Bookman Old Style" w:eastAsia="Times New Roman" w:hAnsi="Bookman Old Style" w:cs="Times New Roman"/>
          <w:b/>
          <w:i/>
          <w:sz w:val="24"/>
          <w:szCs w:val="24"/>
          <w:u w:color="000000"/>
          <w:bdr w:val="nil"/>
        </w:rPr>
        <w:t>5</w:t>
      </w:r>
      <w:r w:rsidR="003D2623" w:rsidRPr="00CE5851">
        <w:rPr>
          <w:rFonts w:ascii="Bookman Old Style" w:eastAsia="Times New Roman" w:hAnsi="Bookman Old Style" w:cs="Times New Roman"/>
          <w:b/>
          <w:i/>
          <w:sz w:val="24"/>
          <w:szCs w:val="24"/>
          <w:u w:color="000000"/>
          <w:bdr w:val="nil"/>
        </w:rPr>
        <w:t>1</w:t>
      </w:r>
      <w:r w:rsidRPr="00CE5851">
        <w:rPr>
          <w:rFonts w:ascii="Bookman Old Style" w:eastAsia="Times New Roman" w:hAnsi="Bookman Old Style" w:cs="Times New Roman"/>
          <w:b/>
          <w:i/>
          <w:sz w:val="24"/>
          <w:szCs w:val="24"/>
          <w:u w:color="000000"/>
          <w:bdr w:val="nil"/>
        </w:rPr>
        <w:t>O</w:t>
      </w:r>
      <w:r w:rsidR="00362761" w:rsidRPr="00CE5851">
        <w:rPr>
          <w:rFonts w:ascii="Bookman Old Style" w:eastAsia="Times New Roman" w:hAnsi="Bookman Old Style" w:cs="Times New Roman"/>
          <w:b/>
          <w:i/>
          <w:sz w:val="24"/>
          <w:szCs w:val="24"/>
          <w:u w:color="000000"/>
          <w:bdr w:val="nil"/>
        </w:rPr>
        <w:t>B</w:t>
      </w:r>
      <w:r w:rsidRPr="00CE5851">
        <w:rPr>
          <w:rFonts w:ascii="Bookman Old Style" w:eastAsia="Times New Roman" w:hAnsi="Bookman Old Style" w:cs="Times New Roman"/>
          <w:b/>
          <w:i/>
          <w:sz w:val="24"/>
          <w:szCs w:val="24"/>
          <w:u w:color="000000"/>
          <w:bdr w:val="nil"/>
        </w:rPr>
        <w:t>».</w:t>
      </w:r>
      <w:r w:rsidR="00551A56" w:rsidRPr="00CE5851">
        <w:rPr>
          <w:rFonts w:ascii="Bookman Old Style" w:eastAsia="Times New Roman" w:hAnsi="Bookman Old Style" w:cs="Times New Roman"/>
          <w:b/>
          <w:i/>
          <w:sz w:val="24"/>
          <w:szCs w:val="24"/>
          <w:u w:color="000000"/>
          <w:bdr w:val="nil"/>
        </w:rPr>
        <w:t xml:space="preserve"> </w:t>
      </w:r>
      <w:r w:rsidR="00551A56" w:rsidRPr="00CE5851">
        <w:rPr>
          <w:rFonts w:ascii="Bookman Old Style" w:eastAsia="Times New Roman" w:hAnsi="Bookman Old Style" w:cs="Times New Roman"/>
          <w:sz w:val="24"/>
          <w:szCs w:val="24"/>
          <w:u w:color="000000"/>
          <w:bdr w:val="nil"/>
        </w:rPr>
        <w:t>Au</w:t>
      </w:r>
      <w:r w:rsidR="00551A56" w:rsidRPr="00CA196C">
        <w:rPr>
          <w:rFonts w:ascii="Bookman Old Style" w:eastAsia="Times New Roman" w:hAnsi="Bookman Old Style" w:cs="Times New Roman"/>
          <w:sz w:val="24"/>
          <w:szCs w:val="24"/>
          <w:u w:color="000000"/>
          <w:bdr w:val="nil"/>
        </w:rPr>
        <w:t xml:space="preserve"> niveau opérationnel, le </w:t>
      </w:r>
      <w:r w:rsidR="000920EC" w:rsidRPr="00CA196C">
        <w:rPr>
          <w:rFonts w:ascii="Bookman Old Style" w:eastAsia="Times New Roman" w:hAnsi="Bookman Old Style" w:cs="Times New Roman"/>
          <w:sz w:val="24"/>
          <w:szCs w:val="24"/>
          <w:u w:color="000000"/>
          <w:bdr w:val="nil"/>
        </w:rPr>
        <w:t>PND BURUNDI 2018-2027</w:t>
      </w:r>
      <w:r w:rsidR="00551A56" w:rsidRPr="00CA196C">
        <w:rPr>
          <w:rFonts w:ascii="Bookman Old Style" w:eastAsia="Times New Roman" w:hAnsi="Bookman Old Style" w:cs="Times New Roman"/>
          <w:sz w:val="24"/>
          <w:szCs w:val="24"/>
          <w:u w:color="000000"/>
          <w:bdr w:val="nil"/>
        </w:rPr>
        <w:t xml:space="preserve"> sera réalisé sur base d’un P</w:t>
      </w:r>
      <w:r w:rsidR="00D759F5">
        <w:rPr>
          <w:rFonts w:ascii="Bookman Old Style" w:eastAsia="Times New Roman" w:hAnsi="Bookman Old Style" w:cs="Times New Roman"/>
          <w:sz w:val="24"/>
          <w:szCs w:val="24"/>
          <w:u w:color="000000"/>
          <w:bdr w:val="nil"/>
        </w:rPr>
        <w:t>rogramme d’</w:t>
      </w:r>
      <w:r w:rsidR="00551A56" w:rsidRPr="00CA196C">
        <w:rPr>
          <w:rFonts w:ascii="Bookman Old Style" w:eastAsia="Times New Roman" w:hAnsi="Bookman Old Style" w:cs="Times New Roman"/>
          <w:sz w:val="24"/>
          <w:szCs w:val="24"/>
          <w:u w:color="000000"/>
          <w:bdr w:val="nil"/>
        </w:rPr>
        <w:t>A</w:t>
      </w:r>
      <w:r w:rsidR="00D759F5">
        <w:rPr>
          <w:rFonts w:ascii="Bookman Old Style" w:eastAsia="Times New Roman" w:hAnsi="Bookman Old Style" w:cs="Times New Roman"/>
          <w:sz w:val="24"/>
          <w:szCs w:val="24"/>
          <w:u w:color="000000"/>
          <w:bdr w:val="nil"/>
        </w:rPr>
        <w:t xml:space="preserve">ctions </w:t>
      </w:r>
      <w:r w:rsidR="00551A56" w:rsidRPr="00CA196C">
        <w:rPr>
          <w:rFonts w:ascii="Bookman Old Style" w:eastAsia="Times New Roman" w:hAnsi="Bookman Old Style" w:cs="Times New Roman"/>
          <w:sz w:val="24"/>
          <w:szCs w:val="24"/>
          <w:u w:color="000000"/>
          <w:bdr w:val="nil"/>
        </w:rPr>
        <w:t>P</w:t>
      </w:r>
      <w:r w:rsidR="00D759F5">
        <w:rPr>
          <w:rFonts w:ascii="Bookman Old Style" w:eastAsia="Times New Roman" w:hAnsi="Bookman Old Style" w:cs="Times New Roman"/>
          <w:sz w:val="24"/>
          <w:szCs w:val="24"/>
          <w:u w:color="000000"/>
          <w:bdr w:val="nil"/>
        </w:rPr>
        <w:t>rioritaires (PAP)</w:t>
      </w:r>
      <w:r w:rsidR="00551A56" w:rsidRPr="00CA196C">
        <w:rPr>
          <w:rFonts w:ascii="Bookman Old Style" w:eastAsia="Times New Roman" w:hAnsi="Bookman Old Style" w:cs="Times New Roman"/>
          <w:sz w:val="24"/>
          <w:szCs w:val="24"/>
          <w:u w:color="000000"/>
          <w:bdr w:val="nil"/>
        </w:rPr>
        <w:t xml:space="preserve"> qui décline les programmes et les projets à mettre en œuvre selon les ministères sectoriels et autres institutions concernées.</w:t>
      </w:r>
    </w:p>
    <w:p w:rsidR="00DE3A23" w:rsidRPr="00CA196C" w:rsidRDefault="00DE3A23" w:rsidP="00551A56">
      <w:pPr>
        <w:spacing w:before="160" w:after="120" w:line="240" w:lineRule="auto"/>
        <w:contextualSpacing/>
        <w:jc w:val="both"/>
        <w:rPr>
          <w:rFonts w:ascii="Bookman Old Style" w:eastAsia="Calibri" w:hAnsi="Bookman Old Style" w:cs="Times New Roman"/>
          <w:sz w:val="24"/>
          <w:szCs w:val="24"/>
          <w:u w:color="000000"/>
          <w:bdr w:val="nil"/>
        </w:rPr>
      </w:pPr>
    </w:p>
    <w:p w:rsidR="00D76FCA" w:rsidRPr="00CA196C" w:rsidRDefault="00D76FCA">
      <w:pPr>
        <w:rPr>
          <w:rFonts w:ascii="Bookman Old Style" w:eastAsia="Times New Roman" w:hAnsi="Bookman Old Style" w:cs="Times New Roman"/>
          <w:b/>
          <w:color w:val="C0504D" w:themeColor="accent2"/>
          <w:sz w:val="28"/>
          <w:szCs w:val="24"/>
          <w:u w:color="000000"/>
          <w:bdr w:val="nil"/>
        </w:rPr>
      </w:pPr>
      <w:r w:rsidRPr="00CA196C">
        <w:rPr>
          <w:rFonts w:ascii="Bookman Old Style" w:hAnsi="Bookman Old Style"/>
        </w:rPr>
        <w:br w:type="page"/>
      </w:r>
    </w:p>
    <w:p w:rsidR="001C7C05" w:rsidRPr="00CA196C" w:rsidRDefault="001C7C05" w:rsidP="00ED27D9">
      <w:pPr>
        <w:pStyle w:val="Titre2"/>
      </w:pPr>
      <w:bookmarkStart w:id="165" w:name="_Toc511080890"/>
      <w:bookmarkStart w:id="166" w:name="_Toc511081566"/>
      <w:r>
        <w:lastRenderedPageBreak/>
        <w:t>4.2</w:t>
      </w:r>
      <w:r w:rsidRPr="00CA196C">
        <w:t xml:space="preserve">. </w:t>
      </w:r>
      <w:r w:rsidR="005A7B9D">
        <w:t>Enjeu 1</w:t>
      </w:r>
      <w:r w:rsidRPr="00CA196C">
        <w:t> : Une croissance soutenue et inclusive pour une résilience économique et un développement durable</w:t>
      </w:r>
      <w:bookmarkEnd w:id="165"/>
      <w:bookmarkEnd w:id="166"/>
    </w:p>
    <w:p w:rsidR="001C7C05" w:rsidRPr="00CA196C" w:rsidRDefault="001C7C05" w:rsidP="001C7C05">
      <w:pPr>
        <w:spacing w:after="0" w:line="240" w:lineRule="auto"/>
        <w:ind w:left="720"/>
        <w:contextualSpacing/>
        <w:jc w:val="both"/>
        <w:outlineLvl w:val="1"/>
        <w:rPr>
          <w:rFonts w:ascii="Bookman Old Style" w:eastAsia="Times New Roman" w:hAnsi="Bookman Old Style" w:cs="Times New Roman"/>
          <w:b/>
          <w:bCs/>
          <w:sz w:val="24"/>
          <w:szCs w:val="24"/>
          <w:u w:color="000000"/>
          <w:bdr w:val="nil"/>
        </w:rPr>
      </w:pPr>
    </w:p>
    <w:p w:rsidR="001C7C05" w:rsidRPr="00CA196C" w:rsidRDefault="001C7C05" w:rsidP="001C7C05">
      <w:pPr>
        <w:pStyle w:val="Paragraphedeliste"/>
        <w:numPr>
          <w:ilvl w:val="0"/>
          <w:numId w:val="5"/>
        </w:numPr>
        <w:autoSpaceDE w:val="0"/>
        <w:autoSpaceDN w:val="0"/>
        <w:adjustRightInd w:val="0"/>
        <w:spacing w:after="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Cet enjeu  concerne les réformes structurelles, sectorielles et institutionnelles  que le Gouvernement va engager sur la décennie 2018-2027 en vue de mettre en place des bases pour une croissance forte, soutenue et inclusive, nécessaire à un développement durable et au bien-être de la population dans toutes ses composantes. Ainsi, les actions du Gouvernement seront orientées vers la capitalisation des opportunités économiques et sociales du Burundi pour l’amélioration des conditions de la population. Face à cet enjeu,  les politiques publiques du PND BURUNDI 2018-2027 se focaliseront sur trois orientations stratégiques : (i) dynamiser les secteurs porteur de croissance ; (ii) </w:t>
      </w:r>
      <w:r w:rsidR="008F4156">
        <w:rPr>
          <w:rFonts w:ascii="Bookman Old Style" w:hAnsi="Bookman Old Style" w:cs="Times New Roman"/>
          <w:sz w:val="24"/>
          <w:szCs w:val="24"/>
        </w:rPr>
        <w:t>d</w:t>
      </w:r>
      <w:r w:rsidRPr="00CA196C">
        <w:rPr>
          <w:rFonts w:ascii="Bookman Old Style" w:hAnsi="Bookman Old Style" w:cs="Times New Roman"/>
          <w:sz w:val="24"/>
          <w:szCs w:val="24"/>
        </w:rPr>
        <w:t xml:space="preserve">évelopper le capital humain et (iii) </w:t>
      </w:r>
      <w:r w:rsidR="008F4156">
        <w:rPr>
          <w:rFonts w:ascii="Bookman Old Style" w:eastAsia="Times New Roman" w:hAnsi="Bookman Old Style" w:cs="Times New Roman"/>
          <w:sz w:val="24"/>
          <w:szCs w:val="24"/>
        </w:rPr>
        <w:t>p</w:t>
      </w:r>
      <w:r w:rsidRPr="00CA196C">
        <w:rPr>
          <w:rFonts w:ascii="Bookman Old Style" w:eastAsia="Times New Roman" w:hAnsi="Bookman Old Style" w:cs="Times New Roman"/>
          <w:sz w:val="24"/>
          <w:szCs w:val="24"/>
        </w:rPr>
        <w:t>rotéger l’environnement, s’adapter aux changements climatiques et améliorer  l’aménagement du territoire</w:t>
      </w:r>
      <w:r w:rsidRPr="00CA196C">
        <w:rPr>
          <w:rFonts w:ascii="Bookman Old Style" w:hAnsi="Bookman Old Style" w:cs="Times New Roman"/>
          <w:sz w:val="24"/>
          <w:szCs w:val="24"/>
        </w:rPr>
        <w:t>.</w:t>
      </w:r>
    </w:p>
    <w:p w:rsidR="001C7C05" w:rsidRPr="00CA196C" w:rsidRDefault="001C7C05" w:rsidP="001C7C05">
      <w:pPr>
        <w:tabs>
          <w:tab w:val="left" w:pos="3405"/>
        </w:tabs>
        <w:autoSpaceDE w:val="0"/>
        <w:autoSpaceDN w:val="0"/>
        <w:adjustRightInd w:val="0"/>
        <w:spacing w:after="0" w:line="240" w:lineRule="auto"/>
        <w:ind w:left="360"/>
        <w:jc w:val="both"/>
        <w:rPr>
          <w:rFonts w:ascii="Bookman Old Style" w:hAnsi="Bookman Old Style" w:cs="Times New Roman"/>
          <w:sz w:val="24"/>
          <w:szCs w:val="24"/>
        </w:rPr>
      </w:pPr>
      <w:r w:rsidRPr="00CA196C">
        <w:rPr>
          <w:rFonts w:ascii="Bookman Old Style" w:hAnsi="Bookman Old Style" w:cs="Times New Roman"/>
          <w:sz w:val="24"/>
          <w:szCs w:val="24"/>
        </w:rPr>
        <w:tab/>
      </w:r>
    </w:p>
    <w:p w:rsidR="001C7C05" w:rsidRPr="00CA196C" w:rsidRDefault="001C7C05" w:rsidP="001C7C05">
      <w:pPr>
        <w:pStyle w:val="Titre3"/>
        <w:rPr>
          <w:rFonts w:ascii="Bookman Old Style" w:hAnsi="Bookman Old Style"/>
        </w:rPr>
      </w:pPr>
      <w:bookmarkStart w:id="167" w:name="_Toc511076186"/>
      <w:bookmarkStart w:id="168" w:name="_Toc511080891"/>
      <w:bookmarkStart w:id="169" w:name="_Toc511081388"/>
      <w:bookmarkStart w:id="170" w:name="_Toc511081567"/>
      <w:r>
        <w:rPr>
          <w:rFonts w:ascii="Bookman Old Style" w:hAnsi="Bookman Old Style"/>
        </w:rPr>
        <w:t>4.2</w:t>
      </w:r>
      <w:r w:rsidRPr="00CA196C">
        <w:rPr>
          <w:rFonts w:ascii="Bookman Old Style" w:hAnsi="Bookman Old Style"/>
        </w:rPr>
        <w:t>.1. Orientation stratégique </w:t>
      </w:r>
      <w:r w:rsidR="008F4156">
        <w:rPr>
          <w:rFonts w:ascii="Bookman Old Style" w:hAnsi="Bookman Old Style"/>
        </w:rPr>
        <w:t>1</w:t>
      </w:r>
      <w:r w:rsidRPr="00CA196C">
        <w:rPr>
          <w:rFonts w:ascii="Bookman Old Style" w:hAnsi="Bookman Old Style"/>
        </w:rPr>
        <w:t>: Dynamiser les secteurs porteurs de   croissance</w:t>
      </w:r>
      <w:bookmarkEnd w:id="167"/>
      <w:bookmarkEnd w:id="168"/>
      <w:bookmarkEnd w:id="169"/>
      <w:bookmarkEnd w:id="170"/>
    </w:p>
    <w:p w:rsidR="001C7C05" w:rsidRPr="00CA196C" w:rsidRDefault="001C7C05" w:rsidP="001C7C05">
      <w:pPr>
        <w:spacing w:after="0" w:line="240" w:lineRule="auto"/>
        <w:jc w:val="both"/>
        <w:outlineLvl w:val="1"/>
        <w:rPr>
          <w:rFonts w:ascii="Bookman Old Style" w:eastAsia="Times New Roman" w:hAnsi="Bookman Old Style" w:cs="Times New Roman"/>
          <w:bCs/>
          <w:sz w:val="24"/>
          <w:szCs w:val="24"/>
          <w:u w:color="000000"/>
          <w:bdr w:val="nil"/>
        </w:rPr>
      </w:pPr>
      <w:r w:rsidRPr="00CA196C">
        <w:rPr>
          <w:rFonts w:ascii="Bookman Old Style" w:eastAsia="Times New Roman" w:hAnsi="Bookman Old Style" w:cs="Times New Roman"/>
          <w:bCs/>
          <w:sz w:val="24"/>
          <w:szCs w:val="24"/>
          <w:u w:color="000000"/>
          <w:bdr w:val="nil"/>
        </w:rPr>
        <w:t xml:space="preserve"> </w:t>
      </w:r>
    </w:p>
    <w:p w:rsidR="001C7C05" w:rsidRPr="00CA196C" w:rsidRDefault="001C7C05" w:rsidP="001C7C05">
      <w:pPr>
        <w:numPr>
          <w:ilvl w:val="0"/>
          <w:numId w:val="5"/>
        </w:numPr>
        <w:autoSpaceDE w:val="0"/>
        <w:autoSpaceDN w:val="0"/>
        <w:adjustRightInd w:val="0"/>
        <w:spacing w:after="0" w:line="240" w:lineRule="auto"/>
        <w:jc w:val="both"/>
        <w:rPr>
          <w:rFonts w:ascii="Bookman Old Style" w:eastAsia="Times New Roman" w:hAnsi="Bookman Old Style" w:cs="Times New Roman"/>
          <w:sz w:val="24"/>
          <w:szCs w:val="24"/>
          <w:lang w:eastAsia="fr-FR"/>
        </w:rPr>
      </w:pPr>
      <w:r w:rsidRPr="00CA196C">
        <w:rPr>
          <w:rFonts w:ascii="Bookman Old Style" w:eastAsia="Times New Roman" w:hAnsi="Bookman Old Style" w:cs="Times New Roman"/>
          <w:bCs/>
          <w:sz w:val="24"/>
          <w:szCs w:val="24"/>
          <w:u w:color="000000"/>
          <w:bdr w:val="nil"/>
        </w:rPr>
        <w:t xml:space="preserve">Cette orientation stratégique concerne les interventions nécessaires pour booster la croissance économique au Burundi. Avec la </w:t>
      </w:r>
      <w:r w:rsidRPr="00CA196C">
        <w:rPr>
          <w:rFonts w:ascii="Bookman Old Style" w:hAnsi="Bookman Old Style" w:cs="Times New Roman"/>
          <w:sz w:val="24"/>
          <w:szCs w:val="24"/>
        </w:rPr>
        <w:t xml:space="preserve">place prépondérante du secteur agricole dans l’économie burundaise, le PND BURUNDI 2018-2027 prévoit des actions en vue d’une agriculture </w:t>
      </w:r>
      <w:r w:rsidR="00CE5851">
        <w:rPr>
          <w:rFonts w:ascii="Bookman Old Style" w:hAnsi="Bookman Old Style" w:cs="Times New Roman"/>
          <w:sz w:val="24"/>
          <w:szCs w:val="24"/>
        </w:rPr>
        <w:t xml:space="preserve">intensive et modernisée </w:t>
      </w:r>
      <w:r w:rsidRPr="00CA196C">
        <w:rPr>
          <w:rFonts w:ascii="Bookman Old Style" w:hAnsi="Bookman Old Style" w:cs="Times New Roman"/>
          <w:sz w:val="24"/>
          <w:szCs w:val="24"/>
        </w:rPr>
        <w:t xml:space="preserve">pour assurer la sécurité alimentaire et </w:t>
      </w:r>
      <w:r w:rsidR="00CE5851">
        <w:rPr>
          <w:rFonts w:ascii="Bookman Old Style" w:hAnsi="Bookman Old Style" w:cs="Times New Roman"/>
          <w:sz w:val="24"/>
          <w:szCs w:val="24"/>
        </w:rPr>
        <w:t xml:space="preserve">promouvoir </w:t>
      </w:r>
      <w:r w:rsidRPr="00CA196C">
        <w:rPr>
          <w:rFonts w:ascii="Bookman Old Style" w:hAnsi="Bookman Old Style" w:cs="Times New Roman"/>
          <w:sz w:val="24"/>
          <w:szCs w:val="24"/>
        </w:rPr>
        <w:t xml:space="preserve">l’agriculture de marché. Il prévoit également l’exploitation optimale des secteurs de transformation structurelle de l’économie et le développement des infrastructures. Ainsi, les actions du Gouvernement seront orientées dans </w:t>
      </w:r>
      <w:r w:rsidR="0015166D">
        <w:rPr>
          <w:rFonts w:ascii="Bookman Old Style" w:hAnsi="Bookman Old Style" w:cs="Times New Roman"/>
          <w:sz w:val="24"/>
          <w:szCs w:val="24"/>
        </w:rPr>
        <w:t>trois</w:t>
      </w:r>
      <w:r w:rsidRPr="00CA196C">
        <w:rPr>
          <w:rFonts w:ascii="Bookman Old Style" w:hAnsi="Bookman Old Style" w:cs="Times New Roman"/>
          <w:sz w:val="24"/>
          <w:szCs w:val="24"/>
        </w:rPr>
        <w:t xml:space="preserve"> axes d’intervention: Axe </w:t>
      </w:r>
      <w:r w:rsidR="008F4156">
        <w:rPr>
          <w:rFonts w:ascii="Bookman Old Style" w:hAnsi="Bookman Old Style" w:cs="Times New Roman"/>
          <w:sz w:val="24"/>
          <w:szCs w:val="24"/>
        </w:rPr>
        <w:t>1</w:t>
      </w:r>
      <w:r w:rsidRPr="00CA196C">
        <w:rPr>
          <w:rFonts w:ascii="Bookman Old Style" w:hAnsi="Bookman Old Style" w:cs="Times New Roman"/>
          <w:sz w:val="24"/>
          <w:szCs w:val="24"/>
        </w:rPr>
        <w:t xml:space="preserve">. </w:t>
      </w:r>
      <w:r w:rsidRPr="008F4156">
        <w:rPr>
          <w:rFonts w:ascii="Bookman Old Style" w:eastAsiaTheme="majorEastAsia" w:hAnsi="Bookman Old Style" w:cs="Times New Roman"/>
          <w:bCs/>
          <w:i/>
          <w:iCs/>
          <w:sz w:val="24"/>
          <w:szCs w:val="24"/>
        </w:rPr>
        <w:t xml:space="preserve">Développement </w:t>
      </w:r>
      <w:r w:rsidR="008F4156">
        <w:rPr>
          <w:rFonts w:ascii="Bookman Old Style" w:eastAsiaTheme="majorEastAsia" w:hAnsi="Bookman Old Style" w:cs="Times New Roman"/>
          <w:bCs/>
          <w:i/>
          <w:iCs/>
          <w:sz w:val="24"/>
          <w:szCs w:val="24"/>
        </w:rPr>
        <w:t>de l’a</w:t>
      </w:r>
      <w:r w:rsidRPr="008F4156">
        <w:rPr>
          <w:rFonts w:ascii="Bookman Old Style" w:eastAsiaTheme="majorEastAsia" w:hAnsi="Bookman Old Style" w:cs="Times New Roman"/>
          <w:bCs/>
          <w:i/>
          <w:iCs/>
          <w:sz w:val="24"/>
          <w:szCs w:val="24"/>
        </w:rPr>
        <w:t>griculture, élevage et</w:t>
      </w:r>
      <w:r w:rsidR="008F4156">
        <w:rPr>
          <w:rFonts w:ascii="Bookman Old Style" w:eastAsiaTheme="majorEastAsia" w:hAnsi="Bookman Old Style" w:cs="Times New Roman"/>
          <w:bCs/>
          <w:i/>
          <w:iCs/>
          <w:sz w:val="24"/>
          <w:szCs w:val="24"/>
        </w:rPr>
        <w:t xml:space="preserve"> </w:t>
      </w:r>
      <w:r w:rsidR="00D76CCC" w:rsidRPr="0020032C">
        <w:rPr>
          <w:rFonts w:ascii="Bookman Old Style" w:eastAsiaTheme="majorEastAsia" w:hAnsi="Bookman Old Style" w:cs="Times New Roman"/>
          <w:bCs/>
          <w:i/>
          <w:iCs/>
          <w:sz w:val="24"/>
          <w:szCs w:val="24"/>
        </w:rPr>
        <w:t>renforcement de la</w:t>
      </w:r>
      <w:r w:rsidRPr="008F4156">
        <w:rPr>
          <w:rFonts w:ascii="Bookman Old Style" w:eastAsiaTheme="majorEastAsia" w:hAnsi="Bookman Old Style" w:cs="Times New Roman"/>
          <w:bCs/>
          <w:i/>
          <w:iCs/>
          <w:sz w:val="24"/>
          <w:szCs w:val="24"/>
        </w:rPr>
        <w:t xml:space="preserve"> sécurité alimentaire</w:t>
      </w:r>
      <w:r w:rsidRPr="008F4156">
        <w:rPr>
          <w:rFonts w:ascii="Bookman Old Style" w:hAnsi="Bookman Old Style" w:cs="Times New Roman"/>
          <w:sz w:val="24"/>
          <w:szCs w:val="24"/>
        </w:rPr>
        <w:t xml:space="preserve">, Axe </w:t>
      </w:r>
      <w:r w:rsidR="008F4156">
        <w:rPr>
          <w:rFonts w:ascii="Bookman Old Style" w:hAnsi="Bookman Old Style" w:cs="Times New Roman"/>
          <w:sz w:val="24"/>
          <w:szCs w:val="24"/>
        </w:rPr>
        <w:t>2</w:t>
      </w:r>
      <w:r w:rsidRPr="008F4156">
        <w:rPr>
          <w:rFonts w:ascii="Bookman Old Style" w:hAnsi="Bookman Old Style" w:cs="Times New Roman"/>
          <w:sz w:val="24"/>
          <w:szCs w:val="24"/>
        </w:rPr>
        <w:t xml:space="preserve">. </w:t>
      </w:r>
      <w:r w:rsidRPr="008F4156">
        <w:rPr>
          <w:rFonts w:ascii="Bookman Old Style" w:eastAsiaTheme="majorEastAsia" w:hAnsi="Bookman Old Style" w:cs="Times New Roman"/>
          <w:bCs/>
          <w:i/>
          <w:iCs/>
          <w:sz w:val="24"/>
          <w:szCs w:val="24"/>
        </w:rPr>
        <w:t>Développement des Infrastructures (Energie, Eau potable, Transport, TIC.)</w:t>
      </w:r>
      <w:r w:rsidRPr="008F4156">
        <w:rPr>
          <w:rFonts w:ascii="Bookman Old Style" w:eastAsia="Times New Roman" w:hAnsi="Bookman Old Style" w:cs="Times New Roman"/>
          <w:sz w:val="24"/>
          <w:szCs w:val="24"/>
        </w:rPr>
        <w:t xml:space="preserve">, </w:t>
      </w:r>
      <w:r w:rsidRPr="008F4156">
        <w:rPr>
          <w:rFonts w:ascii="Bookman Old Style" w:hAnsi="Bookman Old Style" w:cs="Times New Roman"/>
          <w:sz w:val="24"/>
          <w:szCs w:val="24"/>
        </w:rPr>
        <w:t xml:space="preserve"> et Axe </w:t>
      </w:r>
      <w:r w:rsidR="008F4156">
        <w:rPr>
          <w:rFonts w:ascii="Bookman Old Style" w:hAnsi="Bookman Old Style" w:cs="Times New Roman"/>
          <w:sz w:val="24"/>
          <w:szCs w:val="24"/>
        </w:rPr>
        <w:t>3</w:t>
      </w:r>
      <w:r w:rsidRPr="008F4156">
        <w:rPr>
          <w:rFonts w:ascii="Bookman Old Style" w:hAnsi="Bookman Old Style" w:cs="Times New Roman"/>
          <w:sz w:val="24"/>
          <w:szCs w:val="24"/>
        </w:rPr>
        <w:t>.</w:t>
      </w:r>
      <w:r w:rsidRPr="008F4156">
        <w:rPr>
          <w:rFonts w:ascii="Bookman Old Style" w:eastAsiaTheme="majorEastAsia" w:hAnsi="Bookman Old Style" w:cs="Times New Roman"/>
          <w:bCs/>
          <w:i/>
          <w:iCs/>
          <w:sz w:val="24"/>
          <w:szCs w:val="24"/>
        </w:rPr>
        <w:t xml:space="preserve"> Développement des secteurs Minier, Industriel et Artisanal</w:t>
      </w:r>
      <w:r w:rsidRPr="008F4156">
        <w:rPr>
          <w:rFonts w:ascii="Bookman Old Style" w:eastAsia="Times New Roman" w:hAnsi="Bookman Old Style" w:cs="Times New Roman"/>
          <w:sz w:val="24"/>
          <w:szCs w:val="24"/>
        </w:rPr>
        <w:t>.</w:t>
      </w:r>
      <w:r w:rsidRPr="00CA196C">
        <w:rPr>
          <w:rFonts w:ascii="Bookman Old Style" w:eastAsia="Times New Roman" w:hAnsi="Bookman Old Style" w:cs="Times New Roman"/>
          <w:sz w:val="24"/>
          <w:szCs w:val="24"/>
        </w:rPr>
        <w:t> </w:t>
      </w:r>
      <w:r w:rsidRPr="00CA196C">
        <w:rPr>
          <w:rFonts w:ascii="Bookman Old Style" w:eastAsia="Times New Roman" w:hAnsi="Bookman Old Style" w:cs="Times New Roman"/>
          <w:bCs/>
          <w:sz w:val="24"/>
          <w:szCs w:val="24"/>
          <w:u w:color="000000"/>
          <w:bdr w:val="nil"/>
        </w:rPr>
        <w:t>Ainsi, l</w:t>
      </w:r>
      <w:r w:rsidRPr="00CA196C">
        <w:rPr>
          <w:rFonts w:ascii="Bookman Old Style" w:hAnsi="Bookman Old Style" w:cs="Times New Roman"/>
          <w:sz w:val="24"/>
          <w:szCs w:val="24"/>
        </w:rPr>
        <w:t xml:space="preserve">es actions du Gouvernement du Burundi sur la décennie </w:t>
      </w:r>
      <w:r w:rsidRPr="00CA196C">
        <w:rPr>
          <w:rFonts w:ascii="Bookman Old Style" w:eastAsia="Times New Roman" w:hAnsi="Bookman Old Style" w:cs="Times New Roman"/>
          <w:bCs/>
          <w:sz w:val="24"/>
          <w:szCs w:val="24"/>
          <w:u w:color="000000"/>
          <w:bdr w:val="nil"/>
        </w:rPr>
        <w:t xml:space="preserve">2018-2027 </w:t>
      </w:r>
      <w:r w:rsidRPr="00CA196C">
        <w:rPr>
          <w:rFonts w:ascii="Bookman Old Style" w:hAnsi="Bookman Old Style" w:cs="Times New Roman"/>
          <w:sz w:val="24"/>
          <w:szCs w:val="24"/>
        </w:rPr>
        <w:t xml:space="preserve">seront orientés vers la réalisation de réformes et de mesures visant l’atteinte de 28 objectifs </w:t>
      </w:r>
      <w:r w:rsidRPr="00CA196C">
        <w:rPr>
          <w:rFonts w:ascii="Bookman Old Style" w:eastAsia="Times New Roman" w:hAnsi="Bookman Old Style" w:cs="Times New Roman"/>
          <w:bCs/>
          <w:sz w:val="24"/>
          <w:szCs w:val="24"/>
          <w:u w:color="000000"/>
          <w:bdr w:val="nil"/>
        </w:rPr>
        <w:t xml:space="preserve"> relatifs aux secteurs agricole, des mines et industries, des investissements et tourisme, et des infrastructures.</w:t>
      </w:r>
    </w:p>
    <w:p w:rsidR="001C7C05" w:rsidRPr="00CA196C" w:rsidRDefault="001C7C05" w:rsidP="001C7C05">
      <w:pPr>
        <w:rPr>
          <w:rFonts w:ascii="Bookman Old Style" w:eastAsia="Times New Roman" w:hAnsi="Bookman Old Style" w:cs="Times New Roman"/>
          <w:bCs/>
          <w:sz w:val="24"/>
          <w:szCs w:val="24"/>
          <w:u w:color="000000"/>
          <w:bdr w:val="nil"/>
        </w:rPr>
      </w:pPr>
      <w:r w:rsidRPr="00CA196C">
        <w:rPr>
          <w:rFonts w:ascii="Bookman Old Style" w:hAnsi="Bookman Old Style"/>
          <w:b/>
          <w:i/>
          <w:szCs w:val="24"/>
          <w:u w:color="000000"/>
          <w:bdr w:val="nil"/>
        </w:rPr>
        <w:br w:type="page"/>
      </w:r>
    </w:p>
    <w:p w:rsidR="001C7C05" w:rsidRPr="00CA196C" w:rsidRDefault="001C7C05" w:rsidP="001C7C05">
      <w:pPr>
        <w:pStyle w:val="Titre"/>
        <w:rPr>
          <w:rFonts w:ascii="Bookman Old Style" w:hAnsi="Bookman Old Style"/>
        </w:rPr>
      </w:pPr>
      <w:bookmarkStart w:id="171" w:name="_Toc511076247"/>
      <w:bookmarkStart w:id="172" w:name="_Toc511080892"/>
      <w:bookmarkStart w:id="173" w:name="_Toc511081568"/>
      <w:r w:rsidRPr="00CA196C">
        <w:rPr>
          <w:rFonts w:ascii="Bookman Old Style" w:hAnsi="Bookman Old Style"/>
        </w:rPr>
        <w:lastRenderedPageBreak/>
        <w:t xml:space="preserve">Tableau </w:t>
      </w:r>
      <w:r w:rsidR="008F4156">
        <w:rPr>
          <w:rFonts w:ascii="Bookman Old Style" w:hAnsi="Bookman Old Style"/>
        </w:rPr>
        <w:t>8</w:t>
      </w:r>
      <w:r w:rsidRPr="00CA196C">
        <w:rPr>
          <w:rFonts w:ascii="Bookman Old Style" w:hAnsi="Bookman Old Style"/>
        </w:rPr>
        <w:t xml:space="preserve">. </w:t>
      </w:r>
      <w:r w:rsidR="008D4BD6" w:rsidRPr="00CA196C">
        <w:rPr>
          <w:rFonts w:ascii="Bookman Old Style" w:hAnsi="Bookman Old Style"/>
        </w:rPr>
        <w:t>Axes d’intervention et objectifs  pour</w:t>
      </w:r>
      <w:r w:rsidRPr="00CA196C">
        <w:rPr>
          <w:rFonts w:ascii="Bookman Old Style" w:hAnsi="Bookman Old Style"/>
        </w:rPr>
        <w:t xml:space="preserve"> l’orientation stratégique n°</w:t>
      </w:r>
      <w:r w:rsidR="008D4BD6">
        <w:rPr>
          <w:rFonts w:ascii="Bookman Old Style" w:hAnsi="Bookman Old Style"/>
        </w:rPr>
        <w:t>1</w:t>
      </w:r>
      <w:r w:rsidRPr="00CA196C">
        <w:rPr>
          <w:rFonts w:ascii="Bookman Old Style" w:hAnsi="Bookman Old Style"/>
        </w:rPr>
        <w:t xml:space="preserve"> du PND BURUNDI 2018-2027</w:t>
      </w:r>
      <w:bookmarkEnd w:id="171"/>
      <w:bookmarkEnd w:id="172"/>
      <w:bookmarkEnd w:id="173"/>
      <w:r w:rsidR="008D4BD6">
        <w:rPr>
          <w:rFonts w:ascii="Bookman Old Style" w:hAnsi="Bookman Old Style"/>
        </w:rPr>
        <w:t xml:space="preserve"> </w:t>
      </w:r>
    </w:p>
    <w:p w:rsidR="001C7C05" w:rsidRPr="00CA196C" w:rsidRDefault="001C7C05" w:rsidP="001C7C05">
      <w:pPr>
        <w:autoSpaceDE w:val="0"/>
        <w:autoSpaceDN w:val="0"/>
        <w:adjustRightInd w:val="0"/>
        <w:spacing w:after="0" w:line="240" w:lineRule="auto"/>
        <w:jc w:val="both"/>
        <w:rPr>
          <w:rFonts w:ascii="Bookman Old Style" w:hAnsi="Bookman Old Style" w:cs="Times New Roman"/>
          <w:b/>
          <w:sz w:val="24"/>
          <w:szCs w:val="24"/>
        </w:rPr>
      </w:pPr>
    </w:p>
    <w:tbl>
      <w:tblPr>
        <w:tblStyle w:val="Grilleclaire-Accent5"/>
        <w:tblW w:w="9606" w:type="dxa"/>
        <w:tblLook w:val="04A0" w:firstRow="1" w:lastRow="0" w:firstColumn="1" w:lastColumn="0" w:noHBand="0" w:noVBand="1"/>
      </w:tblPr>
      <w:tblGrid>
        <w:gridCol w:w="2093"/>
        <w:gridCol w:w="7513"/>
      </w:tblGrid>
      <w:tr w:rsidR="001C7C05" w:rsidRPr="00CA196C" w:rsidTr="008F4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C7C05" w:rsidRPr="00CA196C" w:rsidRDefault="001C7C05" w:rsidP="008F4156">
            <w:pPr>
              <w:autoSpaceDE w:val="0"/>
              <w:autoSpaceDN w:val="0"/>
              <w:adjustRightInd w:val="0"/>
              <w:jc w:val="both"/>
              <w:rPr>
                <w:rFonts w:ascii="Bookman Old Style" w:hAnsi="Bookman Old Style" w:cs="Times New Roman"/>
                <w:sz w:val="24"/>
                <w:szCs w:val="24"/>
              </w:rPr>
            </w:pPr>
            <w:r w:rsidRPr="00CA196C">
              <w:rPr>
                <w:rFonts w:ascii="Bookman Old Style" w:hAnsi="Bookman Old Style" w:cs="Times New Roman"/>
                <w:sz w:val="24"/>
                <w:szCs w:val="24"/>
              </w:rPr>
              <w:t>Axes d’intervention</w:t>
            </w:r>
          </w:p>
        </w:tc>
        <w:tc>
          <w:tcPr>
            <w:tcW w:w="7513" w:type="dxa"/>
          </w:tcPr>
          <w:p w:rsidR="001C7C05" w:rsidRPr="00CA196C" w:rsidRDefault="001C7C05" w:rsidP="008F41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4"/>
                <w:szCs w:val="24"/>
              </w:rPr>
            </w:pPr>
            <w:r w:rsidRPr="00CA196C">
              <w:rPr>
                <w:rFonts w:ascii="Bookman Old Style" w:hAnsi="Bookman Old Style" w:cs="Times New Roman"/>
                <w:sz w:val="24"/>
                <w:szCs w:val="24"/>
              </w:rPr>
              <w:t>Objectifs stratégiques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1C7C05" w:rsidRPr="00CA196C" w:rsidRDefault="001C7C05" w:rsidP="0015166D">
            <w:pPr>
              <w:ind w:left="426" w:hanging="426"/>
              <w:outlineLvl w:val="1"/>
              <w:rPr>
                <w:rFonts w:ascii="Bookman Old Style" w:hAnsi="Bookman Old Style" w:cs="Times New Roman"/>
                <w:bCs w:val="0"/>
                <w:iCs/>
                <w:sz w:val="20"/>
                <w:szCs w:val="20"/>
              </w:rPr>
            </w:pPr>
            <w:bookmarkStart w:id="174" w:name="_Toc511080893"/>
            <w:bookmarkStart w:id="175" w:name="_Toc511081569"/>
            <w:r w:rsidRPr="00CA196C">
              <w:rPr>
                <w:rFonts w:ascii="Bookman Old Style" w:hAnsi="Bookman Old Style" w:cs="Times New Roman"/>
                <w:iCs/>
                <w:sz w:val="20"/>
                <w:szCs w:val="20"/>
              </w:rPr>
              <w:t xml:space="preserve">Axe  </w:t>
            </w:r>
            <w:r w:rsidR="008F4156">
              <w:rPr>
                <w:rFonts w:ascii="Bookman Old Style" w:hAnsi="Bookman Old Style" w:cs="Times New Roman"/>
                <w:iCs/>
                <w:sz w:val="20"/>
                <w:szCs w:val="20"/>
              </w:rPr>
              <w:t>1</w:t>
            </w:r>
            <w:r w:rsidRPr="00CA196C">
              <w:rPr>
                <w:rFonts w:ascii="Bookman Old Style" w:hAnsi="Bookman Old Style" w:cs="Times New Roman"/>
                <w:iCs/>
                <w:sz w:val="20"/>
                <w:szCs w:val="20"/>
              </w:rPr>
              <w:t xml:space="preserve"> : Développement </w:t>
            </w:r>
            <w:r w:rsidR="00B81CF5">
              <w:rPr>
                <w:rFonts w:ascii="Bookman Old Style" w:hAnsi="Bookman Old Style" w:cs="Times New Roman"/>
                <w:iCs/>
                <w:sz w:val="20"/>
                <w:szCs w:val="20"/>
              </w:rPr>
              <w:t>de l’a</w:t>
            </w:r>
            <w:r w:rsidRPr="00CA196C">
              <w:rPr>
                <w:rFonts w:ascii="Bookman Old Style" w:hAnsi="Bookman Old Style" w:cs="Times New Roman"/>
                <w:iCs/>
                <w:sz w:val="20"/>
                <w:szCs w:val="20"/>
              </w:rPr>
              <w:t xml:space="preserve">griculture, élevage et </w:t>
            </w:r>
            <w:r w:rsidR="0015166D">
              <w:rPr>
                <w:rFonts w:ascii="Bookman Old Style" w:hAnsi="Bookman Old Style" w:cs="Times New Roman"/>
                <w:iCs/>
                <w:sz w:val="20"/>
                <w:szCs w:val="20"/>
              </w:rPr>
              <w:t>renforcement de la</w:t>
            </w:r>
            <w:r w:rsidR="00B81CF5">
              <w:rPr>
                <w:rFonts w:ascii="Bookman Old Style" w:hAnsi="Bookman Old Style" w:cs="Times New Roman"/>
                <w:iCs/>
                <w:sz w:val="20"/>
                <w:szCs w:val="20"/>
              </w:rPr>
              <w:t xml:space="preserve"> </w:t>
            </w:r>
            <w:r w:rsidRPr="00CA196C">
              <w:rPr>
                <w:rFonts w:ascii="Bookman Old Style" w:hAnsi="Bookman Old Style" w:cs="Times New Roman"/>
                <w:iCs/>
                <w:sz w:val="20"/>
                <w:szCs w:val="20"/>
              </w:rPr>
              <w:t>sécurité alimentaire</w:t>
            </w:r>
            <w:bookmarkEnd w:id="174"/>
            <w:bookmarkEnd w:id="175"/>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176" w:name="_Toc511080894"/>
            <w:bookmarkStart w:id="177" w:name="_Toc511081570"/>
            <w:r w:rsidRPr="00CA196C">
              <w:rPr>
                <w:rFonts w:ascii="Bookman Old Style" w:hAnsi="Bookman Old Style" w:cs="Times New Roman"/>
                <w:sz w:val="20"/>
                <w:szCs w:val="20"/>
              </w:rPr>
              <w:t>OS 1 : Renforcer les capacités institutionnelles et organisationnelles</w:t>
            </w:r>
            <w:bookmarkEnd w:id="176"/>
            <w:bookmarkEnd w:id="177"/>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ind w:left="426" w:hanging="426"/>
              <w:jc w:val="both"/>
              <w:outlineLvl w:val="1"/>
              <w:rPr>
                <w:rFonts w:ascii="Bookman Old Style" w:hAnsi="Bookman Old Style" w:cs="Times New Roman"/>
                <w:bCs w:val="0"/>
                <w:iCs/>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bookmarkStart w:id="178" w:name="_Toc511080895"/>
            <w:bookmarkStart w:id="179" w:name="_Toc511081571"/>
            <w:r w:rsidRPr="00CA196C">
              <w:rPr>
                <w:rFonts w:ascii="Bookman Old Style" w:hAnsi="Bookman Old Style" w:cs="Times New Roman"/>
                <w:sz w:val="20"/>
                <w:szCs w:val="20"/>
              </w:rPr>
              <w:t>OS 2 : Accroitre de façon durable la production agricole, animale et  halieutique</w:t>
            </w:r>
            <w:bookmarkEnd w:id="178"/>
            <w:bookmarkEnd w:id="179"/>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ind w:left="426" w:hanging="426"/>
              <w:jc w:val="both"/>
              <w:outlineLvl w:val="1"/>
              <w:rPr>
                <w:rFonts w:ascii="Bookman Old Style" w:hAnsi="Bookman Old Style" w:cs="Times New Roman"/>
                <w:bCs w:val="0"/>
                <w:iCs/>
                <w:sz w:val="20"/>
                <w:szCs w:val="20"/>
              </w:rPr>
            </w:pP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180" w:name="_Toc511080896"/>
            <w:bookmarkStart w:id="181" w:name="_Toc511081572"/>
            <w:r w:rsidRPr="00CA196C">
              <w:rPr>
                <w:rFonts w:ascii="Bookman Old Style" w:hAnsi="Bookman Old Style" w:cs="Times New Roman"/>
                <w:sz w:val="20"/>
                <w:szCs w:val="20"/>
              </w:rPr>
              <w:t>OS 3: Promouvoir une agriculture de marché</w:t>
            </w:r>
            <w:r w:rsidR="0033654A" w:rsidRPr="0033654A">
              <w:t xml:space="preserve"> </w:t>
            </w:r>
            <w:r w:rsidR="0033654A" w:rsidRPr="0033654A">
              <w:rPr>
                <w:rFonts w:ascii="Bookman Old Style" w:hAnsi="Bookman Old Style" w:cs="Times New Roman"/>
                <w:sz w:val="20"/>
                <w:szCs w:val="20"/>
              </w:rPr>
              <w:t>basé</w:t>
            </w:r>
            <w:r w:rsidR="003D4984">
              <w:rPr>
                <w:rFonts w:ascii="Bookman Old Style" w:hAnsi="Bookman Old Style" w:cs="Times New Roman"/>
                <w:sz w:val="20"/>
                <w:szCs w:val="20"/>
              </w:rPr>
              <w:t>e</w:t>
            </w:r>
            <w:r w:rsidR="0033654A" w:rsidRPr="0033654A">
              <w:rPr>
                <w:rFonts w:ascii="Bookman Old Style" w:hAnsi="Bookman Old Style" w:cs="Times New Roman"/>
                <w:sz w:val="20"/>
                <w:szCs w:val="20"/>
              </w:rPr>
              <w:t xml:space="preserve"> sur les exploitations familiales intégrées</w:t>
            </w:r>
            <w:bookmarkEnd w:id="180"/>
            <w:bookmarkEnd w:id="181"/>
            <w:r w:rsidR="0033654A">
              <w:rPr>
                <w:rFonts w:ascii="Bookman Old Style" w:hAnsi="Bookman Old Style" w:cs="Times New Roman"/>
                <w:sz w:val="20"/>
                <w:szCs w:val="20"/>
              </w:rPr>
              <w:t xml:space="preserve"> </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1C7C05" w:rsidRPr="00CA196C" w:rsidRDefault="001C7C05" w:rsidP="008F4156">
            <w:pPr>
              <w:ind w:left="426" w:hanging="426"/>
              <w:jc w:val="both"/>
              <w:outlineLvl w:val="1"/>
              <w:rPr>
                <w:rFonts w:ascii="Bookman Old Style" w:hAnsi="Bookman Old Style" w:cs="Times New Roman"/>
                <w:iCs/>
                <w:sz w:val="20"/>
                <w:szCs w:val="20"/>
              </w:rPr>
            </w:pPr>
          </w:p>
          <w:p w:rsidR="001C7C05" w:rsidRPr="00CA196C" w:rsidRDefault="008F4156" w:rsidP="008F4156">
            <w:pPr>
              <w:ind w:left="426" w:hanging="426"/>
              <w:outlineLvl w:val="1"/>
              <w:rPr>
                <w:rFonts w:ascii="Bookman Old Style" w:hAnsi="Bookman Old Style" w:cs="Times New Roman"/>
                <w:iCs/>
                <w:sz w:val="20"/>
                <w:szCs w:val="20"/>
              </w:rPr>
            </w:pPr>
            <w:bookmarkStart w:id="182" w:name="_Toc511080897"/>
            <w:bookmarkStart w:id="183" w:name="_Toc511081573"/>
            <w:r>
              <w:rPr>
                <w:rFonts w:ascii="Bookman Old Style" w:hAnsi="Bookman Old Style" w:cs="Times New Roman"/>
                <w:iCs/>
                <w:sz w:val="20"/>
                <w:szCs w:val="20"/>
              </w:rPr>
              <w:t>Axe 2</w:t>
            </w:r>
            <w:r w:rsidR="001C7C05" w:rsidRPr="00CA196C">
              <w:rPr>
                <w:rFonts w:ascii="Bookman Old Style" w:hAnsi="Bookman Old Style" w:cs="Times New Roman"/>
                <w:iCs/>
                <w:sz w:val="20"/>
                <w:szCs w:val="20"/>
              </w:rPr>
              <w:t>. Développement des Infrastructures</w:t>
            </w:r>
            <w:bookmarkEnd w:id="182"/>
            <w:bookmarkEnd w:id="183"/>
            <w:r w:rsidR="001C7C05" w:rsidRPr="00CA196C">
              <w:rPr>
                <w:rFonts w:ascii="Bookman Old Style" w:hAnsi="Bookman Old Style" w:cs="Times New Roman"/>
                <w:iCs/>
                <w:sz w:val="20"/>
                <w:szCs w:val="20"/>
              </w:rPr>
              <w:t xml:space="preserve"> </w:t>
            </w:r>
          </w:p>
          <w:p w:rsidR="001C7C05" w:rsidRPr="00CA196C" w:rsidRDefault="001C7C05" w:rsidP="008F4156">
            <w:pPr>
              <w:ind w:left="426" w:hanging="426"/>
              <w:outlineLvl w:val="1"/>
              <w:rPr>
                <w:rFonts w:ascii="Bookman Old Style" w:hAnsi="Bookman Old Style" w:cs="Times New Roman"/>
                <w:iCs/>
                <w:sz w:val="20"/>
                <w:szCs w:val="20"/>
              </w:rPr>
            </w:pPr>
            <w:bookmarkStart w:id="184" w:name="_Toc511080898"/>
            <w:bookmarkStart w:id="185" w:name="_Toc511081574"/>
            <w:r w:rsidRPr="00CA196C">
              <w:rPr>
                <w:rFonts w:ascii="Bookman Old Style" w:hAnsi="Bookman Old Style" w:cs="Times New Roman"/>
                <w:bCs w:val="0"/>
                <w:iCs/>
                <w:sz w:val="20"/>
                <w:szCs w:val="20"/>
              </w:rPr>
              <w:t>(Energie, Eau potable, Transport, TIC.)</w:t>
            </w:r>
            <w:bookmarkEnd w:id="184"/>
            <w:bookmarkEnd w:id="185"/>
          </w:p>
        </w:tc>
        <w:tc>
          <w:tcPr>
            <w:tcW w:w="7513" w:type="dxa"/>
          </w:tcPr>
          <w:p w:rsidR="001C7C05" w:rsidRPr="00CA196C" w:rsidRDefault="001C7C05" w:rsidP="008F4156">
            <w:pPr>
              <w:keepNext/>
              <w:keepLines/>
              <w:jc w:val="both"/>
              <w:outlineLvl w:val="3"/>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r w:rsidRPr="00CA196C">
              <w:rPr>
                <w:rFonts w:ascii="Bookman Old Style" w:hAnsi="Bookman Old Style" w:cs="Times New Roman"/>
                <w:b/>
                <w:sz w:val="20"/>
                <w:szCs w:val="20"/>
              </w:rPr>
              <w:t>Secteur de l’Energie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ind w:left="426" w:hanging="426"/>
              <w:outlineLvl w:val="1"/>
              <w:rPr>
                <w:rFonts w:ascii="Bookman Old Style" w:hAnsi="Bookman Old Style" w:cs="Times New Roman"/>
                <w:bCs w:val="0"/>
                <w:iCs/>
                <w:sz w:val="20"/>
                <w:szCs w:val="20"/>
              </w:rPr>
            </w:pPr>
          </w:p>
        </w:tc>
        <w:tc>
          <w:tcPr>
            <w:tcW w:w="7513" w:type="dxa"/>
          </w:tcPr>
          <w:p w:rsidR="001C7C05" w:rsidRPr="00CA196C" w:rsidRDefault="000609B2" w:rsidP="008F4156">
            <w:pPr>
              <w:keepNext/>
              <w:keepLines/>
              <w:jc w:val="both"/>
              <w:outlineLvl w:val="3"/>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1</w:t>
            </w:r>
            <w:r w:rsidR="001C7C05" w:rsidRPr="00CA196C">
              <w:rPr>
                <w:rFonts w:ascii="Bookman Old Style" w:hAnsi="Bookman Old Style" w:cs="Times New Roman"/>
                <w:sz w:val="20"/>
                <w:szCs w:val="20"/>
              </w:rPr>
              <w:t>: Valoriser  les potentiels hydroélectrique, solaire, la tourbe, déchets municipaux et les ressources géothermiques</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keepNext/>
              <w:keepLines/>
              <w:jc w:val="both"/>
              <w:outlineLvl w:val="3"/>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bCs/>
                <w:sz w:val="20"/>
                <w:szCs w:val="20"/>
              </w:rPr>
              <w:t>OS 2</w:t>
            </w:r>
            <w:r w:rsidR="001C7C05" w:rsidRPr="00CA196C">
              <w:rPr>
                <w:rFonts w:ascii="Bookman Old Style" w:hAnsi="Bookman Old Style" w:cs="Times New Roman"/>
                <w:sz w:val="20"/>
                <w:szCs w:val="20"/>
              </w:rPr>
              <w:t>: Améliorer la filière biomasse (bois-énergie, charbon de bois, tourbe, déchets municipaux)  tout en sauvegardant l’environnement</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keepNext/>
              <w:keepLines/>
              <w:jc w:val="both"/>
              <w:outlineLvl w:val="3"/>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bCs/>
                <w:sz w:val="20"/>
                <w:szCs w:val="20"/>
              </w:rPr>
              <w:t>OS 3</w:t>
            </w:r>
            <w:r w:rsidR="001C7C05" w:rsidRPr="00CA196C">
              <w:rPr>
                <w:rFonts w:ascii="Bookman Old Style" w:hAnsi="Bookman Old Style" w:cs="Times New Roman"/>
                <w:bCs/>
                <w:sz w:val="20"/>
                <w:szCs w:val="20"/>
              </w:rPr>
              <w:t>: Promouvoir des énergies renouvelables et alternatives</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keepNext/>
              <w:keepLines/>
              <w:jc w:val="both"/>
              <w:outlineLvl w:val="3"/>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bCs/>
                <w:sz w:val="20"/>
                <w:szCs w:val="20"/>
              </w:rPr>
              <w:t>OS 4</w:t>
            </w:r>
            <w:r w:rsidR="001C7C05" w:rsidRPr="00CA196C">
              <w:rPr>
                <w:rFonts w:ascii="Bookman Old Style" w:hAnsi="Bookman Old Style" w:cs="Times New Roman"/>
                <w:bCs/>
                <w:sz w:val="20"/>
                <w:szCs w:val="20"/>
              </w:rPr>
              <w:t> : Améliorer les capacités de gestion du secteur de l’Energie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spacing w:before="160" w:after="120"/>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5</w:t>
            </w:r>
            <w:r w:rsidR="001C7C05" w:rsidRPr="00CA196C">
              <w:rPr>
                <w:rFonts w:ascii="Bookman Old Style" w:hAnsi="Bookman Old Style" w:cs="Times New Roman"/>
                <w:sz w:val="20"/>
                <w:szCs w:val="20"/>
              </w:rPr>
              <w:t>: Assurer la sécurité de la chaîne d’approvisionnement en  produits pétroliers</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104E22" w:rsidRDefault="001C7C05" w:rsidP="008F4156">
            <w:pPr>
              <w:spacing w:before="160" w:after="12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r w:rsidRPr="00104E22">
              <w:rPr>
                <w:rFonts w:ascii="Bookman Old Style" w:hAnsi="Bookman Old Style" w:cs="Times New Roman"/>
                <w:b/>
                <w:sz w:val="20"/>
                <w:szCs w:val="20"/>
              </w:rPr>
              <w:t>Secteur de l’Eau Potable et Assainissement de Base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spacing w:before="160" w:after="120"/>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1</w:t>
            </w:r>
            <w:r w:rsidR="001C7C05" w:rsidRPr="00CA196C">
              <w:rPr>
                <w:rFonts w:ascii="Bookman Old Style" w:hAnsi="Bookman Old Style" w:cs="Times New Roman"/>
                <w:sz w:val="20"/>
                <w:szCs w:val="20"/>
              </w:rPr>
              <w:t>: Améliorer l’accès aux services d’eau potable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Cs w:val="0"/>
                <w:iCs/>
                <w:sz w:val="20"/>
                <w:szCs w:val="20"/>
              </w:rPr>
            </w:pPr>
          </w:p>
        </w:tc>
        <w:tc>
          <w:tcPr>
            <w:tcW w:w="7513" w:type="dxa"/>
          </w:tcPr>
          <w:p w:rsidR="001C7C05" w:rsidRPr="00CA196C" w:rsidRDefault="000609B2" w:rsidP="008F4156">
            <w:pPr>
              <w:spacing w:before="160" w:after="120"/>
              <w:ind w:left="2268" w:hanging="2268"/>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2</w:t>
            </w:r>
            <w:r w:rsidR="001C7C05" w:rsidRPr="00CA196C">
              <w:rPr>
                <w:rFonts w:ascii="Bookman Old Style" w:hAnsi="Bookman Old Style" w:cs="Times New Roman"/>
                <w:sz w:val="20"/>
                <w:szCs w:val="20"/>
              </w:rPr>
              <w:t>: Améliorer l’accès aux services d’assainissement de base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spacing w:before="160" w:after="12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3</w:t>
            </w:r>
            <w:r w:rsidR="001C7C05" w:rsidRPr="00CA196C">
              <w:rPr>
                <w:rFonts w:ascii="Bookman Old Style" w:hAnsi="Bookman Old Style" w:cs="Times New Roman"/>
                <w:sz w:val="20"/>
                <w:szCs w:val="20"/>
              </w:rPr>
              <w:t>: Améliorer la gestion des sous- secteurs en eau potable et assainissement de base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spacing w:before="160" w:after="12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r w:rsidRPr="00CA196C">
              <w:rPr>
                <w:rFonts w:ascii="Bookman Old Style" w:hAnsi="Bookman Old Style" w:cs="Times New Roman"/>
                <w:b/>
                <w:sz w:val="20"/>
                <w:szCs w:val="20"/>
              </w:rPr>
              <w:t>Secteur du transport</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75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spacing w:before="160" w:after="12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1</w:t>
            </w:r>
            <w:r w:rsidR="001C7C05" w:rsidRPr="00CA196C">
              <w:rPr>
                <w:rFonts w:ascii="Bookman Old Style" w:hAnsi="Bookman Old Style" w:cs="Times New Roman"/>
                <w:sz w:val="20"/>
                <w:szCs w:val="20"/>
              </w:rPr>
              <w:t>: Assurer la mobilité des personnes et la fluidité des biens et  marchandises au niveau national et sous régional par voie routière </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spacing w:before="160" w:after="120"/>
              <w:ind w:left="743" w:hanging="743"/>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2</w:t>
            </w:r>
            <w:r w:rsidR="001C7C05" w:rsidRPr="00CA196C">
              <w:rPr>
                <w:rFonts w:ascii="Bookman Old Style" w:hAnsi="Bookman Old Style" w:cs="Times New Roman"/>
                <w:sz w:val="20"/>
                <w:szCs w:val="20"/>
              </w:rPr>
              <w:t>: Développer le transport  lacustre  et  les autres voies navigables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475BAA">
            <w:pPr>
              <w:spacing w:before="160" w:after="120"/>
              <w:ind w:left="743" w:hanging="743"/>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w:t>
            </w:r>
            <w:r w:rsidR="001C7C05" w:rsidRPr="00CA196C">
              <w:rPr>
                <w:rFonts w:ascii="Bookman Old Style" w:hAnsi="Bookman Old Style" w:cs="Times New Roman"/>
                <w:sz w:val="20"/>
                <w:szCs w:val="20"/>
              </w:rPr>
              <w:t> </w:t>
            </w:r>
            <w:r>
              <w:rPr>
                <w:rFonts w:ascii="Bookman Old Style" w:hAnsi="Bookman Old Style" w:cs="Times New Roman"/>
                <w:sz w:val="20"/>
                <w:szCs w:val="20"/>
              </w:rPr>
              <w:t>3</w:t>
            </w:r>
            <w:r w:rsidR="001C7C05" w:rsidRPr="00CA196C">
              <w:rPr>
                <w:rFonts w:ascii="Bookman Old Style" w:hAnsi="Bookman Old Style" w:cs="Times New Roman"/>
                <w:sz w:val="20"/>
                <w:szCs w:val="20"/>
              </w:rPr>
              <w:t>: Améliorer le transport  aérien</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bookmarkStart w:id="186" w:name="_Toc511080899"/>
            <w:bookmarkStart w:id="187" w:name="_Toc511081575"/>
            <w:r>
              <w:rPr>
                <w:rFonts w:ascii="Bookman Old Style" w:hAnsi="Bookman Old Style" w:cs="Times New Roman"/>
                <w:sz w:val="20"/>
                <w:szCs w:val="20"/>
              </w:rPr>
              <w:t>OS 4</w:t>
            </w:r>
            <w:r w:rsidR="001C7C05" w:rsidRPr="00CA196C">
              <w:rPr>
                <w:rFonts w:ascii="Bookman Old Style" w:hAnsi="Bookman Old Style" w:cs="Times New Roman"/>
                <w:sz w:val="20"/>
                <w:szCs w:val="20"/>
              </w:rPr>
              <w:t>: Désenclaver  le pays par la voie ferrée</w:t>
            </w:r>
            <w:bookmarkEnd w:id="186"/>
            <w:bookmarkEnd w:id="187"/>
            <w:r w:rsidR="001C7C05" w:rsidRPr="00CA196C">
              <w:rPr>
                <w:rFonts w:ascii="Bookman Old Style" w:hAnsi="Bookman Old Style" w:cs="Times New Roman"/>
                <w:sz w:val="20"/>
                <w:szCs w:val="20"/>
              </w:rPr>
              <w:t> </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188" w:name="_Toc511080900"/>
            <w:bookmarkStart w:id="189" w:name="_Toc511081576"/>
            <w:r>
              <w:rPr>
                <w:rFonts w:ascii="Bookman Old Style" w:hAnsi="Bookman Old Style" w:cs="Times New Roman"/>
                <w:sz w:val="20"/>
                <w:szCs w:val="20"/>
              </w:rPr>
              <w:t>OS 5</w:t>
            </w:r>
            <w:r w:rsidR="001C7C05" w:rsidRPr="00CA196C">
              <w:rPr>
                <w:rFonts w:ascii="Bookman Old Style" w:hAnsi="Bookman Old Style" w:cs="Times New Roman"/>
                <w:sz w:val="20"/>
                <w:szCs w:val="20"/>
              </w:rPr>
              <w:t> : Améliorer la gouvernance du secteur de transport</w:t>
            </w:r>
            <w:bookmarkEnd w:id="188"/>
            <w:bookmarkEnd w:id="189"/>
            <w:r w:rsidR="001C7C05" w:rsidRPr="00CA196C">
              <w:rPr>
                <w:rFonts w:ascii="Bookman Old Style" w:hAnsi="Bookman Old Style" w:cs="Times New Roman"/>
                <w:sz w:val="20"/>
                <w:szCs w:val="20"/>
              </w:rPr>
              <w:t xml:space="preserve"> </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bookmarkStart w:id="190" w:name="_Toc511080901"/>
            <w:bookmarkStart w:id="191" w:name="_Toc511081577"/>
            <w:r w:rsidRPr="00CA196C">
              <w:rPr>
                <w:rFonts w:ascii="Bookman Old Style" w:hAnsi="Bookman Old Style" w:cs="Times New Roman"/>
                <w:b/>
                <w:sz w:val="20"/>
                <w:szCs w:val="20"/>
              </w:rPr>
              <w:t>Secteur des Bâtiments et Travaux Publics</w:t>
            </w:r>
            <w:bookmarkEnd w:id="190"/>
            <w:bookmarkEnd w:id="191"/>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sz w:val="20"/>
                <w:szCs w:val="20"/>
              </w:rPr>
            </w:pPr>
            <w:bookmarkStart w:id="192" w:name="_Toc511080902"/>
            <w:bookmarkStart w:id="193" w:name="_Toc511081578"/>
            <w:r w:rsidRPr="00CA196C">
              <w:rPr>
                <w:rFonts w:ascii="Bookman Old Style" w:hAnsi="Bookman Old Style" w:cs="Times New Roman"/>
                <w:sz w:val="20"/>
                <w:szCs w:val="20"/>
              </w:rPr>
              <w:t>OS 1: Recaser les services publics et les ayants droits dans des immeubles  de l’Etat</w:t>
            </w:r>
            <w:bookmarkEnd w:id="192"/>
            <w:bookmarkEnd w:id="193"/>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bookmarkStart w:id="194" w:name="_Toc511080903"/>
            <w:bookmarkStart w:id="195" w:name="_Toc511081579"/>
            <w:r w:rsidRPr="00CA196C">
              <w:rPr>
                <w:rFonts w:ascii="Bookman Old Style" w:hAnsi="Bookman Old Style" w:cs="Times New Roman"/>
                <w:b/>
                <w:sz w:val="20"/>
                <w:szCs w:val="20"/>
              </w:rPr>
              <w:t>Secteur des Technologies de l’Information et de la Communication, Postes et Média</w:t>
            </w:r>
            <w:bookmarkEnd w:id="194"/>
            <w:bookmarkEnd w:id="195"/>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196" w:name="_Toc511080904"/>
            <w:bookmarkStart w:id="197" w:name="_Toc511081580"/>
            <w:r w:rsidRPr="00CA196C">
              <w:rPr>
                <w:rFonts w:ascii="Bookman Old Style" w:hAnsi="Bookman Old Style" w:cs="Times New Roman"/>
                <w:sz w:val="20"/>
                <w:szCs w:val="20"/>
              </w:rPr>
              <w:t>OS 1: Promouvoir les Technologies de l’Information et de la Communication, la Poste et les Médias au service du développement</w:t>
            </w:r>
            <w:bookmarkEnd w:id="196"/>
            <w:bookmarkEnd w:id="197"/>
            <w:r w:rsidRPr="00CA196C">
              <w:rPr>
                <w:rFonts w:ascii="Bookman Old Style" w:eastAsia="Times New Roman" w:hAnsi="Bookman Old Style" w:cs="Times New Roman"/>
                <w:sz w:val="20"/>
                <w:szCs w:val="20"/>
                <w:lang w:eastAsia="fr-FR"/>
              </w:rPr>
              <w:t> </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2</w:t>
            </w:r>
            <w:r w:rsidR="001C7C05" w:rsidRPr="00CA196C">
              <w:rPr>
                <w:rFonts w:ascii="Bookman Old Style" w:hAnsi="Bookman Old Style" w:cs="Times New Roman"/>
                <w:sz w:val="20"/>
                <w:szCs w:val="20"/>
              </w:rPr>
              <w:t> : Améliorer la disponibilité et la diversification des services média à travers tout le pays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1C7C05" w:rsidRPr="00CA196C" w:rsidRDefault="00282CD6" w:rsidP="00282CD6">
            <w:pPr>
              <w:autoSpaceDE w:val="0"/>
              <w:autoSpaceDN w:val="0"/>
              <w:adjustRightInd w:val="0"/>
              <w:rPr>
                <w:rFonts w:ascii="Bookman Old Style" w:hAnsi="Bookman Old Style" w:cs="Times New Roman"/>
                <w:iCs/>
                <w:sz w:val="20"/>
                <w:szCs w:val="20"/>
              </w:rPr>
            </w:pPr>
            <w:r>
              <w:rPr>
                <w:rFonts w:ascii="Bookman Old Style" w:hAnsi="Bookman Old Style" w:cs="Times New Roman"/>
                <w:iCs/>
                <w:sz w:val="20"/>
                <w:szCs w:val="20"/>
              </w:rPr>
              <w:lastRenderedPageBreak/>
              <w:t>Axe  3</w:t>
            </w:r>
            <w:r w:rsidR="001C7C05" w:rsidRPr="00CA196C">
              <w:rPr>
                <w:rFonts w:ascii="Bookman Old Style" w:hAnsi="Bookman Old Style" w:cs="Times New Roman"/>
                <w:iCs/>
                <w:sz w:val="20"/>
                <w:szCs w:val="20"/>
              </w:rPr>
              <w:t>. Développement des secteurs Minier, Industriel et Artisanal</w:t>
            </w: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sz w:val="20"/>
                <w:szCs w:val="20"/>
              </w:rPr>
            </w:pPr>
            <w:bookmarkStart w:id="198" w:name="_Toc511080905"/>
            <w:bookmarkStart w:id="199" w:name="_Toc511081581"/>
            <w:r w:rsidRPr="00CA196C">
              <w:rPr>
                <w:rFonts w:ascii="Bookman Old Style" w:hAnsi="Bookman Old Style" w:cs="Times New Roman"/>
                <w:b/>
                <w:sz w:val="20"/>
                <w:szCs w:val="20"/>
              </w:rPr>
              <w:t>Secteur Minier</w:t>
            </w:r>
            <w:bookmarkEnd w:id="198"/>
            <w:bookmarkEnd w:id="199"/>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sz w:val="20"/>
                <w:szCs w:val="20"/>
              </w:rPr>
            </w:pPr>
          </w:p>
        </w:tc>
        <w:tc>
          <w:tcPr>
            <w:tcW w:w="7513" w:type="dxa"/>
          </w:tcPr>
          <w:p w:rsidR="001C7C05" w:rsidRPr="00CA196C" w:rsidRDefault="000609B2"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bookmarkStart w:id="200" w:name="_Toc511080906"/>
            <w:bookmarkStart w:id="201" w:name="_Toc511081582"/>
            <w:r>
              <w:rPr>
                <w:rFonts w:ascii="Bookman Old Style" w:hAnsi="Bookman Old Style" w:cs="Times New Roman"/>
                <w:sz w:val="20"/>
                <w:szCs w:val="20"/>
              </w:rPr>
              <w:t>OS 1</w:t>
            </w:r>
            <w:r w:rsidR="001C7C05" w:rsidRPr="00CA196C">
              <w:rPr>
                <w:rFonts w:ascii="Bookman Old Style" w:hAnsi="Bookman Old Style" w:cs="Times New Roman"/>
                <w:sz w:val="20"/>
                <w:szCs w:val="20"/>
              </w:rPr>
              <w:t>: Promouvoir le secteur minier, carrier et pétrolier pour optimiser sa contribution à la  croissance et au développement socio-économique du  pays</w:t>
            </w:r>
            <w:bookmarkEnd w:id="200"/>
            <w:bookmarkEnd w:id="201"/>
          </w:p>
        </w:tc>
      </w:tr>
      <w:tr w:rsidR="001C7C05" w:rsidRPr="00CA196C"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202" w:name="_Toc511080907"/>
            <w:bookmarkStart w:id="203" w:name="_Toc511081583"/>
            <w:r w:rsidRPr="00CA196C">
              <w:rPr>
                <w:rFonts w:ascii="Bookman Old Style" w:hAnsi="Bookman Old Style" w:cs="Times New Roman"/>
                <w:sz w:val="20"/>
                <w:szCs w:val="20"/>
              </w:rPr>
              <w:t>OS 2 : Intégrer les questions environnementales dans le secteur minier</w:t>
            </w:r>
            <w:bookmarkEnd w:id="202"/>
            <w:bookmarkEnd w:id="203"/>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bookmarkStart w:id="204" w:name="_Toc511080908"/>
            <w:bookmarkStart w:id="205" w:name="_Toc511081584"/>
            <w:r w:rsidRPr="00CA196C">
              <w:rPr>
                <w:rFonts w:ascii="Bookman Old Style" w:hAnsi="Bookman Old Style" w:cs="Times New Roman"/>
                <w:b/>
                <w:sz w:val="20"/>
                <w:szCs w:val="20"/>
              </w:rPr>
              <w:t>Secteur industriel</w:t>
            </w:r>
            <w:bookmarkEnd w:id="204"/>
            <w:bookmarkEnd w:id="205"/>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0609B2" w:rsidP="008F4156">
            <w:pPr>
              <w:pStyle w:val="Default"/>
              <w:spacing w:before="160" w:after="12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sz w:val="20"/>
                <w:szCs w:val="20"/>
              </w:rPr>
            </w:pPr>
            <w:r>
              <w:rPr>
                <w:rFonts w:ascii="Bookman Old Style" w:hAnsi="Bookman Old Style"/>
                <w:color w:val="auto"/>
                <w:sz w:val="20"/>
                <w:szCs w:val="20"/>
              </w:rPr>
              <w:t>OS 1</w:t>
            </w:r>
            <w:r w:rsidR="001C7C05" w:rsidRPr="00CA196C">
              <w:rPr>
                <w:rFonts w:ascii="Bookman Old Style" w:hAnsi="Bookman Old Style"/>
                <w:color w:val="auto"/>
                <w:sz w:val="20"/>
                <w:szCs w:val="20"/>
              </w:rPr>
              <w:t>: Développer une industrie dynamique, diversifiée et compétitive au niveau régional et international</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bookmarkStart w:id="206" w:name="_Toc511080909"/>
            <w:bookmarkStart w:id="207" w:name="_Toc511081585"/>
            <w:r w:rsidRPr="00CA196C">
              <w:rPr>
                <w:rFonts w:ascii="Bookman Old Style" w:hAnsi="Bookman Old Style" w:cs="Times New Roman"/>
                <w:b/>
                <w:sz w:val="20"/>
                <w:szCs w:val="20"/>
              </w:rPr>
              <w:t>Secteur artisanal</w:t>
            </w:r>
            <w:bookmarkEnd w:id="206"/>
            <w:bookmarkEnd w:id="207"/>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475BAA">
            <w:pP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w:t>
            </w:r>
            <w:r w:rsidR="000609B2">
              <w:rPr>
                <w:rFonts w:ascii="Bookman Old Style" w:hAnsi="Bookman Old Style" w:cs="Times New Roman"/>
                <w:sz w:val="20"/>
                <w:szCs w:val="20"/>
              </w:rPr>
              <w:t>1</w:t>
            </w:r>
            <w:r w:rsidRPr="00CA196C">
              <w:rPr>
                <w:rFonts w:ascii="Bookman Old Style" w:hAnsi="Bookman Old Style" w:cs="Times New Roman"/>
                <w:sz w:val="20"/>
                <w:szCs w:val="20"/>
              </w:rPr>
              <w:t> : Améliorer et valoriser la contribution du secteur artisanal à la croissance économique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8F4156">
            <w:pPr>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b/>
                <w:sz w:val="20"/>
                <w:szCs w:val="20"/>
              </w:rPr>
              <w:t>Secteur</w:t>
            </w:r>
            <w:r w:rsidRPr="00CA196C">
              <w:rPr>
                <w:rFonts w:ascii="Bookman Old Style" w:hAnsi="Bookman Old Style" w:cs="Times New Roman"/>
                <w:sz w:val="20"/>
                <w:szCs w:val="20"/>
              </w:rPr>
              <w:t xml:space="preserve"> </w:t>
            </w:r>
            <w:r w:rsidRPr="00CA196C">
              <w:rPr>
                <w:rFonts w:ascii="Bookman Old Style" w:hAnsi="Bookman Old Style" w:cs="Times New Roman"/>
                <w:b/>
                <w:sz w:val="20"/>
                <w:szCs w:val="20"/>
              </w:rPr>
              <w:t>du commerce et climat des affaires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0609B2" w:rsidP="008F4156">
            <w:pPr>
              <w:pStyle w:val="Default"/>
              <w:spacing w:before="160" w:after="12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olor w:val="auto"/>
                <w:sz w:val="20"/>
                <w:szCs w:val="20"/>
              </w:rPr>
            </w:pPr>
            <w:r>
              <w:rPr>
                <w:rFonts w:ascii="Bookman Old Style" w:hAnsi="Bookman Old Style"/>
                <w:color w:val="auto"/>
                <w:sz w:val="20"/>
                <w:szCs w:val="20"/>
              </w:rPr>
              <w:t>OS 2</w:t>
            </w:r>
            <w:r w:rsidR="001C7C05" w:rsidRPr="00CA196C">
              <w:rPr>
                <w:rFonts w:ascii="Bookman Old Style" w:hAnsi="Bookman Old Style"/>
                <w:color w:val="auto"/>
                <w:sz w:val="20"/>
                <w:szCs w:val="20"/>
              </w:rPr>
              <w:t>: Redynamiser le secteur du commerce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0609B2" w:rsidP="008F4156">
            <w:pPr>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3</w:t>
            </w:r>
            <w:r w:rsidR="001C7C05" w:rsidRPr="00CA196C">
              <w:rPr>
                <w:rFonts w:ascii="Bookman Old Style" w:hAnsi="Bookman Old Style" w:cs="Times New Roman"/>
                <w:sz w:val="20"/>
                <w:szCs w:val="20"/>
              </w:rPr>
              <w:t>: Appuyer le secteur privé et public pour la promotion des exportations, la rationalisation des importations et la protection des consommateurs</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B81CF5" w:rsidP="008F4156">
            <w:pP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b/>
                <w:sz w:val="20"/>
                <w:szCs w:val="20"/>
              </w:rPr>
              <w:t>Secteur de la p</w:t>
            </w:r>
            <w:r w:rsidR="001C7C05" w:rsidRPr="00CA196C">
              <w:rPr>
                <w:rFonts w:ascii="Bookman Old Style" w:hAnsi="Bookman Old Style" w:cs="Times New Roman"/>
                <w:b/>
                <w:sz w:val="20"/>
                <w:szCs w:val="20"/>
              </w:rPr>
              <w:t>ro</w:t>
            </w:r>
            <w:r>
              <w:rPr>
                <w:rFonts w:ascii="Bookman Old Style" w:hAnsi="Bookman Old Style" w:cs="Times New Roman"/>
                <w:b/>
                <w:sz w:val="20"/>
                <w:szCs w:val="20"/>
              </w:rPr>
              <w:t>motion des investissements, culture et t</w:t>
            </w:r>
            <w:r w:rsidR="001C7C05" w:rsidRPr="00CA196C">
              <w:rPr>
                <w:rFonts w:ascii="Bookman Old Style" w:hAnsi="Bookman Old Style" w:cs="Times New Roman"/>
                <w:b/>
                <w:sz w:val="20"/>
                <w:szCs w:val="20"/>
              </w:rPr>
              <w:t>ourisme</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B81CF5" w:rsidP="008F4156">
            <w:pPr>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b/>
                <w:sz w:val="20"/>
                <w:szCs w:val="20"/>
              </w:rPr>
            </w:pPr>
            <w:r>
              <w:rPr>
                <w:rFonts w:ascii="Bookman Old Style" w:hAnsi="Bookman Old Style" w:cs="Times New Roman"/>
                <w:b/>
                <w:sz w:val="20"/>
                <w:szCs w:val="20"/>
              </w:rPr>
              <w:t>I</w:t>
            </w:r>
            <w:r w:rsidR="001C7C05" w:rsidRPr="00CA196C">
              <w:rPr>
                <w:rFonts w:ascii="Bookman Old Style" w:hAnsi="Bookman Old Style" w:cs="Times New Roman"/>
                <w:b/>
                <w:sz w:val="20"/>
                <w:szCs w:val="20"/>
              </w:rPr>
              <w:t>nvestissement</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0609B2" w:rsidP="008F4156">
            <w:pP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b/>
                <w:sz w:val="20"/>
                <w:szCs w:val="20"/>
              </w:rPr>
            </w:pPr>
            <w:r>
              <w:rPr>
                <w:rFonts w:ascii="Bookman Old Style" w:hAnsi="Bookman Old Style" w:cs="Times New Roman"/>
                <w:sz w:val="20"/>
                <w:szCs w:val="20"/>
              </w:rPr>
              <w:t>OS 1</w:t>
            </w:r>
            <w:r w:rsidR="001C7C05" w:rsidRPr="00CA196C">
              <w:rPr>
                <w:rFonts w:ascii="Bookman Old Style" w:hAnsi="Bookman Old Style" w:cs="Times New Roman"/>
                <w:sz w:val="20"/>
                <w:szCs w:val="20"/>
              </w:rPr>
              <w:t> : Renforcer les mécanismes d’attractivité des investisseurs  et  du PPP</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vAlign w:val="center"/>
          </w:tcPr>
          <w:p w:rsidR="001C7C05" w:rsidRPr="00CA196C" w:rsidRDefault="001C7C05" w:rsidP="008F415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sidRPr="00CA196C">
              <w:rPr>
                <w:rFonts w:ascii="Bookman Old Style" w:eastAsia="Times New Roman" w:hAnsi="Bookman Old Style" w:cs="Times New Roman"/>
                <w:b/>
                <w:bCs/>
                <w:color w:val="000000"/>
                <w:sz w:val="20"/>
                <w:szCs w:val="20"/>
                <w:lang w:eastAsia="fr-FR"/>
              </w:rPr>
              <w:t>Culture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vAlign w:val="center"/>
          </w:tcPr>
          <w:p w:rsidR="001C7C05" w:rsidRPr="00CA196C" w:rsidRDefault="000609B2" w:rsidP="008F4156">
            <w:pPr>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OS 2</w:t>
            </w:r>
            <w:r w:rsidR="001C7C05" w:rsidRPr="00CA196C">
              <w:rPr>
                <w:rFonts w:ascii="Bookman Old Style" w:eastAsia="Times New Roman" w:hAnsi="Bookman Old Style" w:cs="Times New Roman"/>
                <w:color w:val="000000"/>
                <w:sz w:val="20"/>
                <w:szCs w:val="20"/>
                <w:lang w:eastAsia="fr-FR"/>
              </w:rPr>
              <w:t> : Promouvoir et protéger le patrimoine culturel et naturel</w:t>
            </w:r>
          </w:p>
        </w:tc>
      </w:tr>
      <w:tr w:rsidR="001C7C05" w:rsidRPr="00CA196C" w:rsidTr="008F4156">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vAlign w:val="center"/>
          </w:tcPr>
          <w:p w:rsidR="001C7C05" w:rsidRPr="00CA196C" w:rsidRDefault="001C7C05" w:rsidP="008F415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sidRPr="00CA196C">
              <w:rPr>
                <w:rFonts w:ascii="Bookman Old Style" w:eastAsia="Times New Roman" w:hAnsi="Bookman Old Style" w:cs="Times New Roman"/>
                <w:b/>
                <w:bCs/>
                <w:color w:val="000000"/>
                <w:sz w:val="20"/>
                <w:szCs w:val="20"/>
                <w:lang w:eastAsia="fr-FR"/>
              </w:rPr>
              <w:t>Tourisme</w:t>
            </w:r>
          </w:p>
        </w:tc>
      </w:tr>
      <w:tr w:rsidR="001C7C05" w:rsidRPr="00CA196C" w:rsidTr="008F4156">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093" w:type="dxa"/>
            <w:vMerge/>
          </w:tcPr>
          <w:p w:rsidR="001C7C05" w:rsidRPr="00CA196C" w:rsidRDefault="001C7C05" w:rsidP="008F4156">
            <w:pPr>
              <w:autoSpaceDE w:val="0"/>
              <w:autoSpaceDN w:val="0"/>
              <w:adjustRightInd w:val="0"/>
              <w:jc w:val="both"/>
              <w:rPr>
                <w:rFonts w:ascii="Bookman Old Style" w:hAnsi="Bookman Old Style" w:cs="Times New Roman"/>
                <w:b w:val="0"/>
                <w:sz w:val="20"/>
                <w:szCs w:val="20"/>
              </w:rPr>
            </w:pPr>
          </w:p>
        </w:tc>
        <w:tc>
          <w:tcPr>
            <w:tcW w:w="7513" w:type="dxa"/>
          </w:tcPr>
          <w:p w:rsidR="001C7C05" w:rsidRPr="00CA196C" w:rsidRDefault="001C7C05" w:rsidP="00475BAA">
            <w:pPr>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w:t>
            </w:r>
            <w:r w:rsidR="000609B2">
              <w:rPr>
                <w:rFonts w:ascii="Bookman Old Style" w:hAnsi="Bookman Old Style" w:cs="Times New Roman"/>
                <w:sz w:val="20"/>
                <w:szCs w:val="20"/>
              </w:rPr>
              <w:t>3</w:t>
            </w:r>
            <w:r w:rsidRPr="00CA196C">
              <w:rPr>
                <w:rFonts w:ascii="Bookman Old Style" w:hAnsi="Bookman Old Style" w:cs="Times New Roman"/>
                <w:sz w:val="20"/>
                <w:szCs w:val="20"/>
              </w:rPr>
              <w:t xml:space="preserve">: Dynamiser l’Ecotourisme à partir de l’amélioration de l’offre et la stimulation de la demande des produits touristiques </w:t>
            </w:r>
          </w:p>
        </w:tc>
      </w:tr>
    </w:tbl>
    <w:p w:rsidR="001C7C05" w:rsidRPr="00CA196C" w:rsidRDefault="001C7C05" w:rsidP="001C7C05">
      <w:pPr>
        <w:autoSpaceDE w:val="0"/>
        <w:autoSpaceDN w:val="0"/>
        <w:adjustRightInd w:val="0"/>
        <w:spacing w:after="0" w:line="240" w:lineRule="auto"/>
        <w:jc w:val="both"/>
        <w:rPr>
          <w:rFonts w:ascii="Bookman Old Style" w:eastAsia="Times New Roman" w:hAnsi="Bookman Old Style" w:cs="Times New Roman"/>
          <w:sz w:val="24"/>
          <w:szCs w:val="24"/>
          <w:lang w:eastAsia="fr-FR"/>
        </w:rPr>
      </w:pPr>
    </w:p>
    <w:p w:rsidR="001C7C05" w:rsidRPr="00CA196C" w:rsidRDefault="001C7C05" w:rsidP="001C7C05">
      <w:pPr>
        <w:pStyle w:val="Titre3"/>
        <w:rPr>
          <w:rFonts w:ascii="Bookman Old Style" w:hAnsi="Bookman Old Style"/>
        </w:rPr>
      </w:pPr>
      <w:bookmarkStart w:id="208" w:name="_Toc511076187"/>
      <w:bookmarkStart w:id="209" w:name="_Toc511080910"/>
      <w:bookmarkStart w:id="210" w:name="_Toc511081389"/>
      <w:bookmarkStart w:id="211" w:name="_Toc511081586"/>
      <w:r>
        <w:rPr>
          <w:rFonts w:ascii="Bookman Old Style" w:hAnsi="Bookman Old Style"/>
        </w:rPr>
        <w:t>4.2</w:t>
      </w:r>
      <w:r w:rsidRPr="00CA196C">
        <w:rPr>
          <w:rFonts w:ascii="Bookman Old Style" w:hAnsi="Bookman Old Style"/>
        </w:rPr>
        <w:t xml:space="preserve">.2. Orientation stratégique </w:t>
      </w:r>
      <w:r w:rsidR="00B81CF5">
        <w:rPr>
          <w:rFonts w:ascii="Bookman Old Style" w:hAnsi="Bookman Old Style"/>
        </w:rPr>
        <w:t>2</w:t>
      </w:r>
      <w:r w:rsidRPr="00CA196C">
        <w:rPr>
          <w:rFonts w:ascii="Bookman Old Style" w:hAnsi="Bookman Old Style"/>
        </w:rPr>
        <w:t> : Développer le capital humain</w:t>
      </w:r>
      <w:bookmarkEnd w:id="208"/>
      <w:bookmarkEnd w:id="209"/>
      <w:bookmarkEnd w:id="210"/>
      <w:bookmarkEnd w:id="211"/>
      <w:r w:rsidRPr="00CA196C">
        <w:rPr>
          <w:rFonts w:ascii="Bookman Old Style" w:hAnsi="Bookman Old Style"/>
        </w:rPr>
        <w:tab/>
      </w:r>
    </w:p>
    <w:p w:rsidR="001C7C05" w:rsidRPr="00CA196C" w:rsidRDefault="001C7C05" w:rsidP="001C7C05">
      <w:pPr>
        <w:jc w:val="both"/>
        <w:outlineLvl w:val="1"/>
        <w:rPr>
          <w:rFonts w:ascii="Bookman Old Style" w:hAnsi="Bookman Old Style" w:cs="Times New Roman"/>
          <w:sz w:val="24"/>
          <w:szCs w:val="24"/>
        </w:rPr>
      </w:pPr>
    </w:p>
    <w:p w:rsidR="001C7C05" w:rsidRPr="00CA196C" w:rsidRDefault="001C7C05" w:rsidP="001C7C05">
      <w:pPr>
        <w:pStyle w:val="Paragraphedeliste"/>
        <w:numPr>
          <w:ilvl w:val="0"/>
          <w:numId w:val="5"/>
        </w:numPr>
        <w:jc w:val="both"/>
        <w:outlineLvl w:val="1"/>
        <w:rPr>
          <w:rFonts w:ascii="Bookman Old Style" w:hAnsi="Bookman Old Style" w:cs="Times New Roman"/>
          <w:b/>
          <w:i/>
          <w:sz w:val="24"/>
          <w:szCs w:val="24"/>
        </w:rPr>
      </w:pPr>
      <w:bookmarkStart w:id="212" w:name="_Toc511080911"/>
      <w:bookmarkStart w:id="213" w:name="_Toc511081587"/>
      <w:r w:rsidRPr="00CA196C">
        <w:rPr>
          <w:rFonts w:ascii="Bookman Old Style" w:hAnsi="Bookman Old Style" w:cs="Times New Roman"/>
          <w:sz w:val="24"/>
          <w:szCs w:val="24"/>
        </w:rPr>
        <w:t>Cette orientation stratégique porte sur les perspectives du Burundi pour produire un c</w:t>
      </w:r>
      <w:r w:rsidRPr="00CA196C">
        <w:rPr>
          <w:rFonts w:ascii="Bookman Old Style" w:hAnsi="Bookman Old Style" w:cs="Times New Roman"/>
          <w:iCs/>
          <w:sz w:val="24"/>
          <w:szCs w:val="24"/>
        </w:rPr>
        <w:t xml:space="preserve">apital humain adéquat et catalyseur du processus de développement. Ainsi, les actions du Gouvernement sont déclinées dans </w:t>
      </w:r>
      <w:r w:rsidR="0015166D">
        <w:rPr>
          <w:rFonts w:ascii="Bookman Old Style" w:hAnsi="Bookman Old Style" w:cs="Times New Roman"/>
          <w:iCs/>
          <w:sz w:val="24"/>
          <w:szCs w:val="24"/>
        </w:rPr>
        <w:t>cinq</w:t>
      </w:r>
      <w:r w:rsidRPr="00CA196C">
        <w:rPr>
          <w:rFonts w:ascii="Bookman Old Style" w:hAnsi="Bookman Old Style" w:cs="Times New Roman"/>
          <w:iCs/>
          <w:sz w:val="24"/>
          <w:szCs w:val="24"/>
        </w:rPr>
        <w:t xml:space="preserve"> axes d’interventions: </w:t>
      </w:r>
      <w:r w:rsidRPr="00012282">
        <w:rPr>
          <w:rFonts w:ascii="Bookman Old Style" w:hAnsi="Bookman Old Style" w:cs="Times New Roman"/>
          <w:i/>
          <w:sz w:val="24"/>
          <w:szCs w:val="24"/>
        </w:rPr>
        <w:t xml:space="preserve">Axe </w:t>
      </w:r>
      <w:r w:rsidR="00012282" w:rsidRPr="00012282">
        <w:rPr>
          <w:rFonts w:ascii="Bookman Old Style" w:hAnsi="Bookman Old Style" w:cs="Times New Roman"/>
          <w:i/>
          <w:sz w:val="24"/>
          <w:szCs w:val="24"/>
        </w:rPr>
        <w:t>4</w:t>
      </w:r>
      <w:r w:rsidRPr="00012282">
        <w:rPr>
          <w:rFonts w:ascii="Bookman Old Style" w:hAnsi="Bookman Old Style" w:cs="Times New Roman"/>
          <w:i/>
          <w:sz w:val="24"/>
          <w:szCs w:val="24"/>
        </w:rPr>
        <w:t>. Amélioration des performances et  de la collaboration dans le domaine de la Santé,</w:t>
      </w:r>
      <w:r w:rsidRPr="00012282">
        <w:rPr>
          <w:rFonts w:ascii="Bookman Old Style" w:hAnsi="Bookman Old Style" w:cs="Times New Roman"/>
          <w:i/>
          <w:iCs/>
          <w:sz w:val="24"/>
          <w:szCs w:val="24"/>
        </w:rPr>
        <w:t xml:space="preserve"> </w:t>
      </w:r>
      <w:r w:rsidRPr="00012282">
        <w:rPr>
          <w:rFonts w:ascii="Bookman Old Style" w:hAnsi="Bookman Old Style" w:cs="Times New Roman"/>
          <w:i/>
          <w:sz w:val="24"/>
          <w:szCs w:val="24"/>
        </w:rPr>
        <w:t xml:space="preserve"> Axe </w:t>
      </w:r>
      <w:r w:rsidR="00012282" w:rsidRPr="00012282">
        <w:rPr>
          <w:rFonts w:ascii="Bookman Old Style" w:hAnsi="Bookman Old Style" w:cs="Times New Roman"/>
          <w:i/>
          <w:sz w:val="24"/>
          <w:szCs w:val="24"/>
        </w:rPr>
        <w:t>5</w:t>
      </w:r>
      <w:r w:rsidRPr="00012282">
        <w:rPr>
          <w:rFonts w:ascii="Bookman Old Style" w:hAnsi="Bookman Old Style" w:cs="Times New Roman"/>
          <w:i/>
          <w:sz w:val="24"/>
          <w:szCs w:val="24"/>
        </w:rPr>
        <w:t xml:space="preserve">. Renforcement du système éducatif et amélioration de la qualité de l’éducation et de l’offre de formation ; Axe </w:t>
      </w:r>
      <w:r w:rsidR="00012282" w:rsidRPr="00012282">
        <w:rPr>
          <w:rFonts w:ascii="Bookman Old Style" w:hAnsi="Bookman Old Style" w:cs="Times New Roman"/>
          <w:i/>
          <w:sz w:val="24"/>
          <w:szCs w:val="24"/>
        </w:rPr>
        <w:t>6</w:t>
      </w:r>
      <w:r w:rsidRPr="00012282">
        <w:rPr>
          <w:rFonts w:ascii="Bookman Old Style" w:hAnsi="Bookman Old Style" w:cs="Times New Roman"/>
          <w:i/>
          <w:sz w:val="24"/>
          <w:szCs w:val="24"/>
        </w:rPr>
        <w:t xml:space="preserve">. Développement  du Secteur de la protection sociale et Axe </w:t>
      </w:r>
      <w:r w:rsidR="00012282" w:rsidRPr="00012282">
        <w:rPr>
          <w:rFonts w:ascii="Bookman Old Style" w:hAnsi="Bookman Old Style" w:cs="Times New Roman"/>
          <w:i/>
          <w:sz w:val="24"/>
          <w:szCs w:val="24"/>
        </w:rPr>
        <w:t>7</w:t>
      </w:r>
      <w:r w:rsidRPr="00012282">
        <w:rPr>
          <w:rFonts w:ascii="Bookman Old Style" w:hAnsi="Bookman Old Style" w:cs="Times New Roman"/>
          <w:i/>
          <w:sz w:val="24"/>
          <w:szCs w:val="24"/>
        </w:rPr>
        <w:t>. Emploi décent et j</w:t>
      </w:r>
      <w:r w:rsidRPr="00012282">
        <w:rPr>
          <w:rFonts w:ascii="Bookman Old Style" w:eastAsiaTheme="majorEastAsia" w:hAnsi="Bookman Old Style" w:cs="Times New Roman"/>
          <w:bCs/>
          <w:i/>
          <w:iCs/>
          <w:sz w:val="24"/>
          <w:szCs w:val="24"/>
        </w:rPr>
        <w:t xml:space="preserve">eunesse </w:t>
      </w:r>
      <w:r w:rsidRPr="00012282">
        <w:rPr>
          <w:rFonts w:ascii="Bookman Old Style" w:hAnsi="Bookman Old Style" w:cs="Times New Roman"/>
          <w:i/>
          <w:sz w:val="24"/>
          <w:szCs w:val="24"/>
        </w:rPr>
        <w:t xml:space="preserve">et Axe </w:t>
      </w:r>
      <w:r w:rsidR="00012282" w:rsidRPr="00012282">
        <w:rPr>
          <w:rFonts w:ascii="Bookman Old Style" w:hAnsi="Bookman Old Style" w:cs="Times New Roman"/>
          <w:i/>
          <w:sz w:val="24"/>
          <w:szCs w:val="24"/>
        </w:rPr>
        <w:t>8</w:t>
      </w:r>
      <w:r w:rsidRPr="00012282">
        <w:rPr>
          <w:rFonts w:ascii="Bookman Old Style" w:hAnsi="Bookman Old Style" w:cs="Times New Roman"/>
          <w:i/>
          <w:sz w:val="24"/>
          <w:szCs w:val="24"/>
        </w:rPr>
        <w:t xml:space="preserve">. </w:t>
      </w:r>
      <w:r w:rsidRPr="00012282">
        <w:rPr>
          <w:rFonts w:ascii="Bookman Old Style" w:eastAsiaTheme="majorEastAsia" w:hAnsi="Bookman Old Style" w:cs="Times New Roman"/>
          <w:bCs/>
          <w:i/>
          <w:iCs/>
          <w:sz w:val="24"/>
          <w:szCs w:val="24"/>
        </w:rPr>
        <w:t>Dividende démographique</w:t>
      </w:r>
      <w:r w:rsidRPr="00012282">
        <w:rPr>
          <w:rFonts w:ascii="Bookman Old Style" w:hAnsi="Bookman Old Style" w:cs="Times New Roman"/>
          <w:i/>
          <w:sz w:val="24"/>
          <w:szCs w:val="24"/>
        </w:rPr>
        <w:t>.</w:t>
      </w:r>
      <w:r w:rsidRPr="00CA196C">
        <w:rPr>
          <w:rFonts w:ascii="Bookman Old Style" w:hAnsi="Bookman Old Style" w:cs="Times New Roman"/>
          <w:sz w:val="24"/>
          <w:szCs w:val="24"/>
        </w:rPr>
        <w:t xml:space="preserve"> </w:t>
      </w:r>
      <w:r w:rsidRPr="00CA196C">
        <w:rPr>
          <w:rFonts w:ascii="Bookman Old Style" w:eastAsia="Times New Roman" w:hAnsi="Bookman Old Style" w:cs="Times New Roman"/>
          <w:bCs/>
          <w:sz w:val="24"/>
          <w:szCs w:val="24"/>
          <w:u w:color="000000"/>
          <w:bdr w:val="nil"/>
        </w:rPr>
        <w:t>Ainsi, l</w:t>
      </w:r>
      <w:r w:rsidRPr="00CA196C">
        <w:rPr>
          <w:rFonts w:ascii="Bookman Old Style" w:hAnsi="Bookman Old Style" w:cs="Times New Roman"/>
          <w:sz w:val="24"/>
          <w:szCs w:val="24"/>
        </w:rPr>
        <w:t xml:space="preserve">es efforts/actions du Gouvernement du Burundi sur la décennie </w:t>
      </w:r>
      <w:r w:rsidRPr="00CA196C">
        <w:rPr>
          <w:rFonts w:ascii="Bookman Old Style" w:eastAsia="Times New Roman" w:hAnsi="Bookman Old Style" w:cs="Times New Roman"/>
          <w:bCs/>
          <w:sz w:val="24"/>
          <w:szCs w:val="24"/>
          <w:u w:color="000000"/>
          <w:bdr w:val="nil"/>
        </w:rPr>
        <w:t xml:space="preserve">2018-2027 </w:t>
      </w:r>
      <w:r w:rsidRPr="00CA196C">
        <w:rPr>
          <w:rFonts w:ascii="Bookman Old Style" w:hAnsi="Bookman Old Style" w:cs="Times New Roman"/>
          <w:sz w:val="24"/>
          <w:szCs w:val="24"/>
        </w:rPr>
        <w:t xml:space="preserve">seront orientés vers la réalisation de réformes et de mesures visant </w:t>
      </w:r>
      <w:r w:rsidRPr="00CA196C">
        <w:rPr>
          <w:rFonts w:ascii="Bookman Old Style" w:hAnsi="Bookman Old Style" w:cs="Times New Roman"/>
          <w:sz w:val="24"/>
          <w:szCs w:val="24"/>
        </w:rPr>
        <w:lastRenderedPageBreak/>
        <w:t xml:space="preserve">l’atteinte de  6 objectifs </w:t>
      </w:r>
      <w:r w:rsidRPr="00CA196C">
        <w:rPr>
          <w:rFonts w:ascii="Bookman Old Style" w:eastAsia="Times New Roman" w:hAnsi="Bookman Old Style" w:cs="Times New Roman"/>
          <w:bCs/>
          <w:sz w:val="24"/>
          <w:szCs w:val="24"/>
          <w:u w:color="000000"/>
          <w:bdr w:val="nil"/>
        </w:rPr>
        <w:t>relatifs à toutes les dimensions du capital humain.</w:t>
      </w:r>
      <w:bookmarkEnd w:id="212"/>
      <w:bookmarkEnd w:id="213"/>
    </w:p>
    <w:p w:rsidR="001C7C05" w:rsidRPr="00CA196C" w:rsidRDefault="001C7C05" w:rsidP="001C7C05">
      <w:pPr>
        <w:jc w:val="both"/>
        <w:outlineLvl w:val="1"/>
        <w:rPr>
          <w:rFonts w:ascii="Bookman Old Style" w:hAnsi="Bookman Old Style" w:cs="Times New Roman"/>
          <w:b/>
          <w:i/>
          <w:sz w:val="24"/>
          <w:szCs w:val="24"/>
        </w:rPr>
      </w:pPr>
    </w:p>
    <w:p w:rsidR="001C7C05" w:rsidRPr="00CA196C" w:rsidRDefault="001C7C05" w:rsidP="001C7C05">
      <w:pPr>
        <w:pStyle w:val="Titre"/>
        <w:rPr>
          <w:rFonts w:ascii="Bookman Old Style" w:hAnsi="Bookman Old Style"/>
        </w:rPr>
      </w:pPr>
      <w:bookmarkStart w:id="214" w:name="_Toc511076248"/>
      <w:bookmarkStart w:id="215" w:name="_Toc511080912"/>
      <w:bookmarkStart w:id="216" w:name="_Toc511081588"/>
      <w:r w:rsidRPr="00CA196C">
        <w:rPr>
          <w:rFonts w:ascii="Bookman Old Style" w:hAnsi="Bookman Old Style"/>
        </w:rPr>
        <w:t xml:space="preserve">Tableau </w:t>
      </w:r>
      <w:r w:rsidR="008F4156">
        <w:rPr>
          <w:rFonts w:ascii="Bookman Old Style" w:hAnsi="Bookman Old Style"/>
        </w:rPr>
        <w:t>9.</w:t>
      </w:r>
      <w:r w:rsidRPr="00CA196C">
        <w:rPr>
          <w:rFonts w:ascii="Bookman Old Style" w:hAnsi="Bookman Old Style"/>
        </w:rPr>
        <w:t xml:space="preserve"> </w:t>
      </w:r>
      <w:r w:rsidR="008D4BD6" w:rsidRPr="008D4BD6">
        <w:rPr>
          <w:rFonts w:ascii="Bookman Old Style" w:hAnsi="Bookman Old Style"/>
        </w:rPr>
        <w:t xml:space="preserve">Axes d’intervention et objectifs  pour </w:t>
      </w:r>
      <w:r w:rsidRPr="00CA196C">
        <w:rPr>
          <w:rFonts w:ascii="Bookman Old Style" w:hAnsi="Bookman Old Style"/>
        </w:rPr>
        <w:t xml:space="preserve">l’orientation </w:t>
      </w:r>
      <w:r w:rsidR="008D4BD6">
        <w:rPr>
          <w:rFonts w:ascii="Bookman Old Style" w:hAnsi="Bookman Old Style"/>
        </w:rPr>
        <w:t xml:space="preserve"> </w:t>
      </w:r>
      <w:r w:rsidRPr="00CA196C">
        <w:rPr>
          <w:rFonts w:ascii="Bookman Old Style" w:hAnsi="Bookman Old Style"/>
        </w:rPr>
        <w:t>stratégique n°</w:t>
      </w:r>
      <w:r w:rsidR="00012282">
        <w:rPr>
          <w:rFonts w:ascii="Bookman Old Style" w:hAnsi="Bookman Old Style"/>
        </w:rPr>
        <w:t>2</w:t>
      </w:r>
      <w:r w:rsidRPr="00CA196C">
        <w:rPr>
          <w:rFonts w:ascii="Bookman Old Style" w:hAnsi="Bookman Old Style"/>
        </w:rPr>
        <w:t xml:space="preserve">  du PND BURUNDI 2018-2027</w:t>
      </w:r>
      <w:bookmarkEnd w:id="214"/>
      <w:bookmarkEnd w:id="215"/>
      <w:bookmarkEnd w:id="216"/>
    </w:p>
    <w:p w:rsidR="001C7C05" w:rsidRPr="00CA196C" w:rsidRDefault="001C7C05" w:rsidP="001C7C05">
      <w:pPr>
        <w:autoSpaceDE w:val="0"/>
        <w:autoSpaceDN w:val="0"/>
        <w:adjustRightInd w:val="0"/>
        <w:spacing w:after="0" w:line="240" w:lineRule="auto"/>
        <w:jc w:val="both"/>
        <w:rPr>
          <w:rFonts w:ascii="Bookman Old Style" w:hAnsi="Bookman Old Style" w:cs="Times New Roman"/>
          <w:b/>
          <w:sz w:val="24"/>
          <w:szCs w:val="24"/>
        </w:rPr>
      </w:pPr>
    </w:p>
    <w:tbl>
      <w:tblPr>
        <w:tblStyle w:val="Grilleclaire-Accent5"/>
        <w:tblW w:w="9630" w:type="dxa"/>
        <w:tblLook w:val="04A0" w:firstRow="1" w:lastRow="0" w:firstColumn="1" w:lastColumn="0" w:noHBand="0" w:noVBand="1"/>
      </w:tblPr>
      <w:tblGrid>
        <w:gridCol w:w="3374"/>
        <w:gridCol w:w="6256"/>
      </w:tblGrid>
      <w:tr w:rsidR="001C7C05" w:rsidRPr="00801AF6" w:rsidTr="008F4156">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1C7C05" w:rsidP="008F4156">
            <w:pPr>
              <w:autoSpaceDE w:val="0"/>
              <w:autoSpaceDN w:val="0"/>
              <w:adjustRightInd w:val="0"/>
              <w:jc w:val="both"/>
              <w:rPr>
                <w:rFonts w:ascii="Bookman Old Style" w:hAnsi="Bookman Old Style" w:cs="Times New Roman"/>
                <w:sz w:val="20"/>
                <w:szCs w:val="20"/>
              </w:rPr>
            </w:pPr>
            <w:r w:rsidRPr="00801AF6">
              <w:rPr>
                <w:rFonts w:ascii="Bookman Old Style" w:hAnsi="Bookman Old Style" w:cs="Times New Roman"/>
                <w:sz w:val="20"/>
                <w:szCs w:val="20"/>
              </w:rPr>
              <w:t>Axes d’intervention</w:t>
            </w:r>
          </w:p>
        </w:tc>
        <w:tc>
          <w:tcPr>
            <w:tcW w:w="6256" w:type="dxa"/>
          </w:tcPr>
          <w:p w:rsidR="001C7C05" w:rsidRPr="00801AF6" w:rsidRDefault="001C7C05" w:rsidP="008F415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0"/>
                <w:szCs w:val="20"/>
              </w:rPr>
            </w:pPr>
            <w:r w:rsidRPr="00801AF6">
              <w:rPr>
                <w:rFonts w:ascii="Bookman Old Style" w:hAnsi="Bookman Old Style" w:cs="Times New Roman"/>
                <w:sz w:val="20"/>
                <w:szCs w:val="20"/>
              </w:rPr>
              <w:t>Objectifs stratégiques</w:t>
            </w:r>
          </w:p>
        </w:tc>
      </w:tr>
      <w:tr w:rsidR="001C7C05" w:rsidRPr="00801AF6" w:rsidTr="008F4156">
        <w:trPr>
          <w:cnfStyle w:val="000000100000" w:firstRow="0" w:lastRow="0" w:firstColumn="0" w:lastColumn="0" w:oddVBand="0" w:evenVBand="0" w:oddHBand="1" w:evenHBand="0" w:firstRowFirstColumn="0" w:firstRowLastColumn="0" w:lastRowFirstColumn="0" w:lastRowLastColumn="0"/>
          <w:trHeight w:val="1068"/>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ind w:left="426" w:hanging="426"/>
              <w:jc w:val="both"/>
              <w:outlineLvl w:val="1"/>
              <w:rPr>
                <w:rFonts w:ascii="Bookman Old Style" w:hAnsi="Bookman Old Style" w:cs="Times New Roman"/>
                <w:bCs w:val="0"/>
                <w:iCs/>
                <w:sz w:val="20"/>
                <w:szCs w:val="20"/>
              </w:rPr>
            </w:pPr>
            <w:bookmarkStart w:id="217" w:name="_Toc511080913"/>
            <w:bookmarkStart w:id="218" w:name="_Toc511081589"/>
            <w:r w:rsidRPr="00801AF6">
              <w:rPr>
                <w:rFonts w:ascii="Bookman Old Style" w:hAnsi="Bookman Old Style" w:cs="Times New Roman"/>
                <w:bCs w:val="0"/>
                <w:iCs/>
                <w:sz w:val="20"/>
                <w:szCs w:val="20"/>
              </w:rPr>
              <w:t>Axe 4</w:t>
            </w:r>
            <w:r w:rsidR="001C7C05" w:rsidRPr="00801AF6">
              <w:rPr>
                <w:rFonts w:ascii="Bookman Old Style" w:hAnsi="Bookman Old Style" w:cs="Times New Roman"/>
                <w:bCs w:val="0"/>
                <w:iCs/>
                <w:sz w:val="20"/>
                <w:szCs w:val="20"/>
              </w:rPr>
              <w:t xml:space="preserve">. Amélioration des performances et de la collaboration dans le domaine </w:t>
            </w:r>
            <w:r w:rsidR="0015166D" w:rsidRPr="00801AF6">
              <w:rPr>
                <w:rFonts w:ascii="Bookman Old Style" w:hAnsi="Bookman Old Style" w:cs="Times New Roman"/>
                <w:bCs w:val="0"/>
                <w:iCs/>
                <w:sz w:val="20"/>
                <w:szCs w:val="20"/>
              </w:rPr>
              <w:t>de la s</w:t>
            </w:r>
            <w:r w:rsidR="001C7C05" w:rsidRPr="00801AF6">
              <w:rPr>
                <w:rFonts w:ascii="Bookman Old Style" w:hAnsi="Bookman Old Style" w:cs="Times New Roman"/>
                <w:bCs w:val="0"/>
                <w:iCs/>
                <w:sz w:val="20"/>
                <w:szCs w:val="20"/>
              </w:rPr>
              <w:t>anté</w:t>
            </w:r>
            <w:bookmarkEnd w:id="217"/>
            <w:bookmarkEnd w:id="218"/>
          </w:p>
        </w:tc>
        <w:tc>
          <w:tcPr>
            <w:tcW w:w="6256" w:type="dxa"/>
          </w:tcPr>
          <w:p w:rsidR="001C7C05" w:rsidRPr="00801AF6" w:rsidRDefault="000609B2"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219" w:name="_Toc511080914"/>
            <w:bookmarkStart w:id="220" w:name="_Toc511081590"/>
            <w:r>
              <w:rPr>
                <w:rFonts w:ascii="Bookman Old Style" w:hAnsi="Bookman Old Style" w:cs="Times New Roman"/>
                <w:sz w:val="20"/>
                <w:szCs w:val="20"/>
              </w:rPr>
              <w:t>OS 1</w:t>
            </w:r>
            <w:r w:rsidR="0015166D" w:rsidRPr="00801AF6">
              <w:rPr>
                <w:rFonts w:ascii="Bookman Old Style" w:hAnsi="Bookman Old Style" w:cs="Times New Roman"/>
                <w:sz w:val="20"/>
                <w:szCs w:val="20"/>
              </w:rPr>
              <w:t> : Améliorer l’a</w:t>
            </w:r>
            <w:r w:rsidR="001C7C05" w:rsidRPr="00801AF6">
              <w:rPr>
                <w:rFonts w:ascii="Bookman Old Style" w:hAnsi="Bookman Old Style" w:cs="Times New Roman"/>
                <w:sz w:val="20"/>
                <w:szCs w:val="20"/>
              </w:rPr>
              <w:t>ccès aux soins et le niveau de santé de la population à travers un    système de santé performant, fort et résilient</w:t>
            </w:r>
            <w:bookmarkEnd w:id="219"/>
            <w:bookmarkEnd w:id="220"/>
            <w:r w:rsidR="001C7C05" w:rsidRPr="00801AF6">
              <w:rPr>
                <w:rFonts w:ascii="Bookman Old Style" w:hAnsi="Bookman Old Style" w:cs="Times New Roman"/>
                <w:sz w:val="20"/>
                <w:szCs w:val="20"/>
              </w:rPr>
              <w:t xml:space="preserve">  </w:t>
            </w:r>
          </w:p>
          <w:p w:rsidR="001C7C05" w:rsidRPr="00801AF6" w:rsidRDefault="001C7C05" w:rsidP="008F415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p>
        </w:tc>
      </w:tr>
      <w:tr w:rsidR="001C7C05" w:rsidRPr="00801AF6" w:rsidTr="008F4156">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autoSpaceDE w:val="0"/>
              <w:autoSpaceDN w:val="0"/>
              <w:adjustRightInd w:val="0"/>
              <w:jc w:val="both"/>
              <w:rPr>
                <w:rFonts w:ascii="Bookman Old Style" w:hAnsi="Bookman Old Style" w:cs="Times New Roman"/>
                <w:sz w:val="20"/>
                <w:szCs w:val="20"/>
              </w:rPr>
            </w:pPr>
            <w:r w:rsidRPr="00801AF6">
              <w:rPr>
                <w:rFonts w:ascii="Bookman Old Style" w:hAnsi="Bookman Old Style" w:cs="Times New Roman"/>
                <w:bCs w:val="0"/>
                <w:iCs/>
                <w:sz w:val="20"/>
                <w:szCs w:val="20"/>
              </w:rPr>
              <w:t>Axe 5</w:t>
            </w:r>
            <w:r w:rsidR="001C7C05" w:rsidRPr="00801AF6">
              <w:rPr>
                <w:rFonts w:ascii="Bookman Old Style" w:hAnsi="Bookman Old Style" w:cs="Times New Roman"/>
                <w:bCs w:val="0"/>
                <w:iCs/>
                <w:sz w:val="20"/>
                <w:szCs w:val="20"/>
              </w:rPr>
              <w:t>. Renforcement du système éducatif et amélioration de l’offre de formation</w:t>
            </w:r>
          </w:p>
        </w:tc>
        <w:tc>
          <w:tcPr>
            <w:tcW w:w="6256" w:type="dxa"/>
          </w:tcPr>
          <w:p w:rsidR="001C7C05" w:rsidRPr="00801AF6" w:rsidRDefault="001C7C05" w:rsidP="008F4156">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bookmarkStart w:id="221" w:name="_Toc511080915"/>
            <w:bookmarkStart w:id="222" w:name="_Toc511081591"/>
            <w:r w:rsidRPr="00801AF6">
              <w:rPr>
                <w:rFonts w:ascii="Bookman Old Style" w:hAnsi="Bookman Old Style" w:cs="Times New Roman"/>
                <w:sz w:val="20"/>
                <w:szCs w:val="20"/>
              </w:rPr>
              <w:t xml:space="preserve">OS </w:t>
            </w:r>
            <w:r w:rsidR="000609B2">
              <w:rPr>
                <w:rFonts w:ascii="Bookman Old Style" w:hAnsi="Bookman Old Style" w:cs="Times New Roman"/>
                <w:sz w:val="20"/>
                <w:szCs w:val="20"/>
              </w:rPr>
              <w:t>1</w:t>
            </w:r>
            <w:r w:rsidRPr="00801AF6">
              <w:rPr>
                <w:rFonts w:ascii="Bookman Old Style" w:hAnsi="Bookman Old Style" w:cs="Times New Roman"/>
                <w:sz w:val="20"/>
                <w:szCs w:val="20"/>
              </w:rPr>
              <w:t> : Développer un système éducatif performant, conforme aux besoins nationaux et aux normes internationales</w:t>
            </w:r>
            <w:bookmarkEnd w:id="221"/>
            <w:bookmarkEnd w:id="222"/>
          </w:p>
          <w:p w:rsidR="001C7C05" w:rsidRPr="00801AF6" w:rsidRDefault="001C7C05" w:rsidP="008F4156">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p>
        </w:tc>
      </w:tr>
      <w:tr w:rsidR="001C7C05" w:rsidRPr="00801AF6" w:rsidTr="008F4156">
        <w:trPr>
          <w:cnfStyle w:val="000000100000" w:firstRow="0" w:lastRow="0" w:firstColumn="0" w:lastColumn="0" w:oddVBand="0" w:evenVBand="0" w:oddHBand="1" w:evenHBand="0" w:firstRowFirstColumn="0" w:firstRowLastColumn="0" w:lastRowFirstColumn="0" w:lastRowLastColumn="0"/>
          <w:trHeight w:val="1352"/>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autoSpaceDE w:val="0"/>
              <w:autoSpaceDN w:val="0"/>
              <w:adjustRightInd w:val="0"/>
              <w:jc w:val="both"/>
              <w:rPr>
                <w:rFonts w:ascii="Bookman Old Style" w:hAnsi="Bookman Old Style" w:cs="Times New Roman"/>
                <w:sz w:val="20"/>
                <w:szCs w:val="20"/>
              </w:rPr>
            </w:pPr>
            <w:r w:rsidRPr="00801AF6">
              <w:rPr>
                <w:rFonts w:ascii="Bookman Old Style" w:hAnsi="Bookman Old Style" w:cs="Times New Roman"/>
                <w:bCs w:val="0"/>
                <w:iCs/>
                <w:sz w:val="20"/>
                <w:szCs w:val="20"/>
              </w:rPr>
              <w:t>Axe 6</w:t>
            </w:r>
            <w:r w:rsidR="001C7C05" w:rsidRPr="00801AF6">
              <w:rPr>
                <w:rFonts w:ascii="Bookman Old Style" w:hAnsi="Bookman Old Style" w:cs="Times New Roman"/>
                <w:bCs w:val="0"/>
                <w:iCs/>
                <w:sz w:val="20"/>
                <w:szCs w:val="20"/>
              </w:rPr>
              <w:t>. Développement du secteur de la protection sociale</w:t>
            </w:r>
          </w:p>
        </w:tc>
        <w:tc>
          <w:tcPr>
            <w:tcW w:w="6256" w:type="dxa"/>
          </w:tcPr>
          <w:p w:rsidR="001C7C05" w:rsidRPr="00801AF6" w:rsidRDefault="001C7C05" w:rsidP="008F4156">
            <w:pPr>
              <w:ind w:left="426" w:hanging="426"/>
              <w:jc w:val="both"/>
              <w:outlineLvl w:val="1"/>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bookmarkStart w:id="223" w:name="_Toc511080916"/>
            <w:bookmarkStart w:id="224" w:name="_Toc511081592"/>
            <w:r w:rsidRPr="00801AF6">
              <w:rPr>
                <w:rFonts w:ascii="Bookman Old Style" w:hAnsi="Bookman Old Style" w:cs="Times New Roman"/>
                <w:sz w:val="20"/>
                <w:szCs w:val="20"/>
              </w:rPr>
              <w:t xml:space="preserve">OS </w:t>
            </w:r>
            <w:r w:rsidR="000609B2">
              <w:rPr>
                <w:rFonts w:ascii="Bookman Old Style" w:hAnsi="Bookman Old Style" w:cs="Times New Roman"/>
                <w:sz w:val="20"/>
                <w:szCs w:val="20"/>
              </w:rPr>
              <w:t>1</w:t>
            </w:r>
            <w:r w:rsidRPr="00801AF6">
              <w:rPr>
                <w:rFonts w:ascii="Bookman Old Style" w:hAnsi="Bookman Old Style" w:cs="Times New Roman"/>
                <w:sz w:val="20"/>
                <w:szCs w:val="20"/>
              </w:rPr>
              <w:t>: Améliorer les conditions de vie socio-économique des personnes vulnérables et des sinistrés dans le cadre de la résilience communautaire renforcée</w:t>
            </w:r>
            <w:bookmarkEnd w:id="223"/>
            <w:bookmarkEnd w:id="224"/>
          </w:p>
          <w:p w:rsidR="001C7C05" w:rsidRPr="00801AF6" w:rsidRDefault="001C7C05" w:rsidP="008F4156">
            <w:pPr>
              <w:tabs>
                <w:tab w:val="left" w:pos="1365"/>
              </w:tab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p>
        </w:tc>
      </w:tr>
      <w:tr w:rsidR="001C7C05" w:rsidRPr="00801AF6" w:rsidTr="008F4156">
        <w:trPr>
          <w:cnfStyle w:val="000000010000" w:firstRow="0" w:lastRow="0" w:firstColumn="0" w:lastColumn="0" w:oddVBand="0" w:evenVBand="0" w:oddHBand="0" w:evenHBand="1"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autoSpaceDE w:val="0"/>
              <w:autoSpaceDN w:val="0"/>
              <w:adjustRightInd w:val="0"/>
              <w:jc w:val="both"/>
              <w:rPr>
                <w:rFonts w:ascii="Bookman Old Style" w:eastAsia="Times New Roman" w:hAnsi="Bookman Old Style" w:cs="Times New Roman"/>
                <w:b w:val="0"/>
                <w:bCs w:val="0"/>
                <w:color w:val="000000"/>
                <w:sz w:val="20"/>
                <w:szCs w:val="20"/>
                <w:lang w:eastAsia="fr-FR"/>
              </w:rPr>
            </w:pPr>
            <w:r w:rsidRPr="00801AF6">
              <w:rPr>
                <w:rFonts w:ascii="Bookman Old Style" w:hAnsi="Bookman Old Style" w:cs="Times New Roman"/>
                <w:bCs w:val="0"/>
                <w:iCs/>
                <w:sz w:val="20"/>
                <w:szCs w:val="20"/>
              </w:rPr>
              <w:t>Axe 7</w:t>
            </w:r>
            <w:r w:rsidR="001C7C05" w:rsidRPr="00801AF6">
              <w:rPr>
                <w:rFonts w:ascii="Bookman Old Style" w:hAnsi="Bookman Old Style" w:cs="Times New Roman"/>
                <w:bCs w:val="0"/>
                <w:iCs/>
                <w:sz w:val="20"/>
                <w:szCs w:val="20"/>
              </w:rPr>
              <w:t>. Emploi décent et jeunesse</w:t>
            </w:r>
          </w:p>
        </w:tc>
        <w:tc>
          <w:tcPr>
            <w:tcW w:w="6256" w:type="dxa"/>
          </w:tcPr>
          <w:p w:rsidR="001C7C05" w:rsidRPr="00801AF6" w:rsidRDefault="001C7C05" w:rsidP="00475BAA">
            <w:pPr>
              <w:ind w:left="426" w:hanging="426"/>
              <w:jc w:val="both"/>
              <w:outlineLvl w:val="1"/>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bookmarkStart w:id="225" w:name="_Toc511080917"/>
            <w:bookmarkStart w:id="226" w:name="_Toc511081593"/>
            <w:r w:rsidRPr="00801AF6">
              <w:rPr>
                <w:rFonts w:ascii="Bookman Old Style" w:hAnsi="Bookman Old Style" w:cs="Times New Roman"/>
                <w:sz w:val="20"/>
                <w:szCs w:val="20"/>
              </w:rPr>
              <w:t xml:space="preserve">OS </w:t>
            </w:r>
            <w:r w:rsidR="000609B2">
              <w:rPr>
                <w:rFonts w:ascii="Bookman Old Style" w:hAnsi="Bookman Old Style" w:cs="Times New Roman"/>
                <w:sz w:val="20"/>
                <w:szCs w:val="20"/>
              </w:rPr>
              <w:t>1</w:t>
            </w:r>
            <w:r w:rsidRPr="00801AF6">
              <w:rPr>
                <w:rFonts w:ascii="Bookman Old Style" w:hAnsi="Bookman Old Style" w:cs="Times New Roman"/>
                <w:sz w:val="20"/>
                <w:szCs w:val="20"/>
              </w:rPr>
              <w:t> : Placer l’emploi au cœur des politiques macroéconomiques et sectorielles pour influer sur la demande de l’emploi.</w:t>
            </w:r>
            <w:bookmarkEnd w:id="225"/>
            <w:bookmarkEnd w:id="226"/>
            <w:r w:rsidRPr="00801AF6">
              <w:rPr>
                <w:rFonts w:ascii="Bookman Old Style" w:eastAsia="Times New Roman" w:hAnsi="Bookman Old Style" w:cs="Times New Roman"/>
                <w:color w:val="000000"/>
                <w:sz w:val="20"/>
                <w:szCs w:val="20"/>
                <w:lang w:eastAsia="fr-FR"/>
              </w:rPr>
              <w:t xml:space="preserve"> </w:t>
            </w:r>
          </w:p>
        </w:tc>
      </w:tr>
      <w:tr w:rsidR="001C7C05" w:rsidRPr="00801AF6" w:rsidTr="008F415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374" w:type="dxa"/>
            <w:vAlign w:val="center"/>
          </w:tcPr>
          <w:p w:rsidR="001C7C05" w:rsidRPr="00801AF6" w:rsidRDefault="001C7C05" w:rsidP="008F4156">
            <w:pPr>
              <w:jc w:val="both"/>
              <w:rPr>
                <w:rFonts w:ascii="Bookman Old Style" w:eastAsia="Times New Roman" w:hAnsi="Bookman Old Style" w:cs="Times New Roman"/>
                <w:b w:val="0"/>
                <w:bCs w:val="0"/>
                <w:color w:val="000000"/>
                <w:sz w:val="20"/>
                <w:szCs w:val="20"/>
                <w:lang w:eastAsia="fr-FR"/>
              </w:rPr>
            </w:pPr>
          </w:p>
        </w:tc>
        <w:tc>
          <w:tcPr>
            <w:tcW w:w="6256" w:type="dxa"/>
            <w:vAlign w:val="center"/>
          </w:tcPr>
          <w:p w:rsidR="001C7C05" w:rsidRPr="00801AF6" w:rsidRDefault="000609B2" w:rsidP="008F4156">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Pr>
                <w:rFonts w:ascii="Bookman Old Style" w:hAnsi="Bookman Old Style" w:cs="Times New Roman"/>
                <w:sz w:val="20"/>
                <w:szCs w:val="20"/>
              </w:rPr>
              <w:t>OS 2</w:t>
            </w:r>
            <w:r w:rsidR="001C7C05" w:rsidRPr="00801AF6">
              <w:rPr>
                <w:rFonts w:ascii="Bookman Old Style" w:hAnsi="Bookman Old Style" w:cs="Times New Roman"/>
                <w:sz w:val="20"/>
                <w:szCs w:val="20"/>
              </w:rPr>
              <w:t> : Promouvoir le sport professionnel et de compétition</w:t>
            </w:r>
          </w:p>
        </w:tc>
      </w:tr>
      <w:tr w:rsidR="001C7C05" w:rsidRPr="00801AF6" w:rsidTr="008F4156">
        <w:trPr>
          <w:cnfStyle w:val="000000010000" w:firstRow="0" w:lastRow="0" w:firstColumn="0" w:lastColumn="0" w:oddVBand="0" w:evenVBand="0" w:oddHBand="0" w:evenHBand="1"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3374" w:type="dxa"/>
          </w:tcPr>
          <w:p w:rsidR="001C7C05" w:rsidRPr="00801AF6" w:rsidRDefault="00012282" w:rsidP="008F4156">
            <w:pPr>
              <w:autoSpaceDE w:val="0"/>
              <w:autoSpaceDN w:val="0"/>
              <w:adjustRightInd w:val="0"/>
              <w:jc w:val="both"/>
              <w:rPr>
                <w:rFonts w:ascii="Bookman Old Style" w:eastAsia="Times New Roman" w:hAnsi="Bookman Old Style" w:cs="Times New Roman"/>
                <w:b w:val="0"/>
                <w:bCs w:val="0"/>
                <w:color w:val="000000"/>
                <w:sz w:val="20"/>
                <w:szCs w:val="20"/>
                <w:lang w:eastAsia="fr-FR"/>
              </w:rPr>
            </w:pPr>
            <w:r w:rsidRPr="00801AF6">
              <w:rPr>
                <w:rFonts w:ascii="Bookman Old Style" w:hAnsi="Bookman Old Style" w:cs="Times New Roman"/>
                <w:bCs w:val="0"/>
                <w:iCs/>
                <w:sz w:val="20"/>
                <w:szCs w:val="20"/>
              </w:rPr>
              <w:t>Axe 8</w:t>
            </w:r>
            <w:r w:rsidR="001C7C05" w:rsidRPr="00801AF6">
              <w:rPr>
                <w:rFonts w:ascii="Bookman Old Style" w:hAnsi="Bookman Old Style" w:cs="Times New Roman"/>
                <w:bCs w:val="0"/>
                <w:iCs/>
                <w:sz w:val="20"/>
                <w:szCs w:val="20"/>
              </w:rPr>
              <w:t>. Dividende démographique</w:t>
            </w:r>
          </w:p>
        </w:tc>
        <w:tc>
          <w:tcPr>
            <w:tcW w:w="6256" w:type="dxa"/>
          </w:tcPr>
          <w:p w:rsidR="001C7C05" w:rsidRPr="00801AF6" w:rsidRDefault="000609B2" w:rsidP="008F4156">
            <w:pPr>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Pr>
                <w:rFonts w:ascii="Bookman Old Style" w:hAnsi="Bookman Old Style" w:cs="Times New Roman"/>
                <w:sz w:val="20"/>
                <w:szCs w:val="20"/>
              </w:rPr>
              <w:t>OS 1</w:t>
            </w:r>
            <w:r w:rsidR="001C7C05" w:rsidRPr="00801AF6">
              <w:rPr>
                <w:rFonts w:ascii="Bookman Old Style" w:hAnsi="Bookman Old Style" w:cs="Times New Roman"/>
                <w:sz w:val="20"/>
                <w:szCs w:val="20"/>
              </w:rPr>
              <w:t>: Renforcer le cadre juridico-organisationnel et institutionnel pour la maîtrise de la croissance démographique</w:t>
            </w:r>
          </w:p>
        </w:tc>
      </w:tr>
    </w:tbl>
    <w:p w:rsidR="001C7C05" w:rsidRPr="00CA196C" w:rsidRDefault="001C7C05" w:rsidP="001C7C05">
      <w:pPr>
        <w:pStyle w:val="Paragraphedeliste"/>
        <w:spacing w:after="0" w:line="240" w:lineRule="auto"/>
        <w:jc w:val="both"/>
        <w:outlineLvl w:val="1"/>
        <w:rPr>
          <w:rFonts w:ascii="Bookman Old Style" w:eastAsia="Times New Roman" w:hAnsi="Bookman Old Style" w:cs="Times New Roman"/>
          <w:b/>
          <w:bCs/>
          <w:i/>
          <w:sz w:val="24"/>
          <w:szCs w:val="24"/>
          <w:u w:color="000000"/>
          <w:bdr w:val="nil"/>
        </w:rPr>
      </w:pPr>
    </w:p>
    <w:p w:rsidR="001C7C05" w:rsidRPr="00CA196C" w:rsidRDefault="001C7C05" w:rsidP="001C7C05">
      <w:pPr>
        <w:pStyle w:val="Paragraphedeliste"/>
        <w:spacing w:after="0" w:line="240" w:lineRule="auto"/>
        <w:jc w:val="both"/>
        <w:outlineLvl w:val="1"/>
        <w:rPr>
          <w:rFonts w:ascii="Bookman Old Style" w:eastAsia="Times New Roman" w:hAnsi="Bookman Old Style" w:cs="Times New Roman"/>
          <w:b/>
          <w:bCs/>
          <w:i/>
          <w:sz w:val="24"/>
          <w:szCs w:val="24"/>
          <w:u w:color="000000"/>
          <w:bdr w:val="nil"/>
        </w:rPr>
      </w:pPr>
    </w:p>
    <w:p w:rsidR="001C7C05" w:rsidRPr="00CA196C" w:rsidRDefault="001C7C05" w:rsidP="001C7C05">
      <w:pPr>
        <w:pStyle w:val="Paragraphedeliste"/>
        <w:spacing w:after="0" w:line="240" w:lineRule="auto"/>
        <w:jc w:val="both"/>
        <w:outlineLvl w:val="1"/>
        <w:rPr>
          <w:rFonts w:ascii="Bookman Old Style" w:eastAsia="Times New Roman" w:hAnsi="Bookman Old Style" w:cs="Times New Roman"/>
          <w:b/>
          <w:bCs/>
          <w:i/>
          <w:sz w:val="24"/>
          <w:szCs w:val="24"/>
          <w:u w:color="000000"/>
          <w:bdr w:val="nil"/>
        </w:rPr>
      </w:pPr>
    </w:p>
    <w:p w:rsidR="001C7C05" w:rsidRPr="00CA196C" w:rsidRDefault="001C7C05" w:rsidP="001C7C05">
      <w:pPr>
        <w:pStyle w:val="Titre3"/>
        <w:rPr>
          <w:rFonts w:ascii="Bookman Old Style" w:hAnsi="Bookman Old Style"/>
        </w:rPr>
      </w:pPr>
      <w:bookmarkStart w:id="227" w:name="_Toc511076188"/>
      <w:bookmarkStart w:id="228" w:name="_Toc511080918"/>
      <w:bookmarkStart w:id="229" w:name="_Toc511081390"/>
      <w:bookmarkStart w:id="230" w:name="_Toc511081594"/>
      <w:r>
        <w:rPr>
          <w:rFonts w:ascii="Bookman Old Style" w:hAnsi="Bookman Old Style"/>
        </w:rPr>
        <w:t>4.2</w:t>
      </w:r>
      <w:r w:rsidRPr="00CA196C">
        <w:rPr>
          <w:rFonts w:ascii="Bookman Old Style" w:hAnsi="Bookman Old Style"/>
        </w:rPr>
        <w:t xml:space="preserve">.3. Orientation stratégique </w:t>
      </w:r>
      <w:r w:rsidR="00EA4229">
        <w:rPr>
          <w:rFonts w:ascii="Bookman Old Style" w:hAnsi="Bookman Old Style"/>
        </w:rPr>
        <w:t>3</w:t>
      </w:r>
      <w:r w:rsidRPr="00CA196C">
        <w:rPr>
          <w:rFonts w:ascii="Bookman Old Style" w:hAnsi="Bookman Old Style"/>
        </w:rPr>
        <w:t> : Protéger l’environnement, s’adapter aux changements climatiques et améliorer l’aménagement du territoire</w:t>
      </w:r>
      <w:bookmarkEnd w:id="227"/>
      <w:bookmarkEnd w:id="228"/>
      <w:bookmarkEnd w:id="229"/>
      <w:bookmarkEnd w:id="230"/>
    </w:p>
    <w:p w:rsidR="001C7C05" w:rsidRPr="00CA196C" w:rsidRDefault="001C7C05" w:rsidP="001C7C05">
      <w:pPr>
        <w:spacing w:after="0" w:line="240" w:lineRule="auto"/>
        <w:ind w:left="360"/>
        <w:contextualSpacing/>
        <w:jc w:val="both"/>
        <w:outlineLvl w:val="1"/>
        <w:rPr>
          <w:rFonts w:ascii="Bookman Old Style" w:hAnsi="Bookman Old Style" w:cs="Times New Roman"/>
          <w:i/>
          <w:sz w:val="24"/>
          <w:szCs w:val="24"/>
        </w:rPr>
      </w:pPr>
      <w:r w:rsidRPr="00CA196C">
        <w:rPr>
          <w:rFonts w:ascii="Bookman Old Style" w:hAnsi="Bookman Old Style" w:cs="Times New Roman"/>
          <w:i/>
          <w:sz w:val="24"/>
          <w:szCs w:val="24"/>
        </w:rPr>
        <w:tab/>
      </w:r>
    </w:p>
    <w:p w:rsidR="001C7C05" w:rsidRPr="00CA196C" w:rsidRDefault="001C7C05" w:rsidP="001C7C05">
      <w:pPr>
        <w:pStyle w:val="Paragraphedeliste"/>
        <w:numPr>
          <w:ilvl w:val="0"/>
          <w:numId w:val="5"/>
        </w:numPr>
        <w:jc w:val="both"/>
        <w:outlineLvl w:val="1"/>
        <w:rPr>
          <w:rFonts w:ascii="Bookman Old Style" w:hAnsi="Bookman Old Style" w:cs="Times New Roman"/>
          <w:b/>
          <w:i/>
          <w:sz w:val="24"/>
          <w:szCs w:val="24"/>
        </w:rPr>
      </w:pPr>
      <w:bookmarkStart w:id="231" w:name="_Toc511080919"/>
      <w:bookmarkStart w:id="232" w:name="_Toc511081595"/>
      <w:r w:rsidRPr="00CA196C">
        <w:rPr>
          <w:rFonts w:ascii="Bookman Old Style" w:hAnsi="Bookman Old Style" w:cs="Times New Roman"/>
          <w:sz w:val="24"/>
          <w:szCs w:val="24"/>
        </w:rPr>
        <w:t>Cette orientation concerne les réformes structurelles, sectorielles et institutionnelles  que le Gouvernement va engager sur la décennie 2018-2027 en matière de la pr</w:t>
      </w:r>
      <w:r w:rsidRPr="00CA196C">
        <w:rPr>
          <w:rFonts w:ascii="Bookman Old Style" w:eastAsia="Times New Roman" w:hAnsi="Bookman Old Style" w:cs="Times New Roman"/>
          <w:bCs/>
          <w:sz w:val="24"/>
          <w:szCs w:val="24"/>
          <w:u w:color="000000"/>
          <w:bdr w:val="nil"/>
        </w:rPr>
        <w:t>otection de  l’environnement, des ressources  en  eau, l’adaptation aux changements climatiques et de l’amélioration de l’aménagement du territoire</w:t>
      </w:r>
      <w:r w:rsidRPr="00CA196C">
        <w:rPr>
          <w:rFonts w:ascii="Bookman Old Style" w:hAnsi="Bookman Old Style" w:cs="Times New Roman"/>
          <w:sz w:val="24"/>
          <w:szCs w:val="24"/>
        </w:rPr>
        <w:t xml:space="preserve"> en vue du développement durable. Face à cet enjeu,  les politiques du Gouvernement  porteront sur </w:t>
      </w:r>
      <w:r w:rsidR="009F6773">
        <w:rPr>
          <w:rFonts w:ascii="Bookman Old Style" w:hAnsi="Bookman Old Style" w:cs="Times New Roman"/>
          <w:sz w:val="24"/>
          <w:szCs w:val="24"/>
        </w:rPr>
        <w:t>quatre</w:t>
      </w:r>
      <w:r w:rsidRPr="00CA196C">
        <w:rPr>
          <w:rFonts w:ascii="Bookman Old Style" w:hAnsi="Bookman Old Style" w:cs="Times New Roman"/>
          <w:sz w:val="24"/>
          <w:szCs w:val="24"/>
        </w:rPr>
        <w:t xml:space="preserve"> axes d’intervention, à savoir : </w:t>
      </w:r>
      <w:r w:rsidRPr="00EA4229">
        <w:rPr>
          <w:rFonts w:ascii="Bookman Old Style" w:eastAsiaTheme="majorEastAsia" w:hAnsi="Bookman Old Style" w:cs="Times New Roman"/>
          <w:bCs/>
          <w:i/>
          <w:iCs/>
          <w:sz w:val="24"/>
          <w:szCs w:val="24"/>
        </w:rPr>
        <w:t xml:space="preserve">Axe  </w:t>
      </w:r>
      <w:r w:rsidR="00EA4229" w:rsidRPr="00EA4229">
        <w:rPr>
          <w:rFonts w:ascii="Bookman Old Style" w:eastAsiaTheme="majorEastAsia" w:hAnsi="Bookman Old Style" w:cs="Times New Roman"/>
          <w:bCs/>
          <w:i/>
          <w:iCs/>
          <w:sz w:val="24"/>
          <w:szCs w:val="24"/>
        </w:rPr>
        <w:t>9</w:t>
      </w:r>
      <w:r w:rsidRPr="00EA4229">
        <w:rPr>
          <w:rFonts w:ascii="Bookman Old Style" w:eastAsiaTheme="majorEastAsia" w:hAnsi="Bookman Old Style" w:cs="Times New Roman"/>
          <w:bCs/>
          <w:i/>
          <w:iCs/>
          <w:sz w:val="24"/>
          <w:szCs w:val="24"/>
        </w:rPr>
        <w:t xml:space="preserve">. Gestion durable de l'environnement, </w:t>
      </w:r>
      <w:r w:rsidR="00EA4229" w:rsidRPr="00EA4229">
        <w:rPr>
          <w:rFonts w:ascii="Bookman Old Style" w:hAnsi="Bookman Old Style" w:cs="Times New Roman"/>
          <w:i/>
          <w:sz w:val="24"/>
          <w:szCs w:val="24"/>
        </w:rPr>
        <w:t>Axe 10</w:t>
      </w:r>
      <w:r w:rsidRPr="00EA4229">
        <w:rPr>
          <w:rFonts w:ascii="Bookman Old Style" w:hAnsi="Bookman Old Style" w:cs="Times New Roman"/>
          <w:i/>
          <w:sz w:val="24"/>
          <w:szCs w:val="24"/>
        </w:rPr>
        <w:t xml:space="preserve">.  Ressource  en  eau et </w:t>
      </w:r>
      <w:r w:rsidR="00EA4229" w:rsidRPr="00EA4229">
        <w:rPr>
          <w:rFonts w:ascii="Bookman Old Style" w:hAnsi="Bookman Old Style" w:cs="Times New Roman"/>
          <w:i/>
          <w:sz w:val="24"/>
          <w:szCs w:val="24"/>
        </w:rPr>
        <w:t>l’assainissement global, Axe  11</w:t>
      </w:r>
      <w:r w:rsidRPr="00EA4229">
        <w:rPr>
          <w:rFonts w:ascii="Bookman Old Style" w:hAnsi="Bookman Old Style" w:cs="Times New Roman"/>
          <w:i/>
          <w:sz w:val="24"/>
          <w:szCs w:val="24"/>
        </w:rPr>
        <w:t xml:space="preserve">. </w:t>
      </w:r>
      <w:r w:rsidRPr="0020032C">
        <w:rPr>
          <w:rFonts w:ascii="Bookman Old Style" w:hAnsi="Bookman Old Style" w:cs="Times New Roman"/>
          <w:i/>
          <w:sz w:val="24"/>
          <w:szCs w:val="24"/>
        </w:rPr>
        <w:t>Changements et gestion d</w:t>
      </w:r>
      <w:r w:rsidR="00EA4229" w:rsidRPr="0020032C">
        <w:rPr>
          <w:rFonts w:ascii="Bookman Old Style" w:hAnsi="Bookman Old Style" w:cs="Times New Roman"/>
          <w:i/>
          <w:sz w:val="24"/>
          <w:szCs w:val="24"/>
        </w:rPr>
        <w:t>es risques climatiques</w:t>
      </w:r>
      <w:r w:rsidR="00EA4229" w:rsidRPr="00EA4229">
        <w:rPr>
          <w:rFonts w:ascii="Bookman Old Style" w:hAnsi="Bookman Old Style" w:cs="Times New Roman"/>
          <w:i/>
          <w:sz w:val="24"/>
          <w:szCs w:val="24"/>
        </w:rPr>
        <w:t xml:space="preserve"> et Axe 12</w:t>
      </w:r>
      <w:r w:rsidRPr="00EA4229">
        <w:rPr>
          <w:rFonts w:ascii="Bookman Old Style" w:hAnsi="Bookman Old Style" w:cs="Times New Roman"/>
          <w:i/>
          <w:sz w:val="24"/>
          <w:szCs w:val="24"/>
        </w:rPr>
        <w:t>. Aménagement du territoire.</w:t>
      </w:r>
      <w:r w:rsidRPr="00CA196C" w:rsidDel="00CC06F2">
        <w:rPr>
          <w:rFonts w:ascii="Bookman Old Style" w:eastAsiaTheme="majorEastAsia" w:hAnsi="Bookman Old Style" w:cs="Times New Roman"/>
          <w:bCs/>
          <w:iCs/>
          <w:sz w:val="24"/>
          <w:szCs w:val="24"/>
        </w:rPr>
        <w:t xml:space="preserve"> </w:t>
      </w:r>
      <w:r w:rsidRPr="00CA196C">
        <w:rPr>
          <w:rFonts w:ascii="Bookman Old Style" w:eastAsiaTheme="majorEastAsia" w:hAnsi="Bookman Old Style" w:cs="Times New Roman"/>
          <w:bCs/>
          <w:iCs/>
          <w:sz w:val="24"/>
          <w:szCs w:val="24"/>
        </w:rPr>
        <w:t xml:space="preserve"> </w:t>
      </w:r>
      <w:r w:rsidRPr="00CA196C">
        <w:rPr>
          <w:rFonts w:ascii="Bookman Old Style" w:eastAsia="Times New Roman" w:hAnsi="Bookman Old Style" w:cs="Times New Roman"/>
          <w:bCs/>
          <w:sz w:val="24"/>
          <w:szCs w:val="24"/>
          <w:u w:color="000000"/>
          <w:bdr w:val="nil"/>
        </w:rPr>
        <w:lastRenderedPageBreak/>
        <w:t>Ainsi, l</w:t>
      </w:r>
      <w:r w:rsidRPr="00CA196C">
        <w:rPr>
          <w:rFonts w:ascii="Bookman Old Style" w:hAnsi="Bookman Old Style" w:cs="Times New Roman"/>
          <w:sz w:val="24"/>
          <w:szCs w:val="24"/>
        </w:rPr>
        <w:t xml:space="preserve">es actions du Gouvernement du Burundi sur la décennie </w:t>
      </w:r>
      <w:r w:rsidRPr="00CA196C">
        <w:rPr>
          <w:rFonts w:ascii="Bookman Old Style" w:eastAsia="Times New Roman" w:hAnsi="Bookman Old Style" w:cs="Times New Roman"/>
          <w:bCs/>
          <w:sz w:val="24"/>
          <w:szCs w:val="24"/>
          <w:u w:color="000000"/>
          <w:bdr w:val="nil"/>
        </w:rPr>
        <w:t xml:space="preserve">2018-2027 </w:t>
      </w:r>
      <w:r w:rsidRPr="00CA196C">
        <w:rPr>
          <w:rFonts w:ascii="Bookman Old Style" w:hAnsi="Bookman Old Style" w:cs="Times New Roman"/>
          <w:sz w:val="24"/>
          <w:szCs w:val="24"/>
        </w:rPr>
        <w:t xml:space="preserve">seront orientées vers la réalisation de réformes et de mesures visant l’atteinte de 6 objectifs </w:t>
      </w:r>
      <w:r w:rsidRPr="00CA196C">
        <w:rPr>
          <w:rFonts w:ascii="Bookman Old Style" w:eastAsia="Times New Roman" w:hAnsi="Bookman Old Style" w:cs="Times New Roman"/>
          <w:bCs/>
          <w:sz w:val="24"/>
          <w:szCs w:val="24"/>
          <w:u w:color="000000"/>
          <w:bdr w:val="nil"/>
        </w:rPr>
        <w:t>relatifs au secteur de l’eau, au domaine de l’hygiène et assainissement, ainsi que la gestion de l’environnement et des changements climatiques.</w:t>
      </w:r>
      <w:bookmarkEnd w:id="231"/>
      <w:bookmarkEnd w:id="232"/>
    </w:p>
    <w:p w:rsidR="001C7C05" w:rsidRPr="00CA196C" w:rsidRDefault="001C7C05" w:rsidP="001C7C05">
      <w:pPr>
        <w:pStyle w:val="Titre"/>
        <w:rPr>
          <w:rFonts w:ascii="Bookman Old Style" w:hAnsi="Bookman Old Style"/>
          <w:b w:val="0"/>
          <w:szCs w:val="24"/>
        </w:rPr>
      </w:pPr>
      <w:bookmarkStart w:id="233" w:name="_Toc511076249"/>
      <w:bookmarkStart w:id="234" w:name="_Toc511080920"/>
      <w:bookmarkStart w:id="235" w:name="_Toc511081596"/>
      <w:r w:rsidRPr="00CA196C">
        <w:rPr>
          <w:rFonts w:ascii="Bookman Old Style" w:hAnsi="Bookman Old Style"/>
        </w:rPr>
        <w:t>Tableau 1</w:t>
      </w:r>
      <w:r w:rsidR="002A02BE">
        <w:rPr>
          <w:rFonts w:ascii="Bookman Old Style" w:hAnsi="Bookman Old Style"/>
        </w:rPr>
        <w:t>0</w:t>
      </w:r>
      <w:r w:rsidRPr="00CA196C">
        <w:rPr>
          <w:rFonts w:ascii="Bookman Old Style" w:hAnsi="Bookman Old Style"/>
        </w:rPr>
        <w:t xml:space="preserve">. </w:t>
      </w:r>
      <w:r w:rsidR="00927B16" w:rsidRPr="00927B16">
        <w:rPr>
          <w:rFonts w:ascii="Bookman Old Style" w:hAnsi="Bookman Old Style"/>
        </w:rPr>
        <w:t xml:space="preserve">Axes d’intervention et objectifs  </w:t>
      </w:r>
      <w:r w:rsidRPr="00CA196C">
        <w:rPr>
          <w:rFonts w:ascii="Bookman Old Style" w:hAnsi="Bookman Old Style"/>
        </w:rPr>
        <w:t>po</w:t>
      </w:r>
      <w:r w:rsidR="009F6773">
        <w:rPr>
          <w:rFonts w:ascii="Bookman Old Style" w:hAnsi="Bookman Old Style"/>
        </w:rPr>
        <w:t>ur l’orientation stratégique n°3</w:t>
      </w:r>
      <w:r w:rsidRPr="00CA196C">
        <w:rPr>
          <w:rFonts w:ascii="Bookman Old Style" w:hAnsi="Bookman Old Style"/>
        </w:rPr>
        <w:t xml:space="preserve"> du PND BURUNDI 2018-2027</w:t>
      </w:r>
      <w:bookmarkEnd w:id="233"/>
      <w:bookmarkEnd w:id="234"/>
      <w:bookmarkEnd w:id="235"/>
      <w:r w:rsidR="00927B16">
        <w:rPr>
          <w:rFonts w:ascii="Bookman Old Style" w:hAnsi="Bookman Old Style"/>
        </w:rPr>
        <w:t xml:space="preserve"> </w:t>
      </w:r>
    </w:p>
    <w:tbl>
      <w:tblPr>
        <w:tblStyle w:val="Grilleclaire-Accent5"/>
        <w:tblW w:w="0" w:type="auto"/>
        <w:tblInd w:w="250" w:type="dxa"/>
        <w:tblLook w:val="04A0" w:firstRow="1" w:lastRow="0" w:firstColumn="1" w:lastColumn="0" w:noHBand="0" w:noVBand="1"/>
      </w:tblPr>
      <w:tblGrid>
        <w:gridCol w:w="2835"/>
        <w:gridCol w:w="6126"/>
      </w:tblGrid>
      <w:tr w:rsidR="001C7C05" w:rsidRPr="00801AF6" w:rsidTr="008F4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1C7C05" w:rsidRPr="00801AF6" w:rsidRDefault="001C7C05" w:rsidP="008F4156">
            <w:pPr>
              <w:jc w:val="both"/>
              <w:outlineLvl w:val="1"/>
              <w:rPr>
                <w:rFonts w:ascii="Bookman Old Style" w:hAnsi="Bookman Old Style" w:cs="Times New Roman"/>
                <w:sz w:val="20"/>
                <w:szCs w:val="20"/>
              </w:rPr>
            </w:pPr>
            <w:bookmarkStart w:id="236" w:name="_Toc511080921"/>
            <w:bookmarkStart w:id="237" w:name="_Toc511081597"/>
            <w:r w:rsidRPr="00801AF6">
              <w:rPr>
                <w:rFonts w:ascii="Bookman Old Style" w:hAnsi="Bookman Old Style" w:cs="Times New Roman"/>
                <w:sz w:val="20"/>
                <w:szCs w:val="20"/>
              </w:rPr>
              <w:t>Axes d’intervention</w:t>
            </w:r>
            <w:bookmarkEnd w:id="236"/>
            <w:bookmarkEnd w:id="237"/>
            <w:r w:rsidRPr="00801AF6">
              <w:rPr>
                <w:rFonts w:ascii="Bookman Old Style" w:hAnsi="Bookman Old Style" w:cs="Times New Roman"/>
                <w:sz w:val="20"/>
                <w:szCs w:val="20"/>
              </w:rPr>
              <w:t xml:space="preserve"> </w:t>
            </w:r>
          </w:p>
        </w:tc>
        <w:tc>
          <w:tcPr>
            <w:tcW w:w="6126" w:type="dxa"/>
          </w:tcPr>
          <w:p w:rsidR="001C7C05" w:rsidRPr="00801AF6" w:rsidRDefault="001C7C05" w:rsidP="008F4156">
            <w:pPr>
              <w:jc w:val="both"/>
              <w:outlineLvl w:val="1"/>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0"/>
                <w:szCs w:val="20"/>
              </w:rPr>
            </w:pPr>
            <w:bookmarkStart w:id="238" w:name="_Toc511080922"/>
            <w:bookmarkStart w:id="239" w:name="_Toc511081598"/>
            <w:r w:rsidRPr="00801AF6">
              <w:rPr>
                <w:rFonts w:ascii="Bookman Old Style" w:hAnsi="Bookman Old Style" w:cs="Times New Roman"/>
                <w:sz w:val="20"/>
                <w:szCs w:val="20"/>
              </w:rPr>
              <w:t>Objectifs stratégiques</w:t>
            </w:r>
            <w:bookmarkEnd w:id="238"/>
            <w:bookmarkEnd w:id="239"/>
          </w:p>
        </w:tc>
      </w:tr>
      <w:tr w:rsidR="001C7C05" w:rsidRPr="00801AF6"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1C7C05" w:rsidRPr="00801AF6" w:rsidRDefault="00EA4229" w:rsidP="008F4156">
            <w:pPr>
              <w:tabs>
                <w:tab w:val="left" w:pos="1739"/>
              </w:tabs>
              <w:jc w:val="both"/>
              <w:outlineLvl w:val="1"/>
              <w:rPr>
                <w:rFonts w:ascii="Bookman Old Style" w:hAnsi="Bookman Old Style" w:cs="Times New Roman"/>
                <w:sz w:val="20"/>
                <w:szCs w:val="20"/>
              </w:rPr>
            </w:pPr>
            <w:bookmarkStart w:id="240" w:name="_Toc511080923"/>
            <w:bookmarkStart w:id="241" w:name="_Toc511081599"/>
            <w:r w:rsidRPr="00801AF6">
              <w:rPr>
                <w:rFonts w:ascii="Bookman Old Style" w:hAnsi="Bookman Old Style" w:cs="Times New Roman"/>
                <w:bCs w:val="0"/>
                <w:iCs/>
                <w:sz w:val="20"/>
                <w:szCs w:val="20"/>
              </w:rPr>
              <w:t>Axe 9</w:t>
            </w:r>
            <w:r w:rsidR="001C7C05" w:rsidRPr="00801AF6">
              <w:rPr>
                <w:rFonts w:ascii="Bookman Old Style" w:hAnsi="Bookman Old Style" w:cs="Times New Roman"/>
                <w:bCs w:val="0"/>
                <w:iCs/>
                <w:sz w:val="20"/>
                <w:szCs w:val="20"/>
              </w:rPr>
              <w:t>. Gestion durable de l'environnement</w:t>
            </w:r>
            <w:bookmarkEnd w:id="240"/>
            <w:bookmarkEnd w:id="241"/>
          </w:p>
        </w:tc>
        <w:tc>
          <w:tcPr>
            <w:tcW w:w="6126" w:type="dxa"/>
          </w:tcPr>
          <w:p w:rsidR="001C7C05" w:rsidRPr="00801AF6" w:rsidRDefault="001C7C05" w:rsidP="005A3648">
            <w:pPr>
              <w:cnfStyle w:val="000000100000" w:firstRow="0" w:lastRow="0" w:firstColumn="0" w:lastColumn="0" w:oddVBand="0" w:evenVBand="0" w:oddHBand="1" w:evenHBand="0" w:firstRowFirstColumn="0" w:firstRowLastColumn="0" w:lastRowFirstColumn="0" w:lastRowLastColumn="0"/>
              <w:rPr>
                <w:rFonts w:ascii="Bookman Old Style" w:eastAsiaTheme="majorEastAsia" w:hAnsi="Bookman Old Style" w:cs="Times New Roman"/>
                <w:bCs/>
                <w:iCs/>
                <w:sz w:val="20"/>
                <w:szCs w:val="20"/>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1</w:t>
            </w:r>
            <w:r w:rsidRPr="00801AF6">
              <w:rPr>
                <w:rFonts w:ascii="Bookman Old Style" w:eastAsiaTheme="majorEastAsia" w:hAnsi="Bookman Old Style" w:cs="Times New Roman"/>
                <w:bCs/>
                <w:iCs/>
                <w:sz w:val="20"/>
                <w:szCs w:val="20"/>
              </w:rPr>
              <w:t>: Préserver et restaurer les écosystèmes terrestres, lutter contre la désertification</w:t>
            </w:r>
          </w:p>
        </w:tc>
      </w:tr>
      <w:tr w:rsidR="001C7C05" w:rsidRPr="00801AF6"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1C7C05" w:rsidRPr="00801AF6" w:rsidRDefault="00EA4229" w:rsidP="008F4156">
            <w:pPr>
              <w:ind w:left="426" w:hanging="426"/>
              <w:jc w:val="both"/>
              <w:outlineLvl w:val="1"/>
              <w:rPr>
                <w:rFonts w:ascii="Bookman Old Style" w:hAnsi="Bookman Old Style" w:cs="Times New Roman"/>
                <w:sz w:val="20"/>
                <w:szCs w:val="20"/>
              </w:rPr>
            </w:pPr>
            <w:bookmarkStart w:id="242" w:name="_Toc511080924"/>
            <w:bookmarkStart w:id="243" w:name="_Toc511081600"/>
            <w:r w:rsidRPr="00801AF6">
              <w:rPr>
                <w:rFonts w:ascii="Bookman Old Style" w:hAnsi="Bookman Old Style" w:cs="Times New Roman"/>
                <w:sz w:val="20"/>
                <w:szCs w:val="20"/>
              </w:rPr>
              <w:t>Axe   10</w:t>
            </w:r>
            <w:r w:rsidR="001C7C05" w:rsidRPr="00801AF6">
              <w:rPr>
                <w:rFonts w:ascii="Bookman Old Style" w:hAnsi="Bookman Old Style" w:cs="Times New Roman"/>
                <w:sz w:val="20"/>
                <w:szCs w:val="20"/>
              </w:rPr>
              <w:t>.  Ressource  en  eau et l’assainissement global</w:t>
            </w:r>
            <w:bookmarkEnd w:id="242"/>
            <w:bookmarkEnd w:id="243"/>
          </w:p>
          <w:p w:rsidR="001C7C05" w:rsidRPr="00801AF6" w:rsidRDefault="001C7C05" w:rsidP="008F4156">
            <w:pPr>
              <w:jc w:val="both"/>
              <w:outlineLvl w:val="1"/>
              <w:rPr>
                <w:rFonts w:ascii="Bookman Old Style" w:hAnsi="Bookman Old Style" w:cs="Times New Roman"/>
                <w:sz w:val="20"/>
                <w:szCs w:val="20"/>
              </w:rPr>
            </w:pPr>
          </w:p>
        </w:tc>
        <w:tc>
          <w:tcPr>
            <w:tcW w:w="6126" w:type="dxa"/>
          </w:tcPr>
          <w:p w:rsidR="001C7C05" w:rsidRPr="00801AF6" w:rsidRDefault="005A3648" w:rsidP="008F4156">
            <w:pPr>
              <w:cnfStyle w:val="000000010000" w:firstRow="0" w:lastRow="0" w:firstColumn="0" w:lastColumn="0" w:oddVBand="0" w:evenVBand="0" w:oddHBand="0" w:evenHBand="1" w:firstRowFirstColumn="0" w:firstRowLastColumn="0" w:lastRowFirstColumn="0" w:lastRowLastColumn="0"/>
              <w:rPr>
                <w:rFonts w:ascii="Bookman Old Style" w:eastAsiaTheme="majorEastAsia" w:hAnsi="Bookman Old Style" w:cs="Times New Roman"/>
                <w:bCs/>
                <w:iCs/>
                <w:sz w:val="20"/>
                <w:szCs w:val="20"/>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1</w:t>
            </w:r>
            <w:r w:rsidR="001C7C05" w:rsidRPr="00801AF6">
              <w:rPr>
                <w:rFonts w:ascii="Bookman Old Style" w:eastAsiaTheme="majorEastAsia" w:hAnsi="Bookman Old Style" w:cs="Times New Roman"/>
                <w:bCs/>
                <w:iCs/>
                <w:sz w:val="20"/>
                <w:szCs w:val="20"/>
              </w:rPr>
              <w:t xml:space="preserve"> : Disposer de l’eau en quantité et en qualité suffisantes pour une utilisation  efficiente et   équitable  et sans compromettre l’environnement </w:t>
            </w:r>
          </w:p>
        </w:tc>
      </w:tr>
      <w:tr w:rsidR="001C7C05" w:rsidRPr="00801AF6"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rsidR="001C7C05" w:rsidRPr="00801AF6" w:rsidRDefault="001C7C05" w:rsidP="008F4156">
            <w:pPr>
              <w:jc w:val="both"/>
              <w:outlineLvl w:val="1"/>
              <w:rPr>
                <w:rFonts w:ascii="Bookman Old Style" w:hAnsi="Bookman Old Style" w:cs="Times New Roman"/>
                <w:sz w:val="20"/>
                <w:szCs w:val="20"/>
              </w:rPr>
            </w:pPr>
          </w:p>
        </w:tc>
        <w:tc>
          <w:tcPr>
            <w:tcW w:w="6126" w:type="dxa"/>
          </w:tcPr>
          <w:p w:rsidR="001C7C05" w:rsidRPr="00801AF6" w:rsidRDefault="005A3648" w:rsidP="008F4156">
            <w:pPr>
              <w:cnfStyle w:val="000000100000" w:firstRow="0" w:lastRow="0" w:firstColumn="0" w:lastColumn="0" w:oddVBand="0" w:evenVBand="0" w:oddHBand="1" w:evenHBand="0" w:firstRowFirstColumn="0" w:firstRowLastColumn="0" w:lastRowFirstColumn="0" w:lastRowLastColumn="0"/>
              <w:rPr>
                <w:rFonts w:ascii="Bookman Old Style" w:eastAsiaTheme="majorEastAsia" w:hAnsi="Bookman Old Style" w:cs="Times New Roman"/>
                <w:bCs/>
                <w:iCs/>
                <w:sz w:val="20"/>
                <w:szCs w:val="20"/>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2</w:t>
            </w:r>
            <w:r w:rsidR="001C7C05" w:rsidRPr="00801AF6">
              <w:rPr>
                <w:rFonts w:ascii="Bookman Old Style" w:eastAsiaTheme="majorEastAsia" w:hAnsi="Bookman Old Style" w:cs="Times New Roman"/>
                <w:bCs/>
                <w:iCs/>
                <w:sz w:val="20"/>
                <w:szCs w:val="20"/>
              </w:rPr>
              <w:t> : Promouvoir la lutte contre la pollution et l’assainissement du milieu</w:t>
            </w:r>
          </w:p>
        </w:tc>
      </w:tr>
      <w:tr w:rsidR="001C7C05" w:rsidRPr="00801AF6"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1C7C05" w:rsidRPr="00801AF6" w:rsidRDefault="001C7C05" w:rsidP="00EA4229">
            <w:pPr>
              <w:ind w:left="426" w:hanging="426"/>
              <w:jc w:val="both"/>
              <w:outlineLvl w:val="1"/>
              <w:rPr>
                <w:rFonts w:ascii="Bookman Old Style" w:eastAsia="Times New Roman" w:hAnsi="Bookman Old Style" w:cs="Times New Roman"/>
                <w:b w:val="0"/>
                <w:bCs w:val="0"/>
                <w:color w:val="000000"/>
                <w:sz w:val="20"/>
                <w:szCs w:val="20"/>
                <w:lang w:eastAsia="fr-FR"/>
              </w:rPr>
            </w:pPr>
            <w:bookmarkStart w:id="244" w:name="_Toc511080925"/>
            <w:bookmarkStart w:id="245" w:name="_Toc511081601"/>
            <w:r w:rsidRPr="00801AF6">
              <w:rPr>
                <w:rFonts w:ascii="Bookman Old Style" w:hAnsi="Bookman Old Style" w:cs="Times New Roman"/>
                <w:sz w:val="20"/>
                <w:szCs w:val="20"/>
              </w:rPr>
              <w:t>Axe 1</w:t>
            </w:r>
            <w:r w:rsidR="00EA4229" w:rsidRPr="00801AF6">
              <w:rPr>
                <w:rFonts w:ascii="Bookman Old Style" w:hAnsi="Bookman Old Style" w:cs="Times New Roman"/>
                <w:sz w:val="20"/>
                <w:szCs w:val="20"/>
              </w:rPr>
              <w:t>1</w:t>
            </w:r>
            <w:r w:rsidRPr="00801AF6">
              <w:rPr>
                <w:rFonts w:ascii="Bookman Old Style" w:hAnsi="Bookman Old Style" w:cs="Times New Roman"/>
                <w:sz w:val="20"/>
                <w:szCs w:val="20"/>
              </w:rPr>
              <w:t>. Changements et gestion des risques climatiques</w:t>
            </w:r>
            <w:bookmarkEnd w:id="244"/>
            <w:bookmarkEnd w:id="245"/>
          </w:p>
        </w:tc>
        <w:tc>
          <w:tcPr>
            <w:tcW w:w="6126" w:type="dxa"/>
          </w:tcPr>
          <w:p w:rsidR="001C7C05" w:rsidRPr="00801AF6" w:rsidRDefault="008D1C3C" w:rsidP="00475BAA">
            <w:pP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Pr>
                <w:rFonts w:ascii="Bookman Old Style" w:eastAsiaTheme="majorEastAsia" w:hAnsi="Bookman Old Style" w:cs="Times New Roman"/>
                <w:bCs/>
                <w:iCs/>
                <w:sz w:val="20"/>
                <w:szCs w:val="20"/>
              </w:rPr>
              <w:t>OS 1</w:t>
            </w:r>
            <w:r w:rsidR="001C7C05" w:rsidRPr="00801AF6">
              <w:rPr>
                <w:rFonts w:ascii="Bookman Old Style" w:eastAsiaTheme="majorEastAsia" w:hAnsi="Bookman Old Style" w:cs="Times New Roman"/>
                <w:bCs/>
                <w:iCs/>
                <w:sz w:val="20"/>
                <w:szCs w:val="20"/>
              </w:rPr>
              <w:t> : Promouvoir  un développement résiliant aux effets néfastes du changement climatique</w:t>
            </w:r>
          </w:p>
        </w:tc>
      </w:tr>
      <w:tr w:rsidR="001C7C05" w:rsidRPr="00801AF6" w:rsidTr="008F4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tcPr>
          <w:p w:rsidR="001C7C05" w:rsidRPr="00801AF6" w:rsidRDefault="001C7C05" w:rsidP="00EA4229">
            <w:pPr>
              <w:ind w:left="426" w:hanging="426"/>
              <w:jc w:val="both"/>
              <w:outlineLvl w:val="1"/>
              <w:rPr>
                <w:rFonts w:ascii="Bookman Old Style" w:eastAsia="Times New Roman" w:hAnsi="Bookman Old Style" w:cs="Times New Roman"/>
                <w:b w:val="0"/>
                <w:bCs w:val="0"/>
                <w:color w:val="000000"/>
                <w:sz w:val="20"/>
                <w:szCs w:val="20"/>
                <w:lang w:eastAsia="fr-FR"/>
              </w:rPr>
            </w:pPr>
            <w:bookmarkStart w:id="246" w:name="_Toc511080926"/>
            <w:bookmarkStart w:id="247" w:name="_Toc511081602"/>
            <w:r w:rsidRPr="00801AF6">
              <w:rPr>
                <w:rFonts w:ascii="Bookman Old Style" w:hAnsi="Bookman Old Style" w:cs="Times New Roman"/>
                <w:sz w:val="20"/>
                <w:szCs w:val="20"/>
              </w:rPr>
              <w:t>Axe 1</w:t>
            </w:r>
            <w:r w:rsidR="00EA4229" w:rsidRPr="00801AF6">
              <w:rPr>
                <w:rFonts w:ascii="Bookman Old Style" w:hAnsi="Bookman Old Style" w:cs="Times New Roman"/>
                <w:sz w:val="20"/>
                <w:szCs w:val="20"/>
              </w:rPr>
              <w:t>2</w:t>
            </w:r>
            <w:r w:rsidRPr="00801AF6">
              <w:rPr>
                <w:rFonts w:ascii="Bookman Old Style" w:hAnsi="Bookman Old Style" w:cs="Times New Roman"/>
                <w:sz w:val="20"/>
                <w:szCs w:val="20"/>
              </w:rPr>
              <w:t>. Aménagement du territoire</w:t>
            </w:r>
            <w:bookmarkEnd w:id="246"/>
            <w:bookmarkEnd w:id="247"/>
          </w:p>
        </w:tc>
        <w:tc>
          <w:tcPr>
            <w:tcW w:w="6126" w:type="dxa"/>
          </w:tcPr>
          <w:p w:rsidR="001C7C05" w:rsidRPr="00801AF6" w:rsidRDefault="005A3648" w:rsidP="008F4156">
            <w:pP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color w:val="000000"/>
                <w:sz w:val="20"/>
                <w:szCs w:val="20"/>
                <w:lang w:eastAsia="fr-FR"/>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1</w:t>
            </w:r>
            <w:r w:rsidR="001C7C05" w:rsidRPr="00801AF6">
              <w:rPr>
                <w:rFonts w:ascii="Bookman Old Style" w:eastAsiaTheme="majorEastAsia" w:hAnsi="Bookman Old Style" w:cs="Times New Roman"/>
                <w:bCs/>
                <w:iCs/>
                <w:sz w:val="20"/>
                <w:szCs w:val="20"/>
              </w:rPr>
              <w:t> : Restructurer et réaménager positivement le territoire du point de vue économique, social et environnemental</w:t>
            </w:r>
            <w:r w:rsidR="001C7C05" w:rsidRPr="00801AF6">
              <w:rPr>
                <w:rFonts w:ascii="Bookman Old Style" w:eastAsia="Times New Roman" w:hAnsi="Bookman Old Style" w:cs="Times New Roman"/>
                <w:color w:val="000000"/>
                <w:sz w:val="20"/>
                <w:szCs w:val="20"/>
                <w:lang w:eastAsia="fr-FR"/>
              </w:rPr>
              <w:t xml:space="preserve"> </w:t>
            </w:r>
          </w:p>
        </w:tc>
      </w:tr>
      <w:tr w:rsidR="001C7C05" w:rsidRPr="00801AF6" w:rsidTr="008F41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ign w:val="center"/>
          </w:tcPr>
          <w:p w:rsidR="001C7C05" w:rsidRPr="00801AF6" w:rsidRDefault="001C7C05" w:rsidP="008F4156">
            <w:pPr>
              <w:jc w:val="both"/>
              <w:rPr>
                <w:rFonts w:ascii="Bookman Old Style" w:eastAsia="Times New Roman" w:hAnsi="Bookman Old Style" w:cs="Times New Roman"/>
                <w:b w:val="0"/>
                <w:bCs w:val="0"/>
                <w:color w:val="000000"/>
                <w:sz w:val="20"/>
                <w:szCs w:val="20"/>
                <w:lang w:eastAsia="fr-FR"/>
              </w:rPr>
            </w:pPr>
          </w:p>
        </w:tc>
        <w:tc>
          <w:tcPr>
            <w:tcW w:w="6126" w:type="dxa"/>
            <w:vAlign w:val="center"/>
          </w:tcPr>
          <w:p w:rsidR="001C7C05" w:rsidRPr="00801AF6" w:rsidRDefault="005A3648" w:rsidP="008F4156">
            <w:pPr>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s="Times New Roman"/>
                <w:color w:val="000000"/>
                <w:sz w:val="20"/>
                <w:szCs w:val="20"/>
                <w:lang w:eastAsia="fr-FR"/>
              </w:rPr>
            </w:pPr>
            <w:r w:rsidRPr="00801AF6">
              <w:rPr>
                <w:rFonts w:ascii="Bookman Old Style" w:eastAsiaTheme="majorEastAsia" w:hAnsi="Bookman Old Style" w:cs="Times New Roman"/>
                <w:bCs/>
                <w:iCs/>
                <w:sz w:val="20"/>
                <w:szCs w:val="20"/>
              </w:rPr>
              <w:t xml:space="preserve">OS </w:t>
            </w:r>
            <w:r w:rsidR="008D1C3C">
              <w:rPr>
                <w:rFonts w:ascii="Bookman Old Style" w:eastAsiaTheme="majorEastAsia" w:hAnsi="Bookman Old Style" w:cs="Times New Roman"/>
                <w:bCs/>
                <w:iCs/>
                <w:sz w:val="20"/>
                <w:szCs w:val="20"/>
              </w:rPr>
              <w:t>2</w:t>
            </w:r>
            <w:r w:rsidR="001C7C05" w:rsidRPr="00801AF6">
              <w:rPr>
                <w:rFonts w:ascii="Bookman Old Style" w:eastAsiaTheme="majorEastAsia" w:hAnsi="Bookman Old Style" w:cs="Times New Roman"/>
                <w:bCs/>
                <w:iCs/>
                <w:sz w:val="20"/>
                <w:szCs w:val="20"/>
              </w:rPr>
              <w:t> : Rationaliser  l’occupation du territoire</w:t>
            </w:r>
          </w:p>
        </w:tc>
      </w:tr>
    </w:tbl>
    <w:p w:rsidR="001C7C05" w:rsidRDefault="001C7C05" w:rsidP="00ED27D9">
      <w:pPr>
        <w:pStyle w:val="Titre2"/>
      </w:pPr>
    </w:p>
    <w:p w:rsidR="001C7C05" w:rsidRDefault="001C7C05" w:rsidP="00ED27D9">
      <w:pPr>
        <w:pStyle w:val="Titre2"/>
      </w:pPr>
    </w:p>
    <w:p w:rsidR="00DE3A23" w:rsidRPr="00CA196C" w:rsidRDefault="001C7C05" w:rsidP="00ED27D9">
      <w:pPr>
        <w:pStyle w:val="Titre2"/>
      </w:pPr>
      <w:bookmarkStart w:id="248" w:name="_Toc511080927"/>
      <w:bookmarkStart w:id="249" w:name="_Toc511081603"/>
      <w:r>
        <w:t>4.3. Enjeu 2</w:t>
      </w:r>
      <w:r w:rsidR="00DE3A23" w:rsidRPr="00CA196C">
        <w:t>: Une gouvernance axée</w:t>
      </w:r>
      <w:r w:rsidR="00F02ADB" w:rsidRPr="00CA196C">
        <w:t xml:space="preserve"> sur</w:t>
      </w:r>
      <w:r w:rsidR="00DE3A23" w:rsidRPr="00CA196C">
        <w:t xml:space="preserve"> la </w:t>
      </w:r>
      <w:r w:rsidR="00F02ADB" w:rsidRPr="00CA196C">
        <w:t xml:space="preserve">sauvegarde de la </w:t>
      </w:r>
      <w:r w:rsidR="00DE3A23" w:rsidRPr="00CA196C">
        <w:t>souveraineté nationale</w:t>
      </w:r>
      <w:bookmarkEnd w:id="248"/>
      <w:bookmarkEnd w:id="249"/>
    </w:p>
    <w:p w:rsidR="00DE3A23" w:rsidRPr="00CA196C" w:rsidRDefault="00DE3A23" w:rsidP="00E92676">
      <w:pPr>
        <w:spacing w:after="0" w:line="240" w:lineRule="auto"/>
        <w:ind w:left="426" w:hanging="426"/>
        <w:jc w:val="both"/>
        <w:outlineLvl w:val="1"/>
        <w:rPr>
          <w:rFonts w:ascii="Bookman Old Style" w:hAnsi="Bookman Old Style" w:cs="Times New Roman"/>
          <w:b/>
          <w:sz w:val="24"/>
          <w:szCs w:val="24"/>
        </w:rPr>
      </w:pPr>
    </w:p>
    <w:p w:rsidR="00F70F1D" w:rsidRPr="00927B16" w:rsidRDefault="00DE3A23" w:rsidP="00CD26FF">
      <w:pPr>
        <w:pStyle w:val="Paragraphedeliste"/>
        <w:numPr>
          <w:ilvl w:val="0"/>
          <w:numId w:val="5"/>
        </w:numPr>
        <w:spacing w:after="0" w:line="240" w:lineRule="auto"/>
        <w:jc w:val="both"/>
        <w:outlineLvl w:val="1"/>
        <w:rPr>
          <w:rFonts w:ascii="Bookman Old Style" w:eastAsia="Times New Roman" w:hAnsi="Bookman Old Style" w:cs="Times New Roman"/>
          <w:bCs/>
          <w:sz w:val="24"/>
          <w:szCs w:val="24"/>
          <w:u w:color="000000"/>
          <w:bdr w:val="nil"/>
        </w:rPr>
      </w:pPr>
      <w:bookmarkStart w:id="250" w:name="_Toc511080928"/>
      <w:bookmarkStart w:id="251" w:name="_Toc511081604"/>
      <w:r w:rsidRPr="00CA196C">
        <w:rPr>
          <w:rFonts w:ascii="Bookman Old Style" w:hAnsi="Bookman Old Style" w:cs="Times New Roman"/>
          <w:sz w:val="24"/>
          <w:szCs w:val="24"/>
        </w:rPr>
        <w:t xml:space="preserve">Cet enjeu </w:t>
      </w:r>
      <w:r w:rsidRPr="00CA196C">
        <w:rPr>
          <w:rFonts w:ascii="Bookman Old Style" w:eastAsia="Times New Roman" w:hAnsi="Bookman Old Style" w:cs="Times New Roman"/>
          <w:bCs/>
          <w:sz w:val="24"/>
          <w:szCs w:val="24"/>
          <w:u w:color="000000"/>
          <w:bdr w:val="nil"/>
        </w:rPr>
        <w:t xml:space="preserve">constitue la base même des </w:t>
      </w:r>
      <w:r w:rsidRPr="00CA196C">
        <w:rPr>
          <w:rFonts w:ascii="Bookman Old Style" w:hAnsi="Bookman Old Style" w:cs="Times New Roman"/>
          <w:sz w:val="24"/>
          <w:szCs w:val="24"/>
        </w:rPr>
        <w:t>meilleures conditions de favoriser le plein épanouissement des potentialités économiques et sociales en vue d’un dévelo</w:t>
      </w:r>
      <w:r w:rsidR="00F70F1D" w:rsidRPr="00CA196C">
        <w:rPr>
          <w:rFonts w:ascii="Bookman Old Style" w:hAnsi="Bookman Old Style" w:cs="Times New Roman"/>
          <w:sz w:val="24"/>
          <w:szCs w:val="24"/>
        </w:rPr>
        <w:t>ppement effectif et inclusif.  C’est un enjeu qui</w:t>
      </w:r>
      <w:r w:rsidRPr="00CA196C">
        <w:rPr>
          <w:rFonts w:ascii="Bookman Old Style" w:hAnsi="Bookman Old Style" w:cs="Times New Roman"/>
          <w:sz w:val="24"/>
          <w:szCs w:val="24"/>
        </w:rPr>
        <w:t xml:space="preserve"> comprend </w:t>
      </w:r>
      <w:r w:rsidR="00981C8E" w:rsidRPr="00CA196C">
        <w:rPr>
          <w:rFonts w:ascii="Bookman Old Style" w:hAnsi="Bookman Old Style" w:cs="Times New Roman"/>
          <w:sz w:val="24"/>
          <w:szCs w:val="24"/>
        </w:rPr>
        <w:t xml:space="preserve">une </w:t>
      </w:r>
      <w:r w:rsidR="00F70F1D" w:rsidRPr="00CA196C">
        <w:rPr>
          <w:rFonts w:ascii="Bookman Old Style" w:hAnsi="Bookman Old Style" w:cs="Times New Roman"/>
          <w:sz w:val="24"/>
          <w:szCs w:val="24"/>
        </w:rPr>
        <w:t>orientation stratégique</w:t>
      </w:r>
      <w:r w:rsidR="00006D95" w:rsidRPr="00CA196C">
        <w:rPr>
          <w:rFonts w:ascii="Bookman Old Style" w:hAnsi="Bookman Old Style" w:cs="Times New Roman"/>
          <w:sz w:val="24"/>
          <w:szCs w:val="24"/>
        </w:rPr>
        <w:t xml:space="preserve"> </w:t>
      </w:r>
      <w:r w:rsidR="003D2623">
        <w:rPr>
          <w:rFonts w:ascii="Bookman Old Style" w:hAnsi="Bookman Old Style" w:cs="Times New Roman"/>
          <w:sz w:val="24"/>
          <w:szCs w:val="24"/>
        </w:rPr>
        <w:t>(</w:t>
      </w:r>
      <w:r w:rsidR="009F6773">
        <w:rPr>
          <w:rFonts w:ascii="Bookman Old Style" w:hAnsi="Bookman Old Style" w:cs="Times New Roman"/>
          <w:sz w:val="24"/>
          <w:szCs w:val="24"/>
        </w:rPr>
        <w:t>o</w:t>
      </w:r>
      <w:r w:rsidR="00006D95" w:rsidRPr="00927B16">
        <w:rPr>
          <w:rFonts w:ascii="Bookman Old Style" w:hAnsi="Bookman Old Style" w:cs="Times New Roman"/>
          <w:sz w:val="24"/>
          <w:szCs w:val="24"/>
        </w:rPr>
        <w:t xml:space="preserve">rientation stratégique </w:t>
      </w:r>
      <w:r w:rsidR="003D2623">
        <w:rPr>
          <w:rFonts w:ascii="Bookman Old Style" w:hAnsi="Bookman Old Style" w:cs="Times New Roman"/>
          <w:sz w:val="24"/>
          <w:szCs w:val="24"/>
        </w:rPr>
        <w:t>n°</w:t>
      </w:r>
      <w:r w:rsidR="00927B16" w:rsidRPr="00927B16">
        <w:rPr>
          <w:rFonts w:ascii="Bookman Old Style" w:hAnsi="Bookman Old Style" w:cs="Times New Roman"/>
          <w:sz w:val="24"/>
          <w:szCs w:val="24"/>
        </w:rPr>
        <w:t>4</w:t>
      </w:r>
      <w:r w:rsidR="003D2623">
        <w:rPr>
          <w:rFonts w:ascii="Bookman Old Style" w:hAnsi="Bookman Old Style" w:cs="Times New Roman"/>
          <w:sz w:val="24"/>
          <w:szCs w:val="24"/>
        </w:rPr>
        <w:t>) :</w:t>
      </w:r>
      <w:r w:rsidR="00006D95" w:rsidRPr="00927B16">
        <w:rPr>
          <w:rFonts w:ascii="Bookman Old Style" w:hAnsi="Bookman Old Style" w:cs="Times New Roman"/>
          <w:sz w:val="24"/>
          <w:szCs w:val="24"/>
        </w:rPr>
        <w:t xml:space="preserve"> </w:t>
      </w:r>
      <w:r w:rsidR="00C11357" w:rsidRPr="00927B16">
        <w:rPr>
          <w:rFonts w:ascii="Bookman Old Style" w:eastAsia="Times New Roman" w:hAnsi="Bookman Old Style" w:cs="Times New Roman"/>
          <w:bCs/>
          <w:sz w:val="24"/>
          <w:szCs w:val="24"/>
          <w:u w:color="000000"/>
          <w:bdr w:val="nil"/>
        </w:rPr>
        <w:t>Renforcer la gouvernance,</w:t>
      </w:r>
      <w:r w:rsidR="00A069F6" w:rsidRPr="00927B16">
        <w:rPr>
          <w:rFonts w:ascii="Bookman Old Style" w:eastAsia="Times New Roman" w:hAnsi="Bookman Old Style" w:cs="Times New Roman"/>
          <w:bCs/>
          <w:sz w:val="24"/>
          <w:szCs w:val="24"/>
          <w:u w:color="000000"/>
          <w:bdr w:val="nil"/>
        </w:rPr>
        <w:t xml:space="preserve"> la sécurité et</w:t>
      </w:r>
      <w:r w:rsidR="00C11357" w:rsidRPr="00927B16">
        <w:rPr>
          <w:rFonts w:ascii="Bookman Old Style" w:eastAsia="Times New Roman" w:hAnsi="Bookman Old Style" w:cs="Times New Roman"/>
          <w:bCs/>
          <w:sz w:val="24"/>
          <w:szCs w:val="24"/>
          <w:u w:color="000000"/>
          <w:bdr w:val="nil"/>
        </w:rPr>
        <w:t xml:space="preserve"> la  sauvega</w:t>
      </w:r>
      <w:r w:rsidR="00F70F1D" w:rsidRPr="00927B16">
        <w:rPr>
          <w:rFonts w:ascii="Bookman Old Style" w:eastAsia="Times New Roman" w:hAnsi="Bookman Old Style" w:cs="Times New Roman"/>
          <w:bCs/>
          <w:sz w:val="24"/>
          <w:szCs w:val="24"/>
          <w:u w:color="000000"/>
          <w:bdr w:val="nil"/>
        </w:rPr>
        <w:t>rde de la souveraineté nationale.</w:t>
      </w:r>
      <w:bookmarkEnd w:id="250"/>
      <w:bookmarkEnd w:id="251"/>
      <w:r w:rsidR="00F70F1D" w:rsidRPr="00927B16">
        <w:rPr>
          <w:rFonts w:ascii="Bookman Old Style" w:eastAsia="Times New Roman" w:hAnsi="Bookman Old Style" w:cs="Times New Roman"/>
          <w:bCs/>
          <w:sz w:val="24"/>
          <w:szCs w:val="24"/>
          <w:u w:color="000000"/>
          <w:bdr w:val="nil"/>
        </w:rPr>
        <w:t xml:space="preserve"> </w:t>
      </w:r>
    </w:p>
    <w:p w:rsidR="00F70F1D" w:rsidRPr="00CA196C" w:rsidRDefault="00F70F1D" w:rsidP="00F70F1D">
      <w:pPr>
        <w:spacing w:after="0" w:line="240" w:lineRule="auto"/>
        <w:jc w:val="both"/>
        <w:outlineLvl w:val="1"/>
        <w:rPr>
          <w:rFonts w:ascii="Bookman Old Style" w:eastAsia="Times New Roman" w:hAnsi="Bookman Old Style" w:cs="Times New Roman"/>
          <w:bCs/>
          <w:sz w:val="24"/>
          <w:szCs w:val="24"/>
          <w:u w:color="000000"/>
          <w:bdr w:val="nil"/>
        </w:rPr>
      </w:pPr>
    </w:p>
    <w:p w:rsidR="00F70F1D" w:rsidRPr="00F21C3C" w:rsidRDefault="00DE3A23" w:rsidP="00FA08A9">
      <w:pPr>
        <w:pStyle w:val="Paragraphedeliste"/>
        <w:numPr>
          <w:ilvl w:val="0"/>
          <w:numId w:val="5"/>
        </w:numPr>
        <w:spacing w:after="0" w:line="240" w:lineRule="auto"/>
        <w:jc w:val="both"/>
        <w:outlineLvl w:val="1"/>
        <w:rPr>
          <w:rFonts w:ascii="Bookman Old Style" w:eastAsia="Times New Roman" w:hAnsi="Bookman Old Style" w:cs="Times New Roman"/>
          <w:bCs/>
          <w:i/>
          <w:sz w:val="24"/>
          <w:szCs w:val="24"/>
          <w:u w:color="000000"/>
          <w:bdr w:val="nil"/>
        </w:rPr>
      </w:pPr>
      <w:bookmarkStart w:id="252" w:name="_Toc511080929"/>
      <w:bookmarkStart w:id="253" w:name="_Toc511081605"/>
      <w:r w:rsidRPr="00CA196C">
        <w:rPr>
          <w:rFonts w:ascii="Bookman Old Style" w:hAnsi="Bookman Old Style" w:cs="Times New Roman"/>
          <w:sz w:val="24"/>
          <w:szCs w:val="24"/>
        </w:rPr>
        <w:t>Ce</w:t>
      </w:r>
      <w:r w:rsidRPr="00CA196C">
        <w:rPr>
          <w:rFonts w:ascii="Bookman Old Style" w:eastAsia="Times New Roman" w:hAnsi="Bookman Old Style" w:cs="Times New Roman"/>
          <w:bCs/>
          <w:sz w:val="24"/>
          <w:szCs w:val="24"/>
          <w:u w:color="000000"/>
          <w:bdr w:val="nil"/>
        </w:rPr>
        <w:t xml:space="preserve">tte orientation stratégique guidera le </w:t>
      </w:r>
      <w:r w:rsidR="00D71F7F" w:rsidRPr="00CA196C">
        <w:rPr>
          <w:rFonts w:ascii="Bookman Old Style" w:eastAsia="Times New Roman" w:hAnsi="Bookman Old Style" w:cs="Times New Roman"/>
          <w:bCs/>
          <w:sz w:val="24"/>
          <w:szCs w:val="24"/>
          <w:u w:color="000000"/>
          <w:bdr w:val="nil"/>
        </w:rPr>
        <w:t>Gouvernement</w:t>
      </w:r>
      <w:r w:rsidRPr="00CA196C">
        <w:rPr>
          <w:rFonts w:ascii="Bookman Old Style" w:eastAsia="Times New Roman" w:hAnsi="Bookman Old Style" w:cs="Times New Roman"/>
          <w:bCs/>
          <w:sz w:val="24"/>
          <w:szCs w:val="24"/>
          <w:u w:color="000000"/>
          <w:bdr w:val="nil"/>
        </w:rPr>
        <w:t xml:space="preserve"> du Burundi à traduire ses aspirations au mieux-être économique et social des Burundais à travers </w:t>
      </w:r>
      <w:r w:rsidR="00FA08A9" w:rsidRPr="00CA196C">
        <w:rPr>
          <w:rFonts w:ascii="Bookman Old Style" w:eastAsia="Times New Roman" w:hAnsi="Bookman Old Style" w:cs="Times New Roman"/>
          <w:bCs/>
          <w:sz w:val="24"/>
          <w:szCs w:val="24"/>
          <w:u w:color="000000"/>
          <w:bdr w:val="nil"/>
        </w:rPr>
        <w:t>deux</w:t>
      </w:r>
      <w:r w:rsidR="00DC13E8" w:rsidRPr="00CA196C">
        <w:rPr>
          <w:rFonts w:ascii="Bookman Old Style" w:eastAsia="Times New Roman" w:hAnsi="Bookman Old Style" w:cs="Times New Roman"/>
          <w:bCs/>
          <w:sz w:val="24"/>
          <w:szCs w:val="24"/>
          <w:u w:color="000000"/>
          <w:bdr w:val="nil"/>
        </w:rPr>
        <w:t xml:space="preserve"> </w:t>
      </w:r>
      <w:r w:rsidR="00B27E07" w:rsidRPr="00CA196C">
        <w:rPr>
          <w:rFonts w:ascii="Bookman Old Style" w:eastAsia="Times New Roman" w:hAnsi="Bookman Old Style" w:cs="Times New Roman"/>
          <w:bCs/>
          <w:sz w:val="24"/>
          <w:szCs w:val="24"/>
          <w:u w:color="000000"/>
          <w:bdr w:val="nil"/>
        </w:rPr>
        <w:t>axes</w:t>
      </w:r>
      <w:r w:rsidR="00F70F1D" w:rsidRPr="00CA196C">
        <w:rPr>
          <w:rFonts w:ascii="Bookman Old Style" w:eastAsia="Times New Roman" w:hAnsi="Bookman Old Style" w:cs="Times New Roman"/>
          <w:bCs/>
          <w:sz w:val="24"/>
          <w:szCs w:val="24"/>
          <w:u w:color="000000"/>
          <w:bdr w:val="nil"/>
        </w:rPr>
        <w:t xml:space="preserve"> d’intervention: </w:t>
      </w:r>
      <w:r w:rsidR="00A63C3D" w:rsidRPr="00F21C3C">
        <w:rPr>
          <w:rFonts w:ascii="Bookman Old Style" w:eastAsia="Times New Roman" w:hAnsi="Bookman Old Style" w:cs="Times New Roman"/>
          <w:bCs/>
          <w:i/>
          <w:sz w:val="24"/>
          <w:szCs w:val="24"/>
          <w:u w:color="000000"/>
          <w:bdr w:val="nil"/>
        </w:rPr>
        <w:t xml:space="preserve">Axe </w:t>
      </w:r>
      <w:r w:rsidR="00F21C3C" w:rsidRPr="00F21C3C">
        <w:rPr>
          <w:rFonts w:ascii="Bookman Old Style" w:eastAsia="Times New Roman" w:hAnsi="Bookman Old Style" w:cs="Times New Roman"/>
          <w:bCs/>
          <w:i/>
          <w:sz w:val="24"/>
          <w:szCs w:val="24"/>
          <w:u w:color="000000"/>
          <w:bdr w:val="nil"/>
        </w:rPr>
        <w:t>1</w:t>
      </w:r>
      <w:r w:rsidR="00F21C3C">
        <w:rPr>
          <w:rFonts w:ascii="Bookman Old Style" w:eastAsia="Times New Roman" w:hAnsi="Bookman Old Style" w:cs="Times New Roman"/>
          <w:bCs/>
          <w:i/>
          <w:sz w:val="24"/>
          <w:szCs w:val="24"/>
          <w:u w:color="000000"/>
          <w:bdr w:val="nil"/>
        </w:rPr>
        <w:t>3</w:t>
      </w:r>
      <w:r w:rsidR="00A63C3D" w:rsidRPr="00F21C3C">
        <w:rPr>
          <w:rFonts w:ascii="Bookman Old Style" w:eastAsia="Times New Roman" w:hAnsi="Bookman Old Style" w:cs="Times New Roman"/>
          <w:bCs/>
          <w:i/>
          <w:sz w:val="24"/>
          <w:szCs w:val="24"/>
          <w:u w:color="000000"/>
          <w:bdr w:val="nil"/>
        </w:rPr>
        <w:t xml:space="preserve">. </w:t>
      </w:r>
      <w:r w:rsidR="00FA08A9" w:rsidRPr="00F21C3C">
        <w:rPr>
          <w:rFonts w:ascii="Bookman Old Style" w:eastAsia="Times New Roman" w:hAnsi="Bookman Old Style" w:cs="Times New Roman"/>
          <w:bCs/>
          <w:i/>
          <w:sz w:val="24"/>
          <w:szCs w:val="24"/>
          <w:u w:color="000000"/>
          <w:bdr w:val="nil"/>
        </w:rPr>
        <w:t xml:space="preserve">La Gouvernance et </w:t>
      </w:r>
      <w:r w:rsidR="00F21C3C" w:rsidRPr="00F21C3C">
        <w:rPr>
          <w:rFonts w:ascii="Bookman Old Style" w:hAnsi="Bookman Old Style" w:cs="Times New Roman"/>
          <w:i/>
          <w:sz w:val="24"/>
          <w:szCs w:val="24"/>
        </w:rPr>
        <w:t xml:space="preserve">Axe </w:t>
      </w:r>
      <w:r w:rsidR="00F21C3C">
        <w:rPr>
          <w:rFonts w:ascii="Bookman Old Style" w:hAnsi="Bookman Old Style" w:cs="Times New Roman"/>
          <w:i/>
          <w:sz w:val="24"/>
          <w:szCs w:val="24"/>
        </w:rPr>
        <w:t>14</w:t>
      </w:r>
      <w:r w:rsidR="00A63C3D" w:rsidRPr="00F21C3C">
        <w:rPr>
          <w:rFonts w:ascii="Bookman Old Style" w:hAnsi="Bookman Old Style" w:cs="Times New Roman"/>
          <w:i/>
          <w:sz w:val="24"/>
          <w:szCs w:val="24"/>
        </w:rPr>
        <w:t xml:space="preserve">. </w:t>
      </w:r>
      <w:r w:rsidR="00FA08A9" w:rsidRPr="00F21C3C">
        <w:rPr>
          <w:rFonts w:ascii="Bookman Old Style" w:hAnsi="Bookman Old Style" w:cs="Times New Roman"/>
          <w:i/>
          <w:sz w:val="24"/>
          <w:szCs w:val="24"/>
        </w:rPr>
        <w:t>Sécurité et défense nationale.</w:t>
      </w:r>
      <w:bookmarkEnd w:id="252"/>
      <w:bookmarkEnd w:id="253"/>
    </w:p>
    <w:p w:rsidR="00F70F1D" w:rsidRPr="00CA196C" w:rsidRDefault="00F70F1D" w:rsidP="00F70F1D">
      <w:pPr>
        <w:pStyle w:val="Paragraphedeliste"/>
        <w:rPr>
          <w:rFonts w:ascii="Bookman Old Style" w:eastAsia="Times New Roman" w:hAnsi="Bookman Old Style" w:cs="Times New Roman"/>
          <w:bCs/>
          <w:sz w:val="24"/>
          <w:szCs w:val="24"/>
          <w:u w:color="000000"/>
          <w:bdr w:val="nil"/>
        </w:rPr>
      </w:pPr>
    </w:p>
    <w:p w:rsidR="00DE3A23" w:rsidRPr="00CA196C" w:rsidRDefault="00DE3A23" w:rsidP="00CD26FF">
      <w:pPr>
        <w:pStyle w:val="Paragraphedeliste"/>
        <w:numPr>
          <w:ilvl w:val="0"/>
          <w:numId w:val="5"/>
        </w:numPr>
        <w:spacing w:after="0" w:line="240" w:lineRule="auto"/>
        <w:jc w:val="both"/>
        <w:outlineLvl w:val="1"/>
        <w:rPr>
          <w:rFonts w:ascii="Bookman Old Style" w:eastAsia="Times New Roman" w:hAnsi="Bookman Old Style" w:cs="Times New Roman"/>
          <w:bCs/>
          <w:sz w:val="24"/>
          <w:szCs w:val="24"/>
          <w:u w:color="000000"/>
          <w:bdr w:val="nil"/>
        </w:rPr>
      </w:pPr>
      <w:bookmarkStart w:id="254" w:name="_Toc511080930"/>
      <w:bookmarkStart w:id="255" w:name="_Toc511081606"/>
      <w:r w:rsidRPr="00CA196C">
        <w:rPr>
          <w:rFonts w:ascii="Bookman Old Style" w:eastAsia="Times New Roman" w:hAnsi="Bookman Old Style" w:cs="Times New Roman"/>
          <w:bCs/>
          <w:sz w:val="24"/>
          <w:szCs w:val="24"/>
          <w:u w:color="000000"/>
          <w:bdr w:val="nil"/>
        </w:rPr>
        <w:t xml:space="preserve">A travers les </w:t>
      </w:r>
      <w:r w:rsidR="00FA08A9" w:rsidRPr="00CA196C">
        <w:rPr>
          <w:rFonts w:ascii="Bookman Old Style" w:eastAsia="Times New Roman" w:hAnsi="Bookman Old Style" w:cs="Times New Roman"/>
          <w:bCs/>
          <w:sz w:val="24"/>
          <w:szCs w:val="24"/>
          <w:u w:color="000000"/>
          <w:bdr w:val="nil"/>
        </w:rPr>
        <w:t>deux</w:t>
      </w:r>
      <w:r w:rsidRPr="00CA196C">
        <w:rPr>
          <w:rFonts w:ascii="Bookman Old Style" w:eastAsia="Times New Roman" w:hAnsi="Bookman Old Style" w:cs="Times New Roman"/>
          <w:bCs/>
          <w:sz w:val="24"/>
          <w:szCs w:val="24"/>
          <w:u w:color="000000"/>
          <w:bdr w:val="nil"/>
        </w:rPr>
        <w:t xml:space="preserve"> axes d’intervention, le </w:t>
      </w:r>
      <w:r w:rsidR="000920EC" w:rsidRPr="00CA196C">
        <w:rPr>
          <w:rFonts w:ascii="Bookman Old Style" w:eastAsia="Times New Roman" w:hAnsi="Bookman Old Style" w:cs="Times New Roman"/>
          <w:bCs/>
          <w:sz w:val="24"/>
          <w:szCs w:val="24"/>
          <w:u w:color="000000"/>
          <w:bdr w:val="nil"/>
        </w:rPr>
        <w:t>PND BURUNDI 2018-2027</w:t>
      </w:r>
      <w:r w:rsidRPr="00CA196C">
        <w:rPr>
          <w:rFonts w:ascii="Bookman Old Style" w:eastAsia="Times New Roman" w:hAnsi="Bookman Old Style" w:cs="Times New Roman"/>
          <w:bCs/>
          <w:sz w:val="24"/>
          <w:szCs w:val="24"/>
          <w:u w:color="000000"/>
          <w:bdr w:val="nil"/>
        </w:rPr>
        <w:t xml:space="preserve"> v</w:t>
      </w:r>
      <w:r w:rsidR="00F70F1D" w:rsidRPr="00CA196C">
        <w:rPr>
          <w:rFonts w:ascii="Bookman Old Style" w:eastAsia="Times New Roman" w:hAnsi="Bookman Old Style" w:cs="Times New Roman"/>
          <w:bCs/>
          <w:sz w:val="24"/>
          <w:szCs w:val="24"/>
          <w:u w:color="000000"/>
          <w:bdr w:val="nil"/>
        </w:rPr>
        <w:t xml:space="preserve">a </w:t>
      </w:r>
      <w:r w:rsidRPr="00CA196C">
        <w:rPr>
          <w:rFonts w:ascii="Bookman Old Style" w:eastAsia="Times New Roman" w:hAnsi="Bookman Old Style" w:cs="Times New Roman"/>
          <w:bCs/>
          <w:sz w:val="24"/>
          <w:szCs w:val="24"/>
          <w:u w:color="000000"/>
          <w:bdr w:val="nil"/>
        </w:rPr>
        <w:t xml:space="preserve">agir pour la réalisation des objectifs de renforcement des institutions et acteurs politiques, la promotion de la justice et de la protection des droits humains, l’efficacité des institutions, et l’éradication des inégalités et l’autonomisation de la femme. </w:t>
      </w:r>
      <w:r w:rsidR="00AC2ECA" w:rsidRPr="00CA196C">
        <w:rPr>
          <w:rFonts w:ascii="Bookman Old Style" w:eastAsia="Times New Roman" w:hAnsi="Bookman Old Style" w:cs="Times New Roman"/>
          <w:bCs/>
          <w:sz w:val="24"/>
          <w:szCs w:val="24"/>
          <w:u w:color="000000"/>
          <w:bdr w:val="nil"/>
        </w:rPr>
        <w:t xml:space="preserve">Sur </w:t>
      </w:r>
      <w:r w:rsidRPr="00CA196C">
        <w:rPr>
          <w:rFonts w:ascii="Bookman Old Style" w:hAnsi="Bookman Old Style" w:cs="Times New Roman"/>
          <w:sz w:val="24"/>
          <w:szCs w:val="24"/>
        </w:rPr>
        <w:t xml:space="preserve">la décennie </w:t>
      </w:r>
      <w:r w:rsidRPr="00CA196C">
        <w:rPr>
          <w:rFonts w:ascii="Bookman Old Style" w:eastAsia="Times New Roman" w:hAnsi="Bookman Old Style" w:cs="Times New Roman"/>
          <w:bCs/>
          <w:sz w:val="24"/>
          <w:szCs w:val="24"/>
          <w:u w:color="000000"/>
          <w:bdr w:val="nil"/>
        </w:rPr>
        <w:t>2018-2027</w:t>
      </w:r>
      <w:r w:rsidR="00AC2ECA" w:rsidRPr="00CA196C">
        <w:rPr>
          <w:rFonts w:ascii="Bookman Old Style" w:eastAsia="Times New Roman" w:hAnsi="Bookman Old Style" w:cs="Times New Roman"/>
          <w:bCs/>
          <w:sz w:val="24"/>
          <w:szCs w:val="24"/>
          <w:u w:color="000000"/>
          <w:bdr w:val="nil"/>
        </w:rPr>
        <w:t>, les</w:t>
      </w:r>
      <w:r w:rsidR="00AC2ECA" w:rsidRPr="00CA196C">
        <w:rPr>
          <w:rFonts w:ascii="Bookman Old Style" w:hAnsi="Bookman Old Style" w:cs="Times New Roman"/>
          <w:sz w:val="24"/>
          <w:szCs w:val="24"/>
        </w:rPr>
        <w:t xml:space="preserve"> actions du </w:t>
      </w:r>
      <w:r w:rsidR="00D71F7F" w:rsidRPr="00CA196C">
        <w:rPr>
          <w:rFonts w:ascii="Bookman Old Style" w:hAnsi="Bookman Old Style" w:cs="Times New Roman"/>
          <w:sz w:val="24"/>
          <w:szCs w:val="24"/>
        </w:rPr>
        <w:t>Gouvernement</w:t>
      </w:r>
      <w:r w:rsidR="00AC2ECA" w:rsidRPr="00CA196C">
        <w:rPr>
          <w:rFonts w:ascii="Bookman Old Style" w:hAnsi="Bookman Old Style" w:cs="Times New Roman"/>
          <w:sz w:val="24"/>
          <w:szCs w:val="24"/>
        </w:rPr>
        <w:t xml:space="preserve"> du Burundi </w:t>
      </w:r>
      <w:r w:rsidRPr="00CA196C">
        <w:rPr>
          <w:rFonts w:ascii="Bookman Old Style" w:hAnsi="Bookman Old Style" w:cs="Times New Roman"/>
          <w:sz w:val="24"/>
          <w:szCs w:val="24"/>
        </w:rPr>
        <w:t>seront orienté</w:t>
      </w:r>
      <w:r w:rsidR="00AC2ECA" w:rsidRPr="00CA196C">
        <w:rPr>
          <w:rFonts w:ascii="Bookman Old Style" w:hAnsi="Bookman Old Style" w:cs="Times New Roman"/>
          <w:sz w:val="24"/>
          <w:szCs w:val="24"/>
        </w:rPr>
        <w:t>e</w:t>
      </w:r>
      <w:r w:rsidRPr="00CA196C">
        <w:rPr>
          <w:rFonts w:ascii="Bookman Old Style" w:hAnsi="Bookman Old Style" w:cs="Times New Roman"/>
          <w:sz w:val="24"/>
          <w:szCs w:val="24"/>
        </w:rPr>
        <w:t xml:space="preserve">s </w:t>
      </w:r>
      <w:r w:rsidR="00DC13E8" w:rsidRPr="00CA196C">
        <w:rPr>
          <w:rFonts w:ascii="Bookman Old Style" w:hAnsi="Bookman Old Style" w:cs="Times New Roman"/>
          <w:sz w:val="24"/>
          <w:szCs w:val="24"/>
        </w:rPr>
        <w:t xml:space="preserve">dans </w:t>
      </w:r>
      <w:r w:rsidRPr="00CA196C">
        <w:rPr>
          <w:rFonts w:ascii="Bookman Old Style" w:hAnsi="Bookman Old Style" w:cs="Times New Roman"/>
          <w:sz w:val="24"/>
          <w:szCs w:val="24"/>
        </w:rPr>
        <w:t xml:space="preserve">la réalisation de réformes et </w:t>
      </w:r>
      <w:r w:rsidR="00FA08A9" w:rsidRPr="00CA196C">
        <w:rPr>
          <w:rFonts w:ascii="Bookman Old Style" w:hAnsi="Bookman Old Style" w:cs="Times New Roman"/>
          <w:sz w:val="24"/>
          <w:szCs w:val="24"/>
        </w:rPr>
        <w:t>de mesures visant l’atteinte de 8</w:t>
      </w:r>
      <w:r w:rsidR="00F70F1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objectifs</w:t>
      </w:r>
      <w:r w:rsidR="00362761" w:rsidRPr="00CA196C">
        <w:rPr>
          <w:rFonts w:ascii="Bookman Old Style" w:hAnsi="Bookman Old Style" w:cs="Times New Roman"/>
          <w:sz w:val="24"/>
          <w:szCs w:val="24"/>
        </w:rPr>
        <w:t xml:space="preserve"> </w:t>
      </w:r>
      <w:r w:rsidR="00DC13E8" w:rsidRPr="00CA196C">
        <w:rPr>
          <w:rFonts w:ascii="Bookman Old Style" w:hAnsi="Bookman Old Style" w:cs="Times New Roman"/>
          <w:sz w:val="24"/>
          <w:szCs w:val="24"/>
        </w:rPr>
        <w:t>stratégique</w:t>
      </w:r>
      <w:r w:rsidR="00F70F1D" w:rsidRPr="00CA196C">
        <w:rPr>
          <w:rFonts w:ascii="Bookman Old Style" w:hAnsi="Bookman Old Style" w:cs="Times New Roman"/>
          <w:sz w:val="24"/>
          <w:szCs w:val="24"/>
        </w:rPr>
        <w:t>s</w:t>
      </w:r>
      <w:r w:rsidR="00927B16">
        <w:rPr>
          <w:rFonts w:ascii="Bookman Old Style" w:hAnsi="Bookman Old Style" w:cs="Times New Roman"/>
          <w:sz w:val="24"/>
          <w:szCs w:val="24"/>
        </w:rPr>
        <w:t>.</w:t>
      </w:r>
      <w:bookmarkEnd w:id="254"/>
      <w:bookmarkEnd w:id="255"/>
    </w:p>
    <w:p w:rsidR="00EE0F28" w:rsidRPr="00CA196C" w:rsidRDefault="00EE0F28" w:rsidP="00E92676">
      <w:pPr>
        <w:autoSpaceDE w:val="0"/>
        <w:autoSpaceDN w:val="0"/>
        <w:adjustRightInd w:val="0"/>
        <w:spacing w:after="0" w:line="240" w:lineRule="auto"/>
        <w:jc w:val="both"/>
        <w:rPr>
          <w:rFonts w:ascii="Bookman Old Style" w:hAnsi="Bookman Old Style" w:cs="Times New Roman"/>
          <w:b/>
          <w:sz w:val="24"/>
          <w:szCs w:val="24"/>
        </w:rPr>
      </w:pPr>
    </w:p>
    <w:p w:rsidR="00EE6564" w:rsidRPr="00CA196C" w:rsidRDefault="00BC33DD" w:rsidP="008B5E1D">
      <w:pPr>
        <w:pStyle w:val="Titre"/>
        <w:rPr>
          <w:rFonts w:ascii="Bookman Old Style" w:hAnsi="Bookman Old Style"/>
          <w:b w:val="0"/>
          <w:sz w:val="20"/>
          <w:szCs w:val="20"/>
        </w:rPr>
      </w:pPr>
      <w:bookmarkStart w:id="256" w:name="_Toc511076250"/>
      <w:bookmarkStart w:id="257" w:name="_Toc511080931"/>
      <w:bookmarkStart w:id="258" w:name="_Toc511081607"/>
      <w:r w:rsidRPr="00CA196C">
        <w:rPr>
          <w:rFonts w:ascii="Bookman Old Style" w:hAnsi="Bookman Old Style"/>
        </w:rPr>
        <w:lastRenderedPageBreak/>
        <w:t xml:space="preserve">Tableau </w:t>
      </w:r>
      <w:r w:rsidR="002A02BE">
        <w:rPr>
          <w:rFonts w:ascii="Bookman Old Style" w:hAnsi="Bookman Old Style"/>
        </w:rPr>
        <w:t>11</w:t>
      </w:r>
      <w:r w:rsidRPr="00CA196C">
        <w:rPr>
          <w:rFonts w:ascii="Bookman Old Style" w:hAnsi="Bookman Old Style"/>
        </w:rPr>
        <w:t xml:space="preserve">. </w:t>
      </w:r>
      <w:r w:rsidR="005C5001" w:rsidRPr="00CA196C">
        <w:rPr>
          <w:rFonts w:ascii="Bookman Old Style" w:hAnsi="Bookman Old Style"/>
        </w:rPr>
        <w:t xml:space="preserve">Axes d’intervention et objectifs </w:t>
      </w:r>
      <w:r w:rsidR="00006D95" w:rsidRPr="00CA196C">
        <w:rPr>
          <w:rFonts w:ascii="Bookman Old Style" w:hAnsi="Bookman Old Style"/>
        </w:rPr>
        <w:t xml:space="preserve"> </w:t>
      </w:r>
      <w:r w:rsidR="00DE3A23" w:rsidRPr="00CA196C">
        <w:rPr>
          <w:rFonts w:ascii="Bookman Old Style" w:hAnsi="Bookman Old Style"/>
        </w:rPr>
        <w:t xml:space="preserve">pour </w:t>
      </w:r>
      <w:r w:rsidR="009F6773">
        <w:rPr>
          <w:rFonts w:ascii="Bookman Old Style" w:hAnsi="Bookman Old Style"/>
        </w:rPr>
        <w:t xml:space="preserve">l’orientation stratégique n°4 </w:t>
      </w:r>
      <w:r w:rsidR="00DE3A23" w:rsidRPr="00CA196C">
        <w:rPr>
          <w:rFonts w:ascii="Bookman Old Style" w:hAnsi="Bookman Old Style"/>
        </w:rPr>
        <w:t xml:space="preserve">du </w:t>
      </w:r>
      <w:r w:rsidR="000920EC" w:rsidRPr="00CA196C">
        <w:rPr>
          <w:rFonts w:ascii="Bookman Old Style" w:hAnsi="Bookman Old Style"/>
        </w:rPr>
        <w:t>PND BURUNDI 2018-2027</w:t>
      </w:r>
      <w:bookmarkEnd w:id="256"/>
      <w:bookmarkEnd w:id="257"/>
      <w:bookmarkEnd w:id="258"/>
    </w:p>
    <w:tbl>
      <w:tblPr>
        <w:tblStyle w:val="Grilleclaire-Accent5"/>
        <w:tblW w:w="9498" w:type="dxa"/>
        <w:tblInd w:w="108" w:type="dxa"/>
        <w:tblLook w:val="04A0" w:firstRow="1" w:lastRow="0" w:firstColumn="1" w:lastColumn="0" w:noHBand="0" w:noVBand="1"/>
      </w:tblPr>
      <w:tblGrid>
        <w:gridCol w:w="3686"/>
        <w:gridCol w:w="5812"/>
      </w:tblGrid>
      <w:tr w:rsidR="004D3B71" w:rsidRPr="00CA196C" w:rsidTr="00014B8B">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86" w:type="dxa"/>
          </w:tcPr>
          <w:p w:rsidR="004D3B71" w:rsidRPr="00CA196C" w:rsidRDefault="004D3B71" w:rsidP="00014B8B">
            <w:pPr>
              <w:ind w:left="142"/>
              <w:contextualSpacing/>
              <w:jc w:val="both"/>
              <w:outlineLvl w:val="1"/>
              <w:rPr>
                <w:rFonts w:ascii="Bookman Old Style" w:eastAsia="Times New Roman" w:hAnsi="Bookman Old Style" w:cs="Times New Roman"/>
                <w:bCs w:val="0"/>
                <w:sz w:val="20"/>
                <w:szCs w:val="20"/>
                <w:u w:color="000000"/>
                <w:bdr w:val="nil"/>
              </w:rPr>
            </w:pPr>
            <w:bookmarkStart w:id="259" w:name="_Toc511080932"/>
            <w:bookmarkStart w:id="260" w:name="_Toc511081608"/>
            <w:r w:rsidRPr="00CA196C">
              <w:rPr>
                <w:rFonts w:ascii="Bookman Old Style" w:hAnsi="Bookman Old Style" w:cs="Times New Roman"/>
                <w:sz w:val="20"/>
                <w:szCs w:val="20"/>
              </w:rPr>
              <w:t>Axe  d’intervention</w:t>
            </w:r>
            <w:r w:rsidR="00A67785" w:rsidRPr="00CA196C">
              <w:rPr>
                <w:rFonts w:ascii="Bookman Old Style" w:hAnsi="Bookman Old Style" w:cs="Times New Roman"/>
                <w:sz w:val="20"/>
                <w:szCs w:val="20"/>
              </w:rPr>
              <w:t>s</w:t>
            </w:r>
            <w:bookmarkEnd w:id="259"/>
            <w:bookmarkEnd w:id="260"/>
          </w:p>
          <w:p w:rsidR="004D3B71" w:rsidRPr="00CA196C" w:rsidRDefault="004D3B71" w:rsidP="00014B8B">
            <w:pPr>
              <w:autoSpaceDE w:val="0"/>
              <w:autoSpaceDN w:val="0"/>
              <w:adjustRightInd w:val="0"/>
              <w:jc w:val="both"/>
              <w:rPr>
                <w:rFonts w:ascii="Bookman Old Style" w:hAnsi="Bookman Old Style" w:cs="Times New Roman"/>
                <w:sz w:val="20"/>
                <w:szCs w:val="20"/>
              </w:rPr>
            </w:pPr>
          </w:p>
        </w:tc>
        <w:tc>
          <w:tcPr>
            <w:tcW w:w="5812" w:type="dxa"/>
          </w:tcPr>
          <w:p w:rsidR="004D3B71" w:rsidRPr="00CA196C" w:rsidRDefault="00EE6564" w:rsidP="00014B8B">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Objectifs stratégiques</w:t>
            </w:r>
          </w:p>
        </w:tc>
      </w:tr>
      <w:tr w:rsidR="008B5E1D" w:rsidRPr="00CA196C" w:rsidTr="0001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tcPr>
          <w:p w:rsidR="008B5E1D" w:rsidRPr="00CA196C" w:rsidRDefault="008B5E1D" w:rsidP="00A030A8">
            <w:pPr>
              <w:autoSpaceDE w:val="0"/>
              <w:autoSpaceDN w:val="0"/>
              <w:adjustRightInd w:val="0"/>
              <w:jc w:val="both"/>
              <w:rPr>
                <w:rFonts w:ascii="Bookman Old Style" w:hAnsi="Bookman Old Style" w:cs="Times New Roman"/>
                <w:sz w:val="20"/>
                <w:szCs w:val="20"/>
              </w:rPr>
            </w:pPr>
            <w:r w:rsidRPr="00CA196C">
              <w:rPr>
                <w:rFonts w:ascii="Bookman Old Style" w:hAnsi="Bookman Old Style" w:cs="Times New Roman"/>
                <w:sz w:val="20"/>
                <w:szCs w:val="20"/>
              </w:rPr>
              <w:t>Axe 1</w:t>
            </w:r>
            <w:r w:rsidR="004D12FA">
              <w:rPr>
                <w:rFonts w:ascii="Bookman Old Style" w:hAnsi="Bookman Old Style" w:cs="Times New Roman"/>
                <w:sz w:val="20"/>
                <w:szCs w:val="20"/>
              </w:rPr>
              <w:t>3</w:t>
            </w:r>
            <w:r w:rsidRPr="00CA196C">
              <w:rPr>
                <w:rFonts w:ascii="Bookman Old Style" w:hAnsi="Bookman Old Style" w:cs="Times New Roman"/>
                <w:sz w:val="20"/>
                <w:szCs w:val="20"/>
              </w:rPr>
              <w:t xml:space="preserve">: </w:t>
            </w:r>
            <w:r w:rsidRPr="00CA196C">
              <w:rPr>
                <w:rFonts w:ascii="Bookman Old Style" w:hAnsi="Bookman Old Style" w:cs="Times New Roman"/>
                <w:iCs/>
                <w:sz w:val="20"/>
                <w:szCs w:val="20"/>
              </w:rPr>
              <w:t>Gouvernance</w:t>
            </w:r>
          </w:p>
        </w:tc>
        <w:tc>
          <w:tcPr>
            <w:tcW w:w="5812" w:type="dxa"/>
          </w:tcPr>
          <w:p w:rsidR="008B5E1D" w:rsidRPr="00CA196C" w:rsidRDefault="008B5E1D" w:rsidP="00014B8B">
            <w:pPr>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w:t>
            </w:r>
            <w:r w:rsidR="00B14CA6" w:rsidRPr="00CA196C">
              <w:rPr>
                <w:rFonts w:ascii="Bookman Old Style" w:hAnsi="Bookman Old Style" w:cs="Times New Roman"/>
                <w:sz w:val="20"/>
                <w:szCs w:val="20"/>
              </w:rPr>
              <w:t xml:space="preserve"> </w:t>
            </w:r>
            <w:r w:rsidRPr="00CA196C">
              <w:rPr>
                <w:rFonts w:ascii="Bookman Old Style" w:hAnsi="Bookman Old Style" w:cs="Times New Roman"/>
                <w:sz w:val="20"/>
                <w:szCs w:val="20"/>
              </w:rPr>
              <w:t>1 : Améliorer la gestion des élections et des libertés publiques</w:t>
            </w:r>
          </w:p>
        </w:tc>
      </w:tr>
      <w:tr w:rsidR="008B5E1D" w:rsidRPr="00CA196C" w:rsidTr="00014B8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8B5E1D" w:rsidRPr="00CA196C" w:rsidRDefault="008B5E1D" w:rsidP="00014B8B">
            <w:pPr>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 2 : Consolider l’état de droit et  les droits humains</w:t>
            </w:r>
          </w:p>
        </w:tc>
      </w:tr>
      <w:tr w:rsidR="008B5E1D" w:rsidRPr="00CA196C" w:rsidTr="0001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71214D" w:rsidRPr="00CA196C" w:rsidRDefault="008B5E1D" w:rsidP="0071214D">
            <w:pPr>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3: </w:t>
            </w:r>
            <w:r w:rsidR="0071214D" w:rsidRPr="00CA196C">
              <w:rPr>
                <w:rFonts w:ascii="Bookman Old Style" w:hAnsi="Bookman Old Style" w:cs="Times New Roman"/>
                <w:sz w:val="20"/>
                <w:szCs w:val="20"/>
              </w:rPr>
              <w:t xml:space="preserve">Consolider la bonne gouvernance et éradiquer la </w:t>
            </w:r>
          </w:p>
          <w:p w:rsidR="0071214D" w:rsidRPr="00CA196C" w:rsidRDefault="0071214D" w:rsidP="0071214D">
            <w:pPr>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corruption et les malversations économiques et financières</w:t>
            </w:r>
          </w:p>
          <w:p w:rsidR="008B5E1D" w:rsidRPr="00CA196C" w:rsidRDefault="0071214D" w:rsidP="0071214D">
            <w:pPr>
              <w:ind w:left="2268" w:hanging="2268"/>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 sous toutes leurs formes et à tous les niveaux </w:t>
            </w:r>
          </w:p>
        </w:tc>
      </w:tr>
      <w:tr w:rsidR="008B5E1D" w:rsidRPr="00CA196C" w:rsidTr="00014B8B">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8B5E1D" w:rsidRPr="00CA196C" w:rsidRDefault="008B5E1D" w:rsidP="0071214D">
            <w:pPr>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w:t>
            </w:r>
            <w:r w:rsidR="00B14CA6" w:rsidRPr="00CA196C">
              <w:rPr>
                <w:rFonts w:ascii="Bookman Old Style" w:hAnsi="Bookman Old Style" w:cs="Times New Roman"/>
                <w:sz w:val="20"/>
                <w:szCs w:val="20"/>
              </w:rPr>
              <w:t xml:space="preserve"> </w:t>
            </w:r>
            <w:r w:rsidRPr="00CA196C">
              <w:rPr>
                <w:rFonts w:ascii="Bookman Old Style" w:hAnsi="Bookman Old Style" w:cs="Times New Roman"/>
                <w:sz w:val="20"/>
                <w:szCs w:val="20"/>
              </w:rPr>
              <w:t xml:space="preserve">4 : </w:t>
            </w:r>
            <w:r w:rsidR="0071214D" w:rsidRPr="00CA196C">
              <w:rPr>
                <w:rFonts w:ascii="Bookman Old Style" w:hAnsi="Bookman Old Style" w:cs="Times New Roman"/>
                <w:sz w:val="20"/>
                <w:szCs w:val="20"/>
              </w:rPr>
              <w:t>Améliorer la gouvernance locale pour un développement inclusif et durable</w:t>
            </w:r>
          </w:p>
        </w:tc>
      </w:tr>
      <w:tr w:rsidR="008B5E1D" w:rsidRPr="00CA196C" w:rsidTr="00014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8B5E1D" w:rsidRPr="00CA196C" w:rsidRDefault="008B5E1D" w:rsidP="00A030A8">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w:t>
            </w:r>
            <w:r w:rsidR="00B14CA6" w:rsidRPr="00CA196C">
              <w:rPr>
                <w:rFonts w:ascii="Bookman Old Style" w:hAnsi="Bookman Old Style" w:cs="Times New Roman"/>
                <w:sz w:val="20"/>
                <w:szCs w:val="20"/>
              </w:rPr>
              <w:t xml:space="preserve"> </w:t>
            </w:r>
            <w:r w:rsidRPr="00CA196C">
              <w:rPr>
                <w:rFonts w:ascii="Bookman Old Style" w:hAnsi="Bookman Old Style" w:cs="Times New Roman"/>
                <w:sz w:val="20"/>
                <w:szCs w:val="20"/>
              </w:rPr>
              <w:t xml:space="preserve">5 : Moderniser l’administration publique à tous les niveaux  </w:t>
            </w:r>
          </w:p>
        </w:tc>
      </w:tr>
      <w:tr w:rsidR="008B5E1D" w:rsidRPr="00CA196C" w:rsidTr="00014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tcPr>
          <w:p w:rsidR="008B5E1D" w:rsidRPr="00CA196C" w:rsidRDefault="008B5E1D" w:rsidP="00014B8B">
            <w:pPr>
              <w:autoSpaceDE w:val="0"/>
              <w:autoSpaceDN w:val="0"/>
              <w:adjustRightInd w:val="0"/>
              <w:jc w:val="both"/>
              <w:rPr>
                <w:rFonts w:ascii="Bookman Old Style" w:hAnsi="Bookman Old Style" w:cs="Times New Roman"/>
                <w:sz w:val="20"/>
                <w:szCs w:val="20"/>
              </w:rPr>
            </w:pPr>
          </w:p>
        </w:tc>
        <w:tc>
          <w:tcPr>
            <w:tcW w:w="5812" w:type="dxa"/>
          </w:tcPr>
          <w:p w:rsidR="008B5E1D" w:rsidRPr="00CA196C" w:rsidRDefault="008B5E1D" w:rsidP="00014B8B">
            <w:pPr>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OS 6: Améliorer le système de pilotage de l’économie et de l’information statistique dans tous les secteurs de la vie nationale</w:t>
            </w:r>
          </w:p>
        </w:tc>
      </w:tr>
      <w:tr w:rsidR="004D3B71" w:rsidRPr="00CA196C" w:rsidTr="008B5E1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686" w:type="dxa"/>
          </w:tcPr>
          <w:p w:rsidR="004D3B71" w:rsidRPr="00CA196C" w:rsidRDefault="00014B8B" w:rsidP="008B5E1D">
            <w:pPr>
              <w:autoSpaceDE w:val="0"/>
              <w:autoSpaceDN w:val="0"/>
              <w:adjustRightInd w:val="0"/>
              <w:jc w:val="both"/>
              <w:rPr>
                <w:rFonts w:ascii="Bookman Old Style" w:hAnsi="Bookman Old Style" w:cs="Times New Roman"/>
                <w:sz w:val="20"/>
                <w:szCs w:val="20"/>
              </w:rPr>
            </w:pPr>
            <w:r w:rsidRPr="00CA196C">
              <w:rPr>
                <w:rFonts w:ascii="Bookman Old Style" w:hAnsi="Bookman Old Style" w:cs="Times New Roman"/>
                <w:iCs/>
                <w:sz w:val="20"/>
                <w:szCs w:val="20"/>
              </w:rPr>
              <w:t xml:space="preserve">Axe </w:t>
            </w:r>
            <w:r w:rsidR="004D12FA">
              <w:rPr>
                <w:rFonts w:ascii="Bookman Old Style" w:hAnsi="Bookman Old Style" w:cs="Times New Roman"/>
                <w:iCs/>
                <w:sz w:val="20"/>
                <w:szCs w:val="20"/>
              </w:rPr>
              <w:t>14</w:t>
            </w:r>
            <w:r w:rsidR="004D3B71" w:rsidRPr="00CA196C">
              <w:rPr>
                <w:rFonts w:ascii="Bookman Old Style" w:hAnsi="Bookman Old Style" w:cs="Times New Roman"/>
                <w:iCs/>
                <w:sz w:val="20"/>
                <w:szCs w:val="20"/>
              </w:rPr>
              <w:t xml:space="preserve"> : </w:t>
            </w:r>
            <w:r w:rsidR="008B5E1D" w:rsidRPr="00CA196C">
              <w:rPr>
                <w:rFonts w:ascii="Bookman Old Style" w:hAnsi="Bookman Old Style" w:cs="Times New Roman"/>
                <w:iCs/>
                <w:sz w:val="20"/>
                <w:szCs w:val="20"/>
              </w:rPr>
              <w:t>Sécurité et défense nationale</w:t>
            </w:r>
          </w:p>
        </w:tc>
        <w:tc>
          <w:tcPr>
            <w:tcW w:w="5812" w:type="dxa"/>
          </w:tcPr>
          <w:p w:rsidR="004D3B71" w:rsidRPr="00CA196C" w:rsidRDefault="004D3B71" w:rsidP="0071214D">
            <w:pPr>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w:t>
            </w:r>
            <w:r w:rsidR="008D1C3C">
              <w:rPr>
                <w:rFonts w:ascii="Bookman Old Style" w:hAnsi="Bookman Old Style" w:cs="Times New Roman"/>
                <w:sz w:val="20"/>
                <w:szCs w:val="20"/>
              </w:rPr>
              <w:t>1</w:t>
            </w:r>
            <w:r w:rsidRPr="00CA196C">
              <w:rPr>
                <w:rFonts w:ascii="Bookman Old Style" w:hAnsi="Bookman Old Style" w:cs="Times New Roman"/>
                <w:sz w:val="20"/>
                <w:szCs w:val="20"/>
              </w:rPr>
              <w:t xml:space="preserve">: </w:t>
            </w:r>
            <w:r w:rsidR="008B5E1D" w:rsidRPr="00CA196C">
              <w:rPr>
                <w:rFonts w:ascii="Bookman Old Style" w:hAnsi="Bookman Old Style" w:cs="Times New Roman"/>
                <w:sz w:val="20"/>
                <w:szCs w:val="20"/>
              </w:rPr>
              <w:t>Garantir la sécurité, l’intégrité du territoire et la souveraineté nationale</w:t>
            </w:r>
          </w:p>
        </w:tc>
      </w:tr>
      <w:tr w:rsidR="008B5E1D" w:rsidRPr="00CA196C" w:rsidTr="008B5E1D">
        <w:trPr>
          <w:cnfStyle w:val="000000010000" w:firstRow="0" w:lastRow="0" w:firstColumn="0" w:lastColumn="0" w:oddVBand="0" w:evenVBand="0" w:oddHBand="0" w:evenHBand="1"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3686" w:type="dxa"/>
          </w:tcPr>
          <w:p w:rsidR="008B5E1D" w:rsidRPr="00CA196C" w:rsidRDefault="008B5E1D" w:rsidP="008B5E1D">
            <w:pPr>
              <w:autoSpaceDE w:val="0"/>
              <w:autoSpaceDN w:val="0"/>
              <w:adjustRightInd w:val="0"/>
              <w:jc w:val="both"/>
              <w:rPr>
                <w:rFonts w:ascii="Bookman Old Style" w:hAnsi="Bookman Old Style" w:cs="Times New Roman"/>
                <w:iCs/>
                <w:sz w:val="20"/>
                <w:szCs w:val="20"/>
              </w:rPr>
            </w:pPr>
          </w:p>
        </w:tc>
        <w:tc>
          <w:tcPr>
            <w:tcW w:w="5812" w:type="dxa"/>
          </w:tcPr>
          <w:p w:rsidR="008B5E1D" w:rsidRPr="00CA196C" w:rsidRDefault="008B5E1D" w:rsidP="0071214D">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Bookman Old Style" w:hAnsi="Bookman Old Style" w:cs="Times New Roman"/>
                <w:sz w:val="20"/>
                <w:szCs w:val="20"/>
              </w:rPr>
            </w:pPr>
            <w:r w:rsidRPr="00CA196C">
              <w:rPr>
                <w:rFonts w:ascii="Bookman Old Style" w:hAnsi="Bookman Old Style" w:cs="Times New Roman"/>
                <w:sz w:val="20"/>
                <w:szCs w:val="20"/>
              </w:rPr>
              <w:t xml:space="preserve">OS </w:t>
            </w:r>
            <w:r w:rsidR="008D1C3C">
              <w:rPr>
                <w:rFonts w:ascii="Bookman Old Style" w:hAnsi="Bookman Old Style" w:cs="Times New Roman"/>
                <w:sz w:val="20"/>
                <w:szCs w:val="20"/>
              </w:rPr>
              <w:t>2</w:t>
            </w:r>
            <w:r w:rsidRPr="00CA196C">
              <w:rPr>
                <w:rFonts w:ascii="Bookman Old Style" w:hAnsi="Bookman Old Style" w:cs="Times New Roman"/>
                <w:sz w:val="20"/>
                <w:szCs w:val="20"/>
              </w:rPr>
              <w:t> : Prévenir et gérer les catastrophes</w:t>
            </w:r>
          </w:p>
        </w:tc>
      </w:tr>
    </w:tbl>
    <w:p w:rsidR="00DE3A23" w:rsidRPr="00CA196C" w:rsidRDefault="0039336E" w:rsidP="00ED27D9">
      <w:pPr>
        <w:pStyle w:val="Titre2"/>
      </w:pPr>
      <w:bookmarkStart w:id="261" w:name="_Toc511080933"/>
      <w:bookmarkStart w:id="262" w:name="_Toc511081609"/>
      <w:r w:rsidRPr="00CA196C">
        <w:t xml:space="preserve">4.4. </w:t>
      </w:r>
      <w:r w:rsidR="00DE3A23" w:rsidRPr="00CA196C">
        <w:t xml:space="preserve">Enjeu 3 : Des mécanismes efficaces et efficients </w:t>
      </w:r>
      <w:r w:rsidR="00353B4C" w:rsidRPr="00CA196C">
        <w:t>de mobilisation de ressources,</w:t>
      </w:r>
      <w:r w:rsidR="00DE3A23" w:rsidRPr="00CA196C">
        <w:t xml:space="preserve"> capitalisation de la coopération</w:t>
      </w:r>
      <w:r w:rsidR="00353B4C" w:rsidRPr="00CA196C">
        <w:t xml:space="preserve"> </w:t>
      </w:r>
      <w:r w:rsidR="00DE3A23" w:rsidRPr="00CA196C">
        <w:t xml:space="preserve"> et </w:t>
      </w:r>
      <w:r w:rsidR="00353B4C" w:rsidRPr="00CA196C">
        <w:t>recherche du financement innovant</w:t>
      </w:r>
      <w:bookmarkEnd w:id="261"/>
      <w:bookmarkEnd w:id="262"/>
    </w:p>
    <w:p w:rsidR="00DE3A23" w:rsidRPr="00CA196C" w:rsidRDefault="00DE3A23" w:rsidP="00E92676">
      <w:pPr>
        <w:spacing w:after="0" w:line="240" w:lineRule="auto"/>
        <w:ind w:left="540"/>
        <w:contextualSpacing/>
        <w:jc w:val="both"/>
        <w:outlineLvl w:val="1"/>
        <w:rPr>
          <w:rFonts w:ascii="Bookman Old Style" w:hAnsi="Bookman Old Style" w:cs="Times New Roman"/>
          <w:sz w:val="24"/>
          <w:szCs w:val="24"/>
        </w:rPr>
      </w:pPr>
    </w:p>
    <w:p w:rsidR="00DE3A23" w:rsidRPr="00CA196C" w:rsidRDefault="00DE3A23" w:rsidP="00CD26FF">
      <w:pPr>
        <w:numPr>
          <w:ilvl w:val="0"/>
          <w:numId w:val="5"/>
        </w:numPr>
        <w:spacing w:after="0" w:line="240" w:lineRule="auto"/>
        <w:ind w:left="426" w:hanging="426"/>
        <w:contextualSpacing/>
        <w:jc w:val="both"/>
        <w:outlineLvl w:val="1"/>
        <w:rPr>
          <w:rFonts w:ascii="Bookman Old Style" w:eastAsiaTheme="majorEastAsia" w:hAnsi="Bookman Old Style" w:cs="Times New Roman"/>
          <w:bCs/>
          <w:i/>
          <w:iCs/>
          <w:sz w:val="24"/>
          <w:szCs w:val="24"/>
        </w:rPr>
      </w:pPr>
      <w:bookmarkStart w:id="263" w:name="_Toc511080934"/>
      <w:bookmarkStart w:id="264" w:name="_Toc511081610"/>
      <w:r w:rsidRPr="00CA196C">
        <w:rPr>
          <w:rFonts w:ascii="Bookman Old Style" w:hAnsi="Bookman Old Style" w:cs="Times New Roman"/>
          <w:sz w:val="24"/>
          <w:szCs w:val="24"/>
        </w:rPr>
        <w:t>Cet enjeu constitue un des défis majeurs pour la gestion des politiques publiques en amont et en aval. A travers cet enjeu, les interventions publiques en taxation, dépense, réglementation</w:t>
      </w:r>
      <w:r w:rsidR="00D45FE8" w:rsidRPr="00CA196C">
        <w:rPr>
          <w:rFonts w:ascii="Bookman Old Style" w:hAnsi="Bookman Old Style" w:cs="Times New Roman"/>
          <w:sz w:val="24"/>
          <w:szCs w:val="24"/>
        </w:rPr>
        <w:t xml:space="preserve"> de la gestion des finances publiques</w:t>
      </w:r>
      <w:r w:rsidRPr="00CA196C">
        <w:rPr>
          <w:rFonts w:ascii="Bookman Old Style" w:hAnsi="Bookman Old Style" w:cs="Times New Roman"/>
          <w:sz w:val="24"/>
          <w:szCs w:val="24"/>
        </w:rPr>
        <w:t xml:space="preserve"> doivent être non seulement efficaces  mais aussi innovatrices et ce, en fonction des besoins de la population </w:t>
      </w:r>
      <w:r w:rsidR="008C08E9">
        <w:rPr>
          <w:rFonts w:ascii="Bookman Old Style" w:hAnsi="Bookman Old Style" w:cs="Times New Roman"/>
          <w:sz w:val="24"/>
          <w:szCs w:val="24"/>
        </w:rPr>
        <w:t>dynamique</w:t>
      </w:r>
      <w:r w:rsidR="00BE0160" w:rsidRPr="00CA196C">
        <w:rPr>
          <w:rFonts w:ascii="Bookman Old Style" w:hAnsi="Bookman Old Style" w:cs="Times New Roman"/>
          <w:sz w:val="24"/>
          <w:szCs w:val="24"/>
        </w:rPr>
        <w:t xml:space="preserve">. Les mécanismes de mobilisation et d’affectation des ressources publiques doivent être élaborés </w:t>
      </w:r>
      <w:r w:rsidRPr="00CA196C">
        <w:rPr>
          <w:rFonts w:ascii="Bookman Old Style" w:hAnsi="Bookman Old Style" w:cs="Times New Roman"/>
          <w:sz w:val="24"/>
          <w:szCs w:val="24"/>
        </w:rPr>
        <w:t>en</w:t>
      </w:r>
      <w:r w:rsidR="00353B4C"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favorisant l’égalité des chances et en atténuant les inégalités économiques et sociales. La mobilisation des ressou</w:t>
      </w:r>
      <w:r w:rsidR="002D21E2" w:rsidRPr="00CA196C">
        <w:rPr>
          <w:rFonts w:ascii="Bookman Old Style" w:hAnsi="Bookman Old Style" w:cs="Times New Roman"/>
          <w:sz w:val="24"/>
          <w:szCs w:val="24"/>
        </w:rPr>
        <w:t xml:space="preserve">rces domestiques nécessite une </w:t>
      </w:r>
      <w:r w:rsidRPr="00CA196C">
        <w:rPr>
          <w:rFonts w:ascii="Bookman Old Style" w:hAnsi="Bookman Old Style" w:cs="Times New Roman"/>
          <w:sz w:val="24"/>
          <w:szCs w:val="24"/>
        </w:rPr>
        <w:t xml:space="preserve"> fiscalité </w:t>
      </w:r>
      <w:r w:rsidR="002D21E2" w:rsidRPr="00CA196C">
        <w:rPr>
          <w:rFonts w:ascii="Bookman Old Style" w:hAnsi="Bookman Old Style" w:cs="Times New Roman"/>
          <w:sz w:val="24"/>
          <w:szCs w:val="24"/>
        </w:rPr>
        <w:t>qui ne décourage pas la production </w:t>
      </w:r>
      <w:r w:rsidRPr="00CA196C">
        <w:rPr>
          <w:rFonts w:ascii="Bookman Old Style" w:hAnsi="Bookman Old Style" w:cs="Times New Roman"/>
          <w:sz w:val="24"/>
          <w:szCs w:val="24"/>
        </w:rPr>
        <w:t xml:space="preserve">(une taxation orientée à la fois vers l’augmentation de recettes et le soutien de la croissance à travers l’amélioration des conditions d’offre et de demande globale). Au-delà des ressources internes, cet enjeu est également lié à </w:t>
      </w:r>
      <w:r w:rsidR="00E537DE" w:rsidRPr="00CA196C">
        <w:rPr>
          <w:rFonts w:ascii="Bookman Old Style" w:hAnsi="Bookman Old Style" w:cs="Times New Roman"/>
          <w:sz w:val="24"/>
          <w:szCs w:val="24"/>
        </w:rPr>
        <w:t>l</w:t>
      </w:r>
      <w:r w:rsidR="008C08E9">
        <w:rPr>
          <w:rFonts w:ascii="Bookman Old Style" w:hAnsi="Bookman Old Style" w:cs="Times New Roman"/>
          <w:sz w:val="24"/>
          <w:szCs w:val="24"/>
        </w:rPr>
        <w:t>’identification</w:t>
      </w:r>
      <w:r w:rsidR="00E537DE" w:rsidRPr="00CA196C">
        <w:rPr>
          <w:rFonts w:ascii="Bookman Old Style" w:hAnsi="Bookman Old Style" w:cs="Times New Roman"/>
          <w:sz w:val="24"/>
          <w:szCs w:val="24"/>
        </w:rPr>
        <w:t xml:space="preserve"> d’</w:t>
      </w:r>
      <w:r w:rsidRPr="00CA196C">
        <w:rPr>
          <w:rFonts w:ascii="Bookman Old Style" w:hAnsi="Bookman Old Style" w:cs="Times New Roman"/>
          <w:sz w:val="24"/>
          <w:szCs w:val="24"/>
        </w:rPr>
        <w:t xml:space="preserve">un nouveau paradigme de capitalisation de la coopération en vue d’un partenariat effectif et productif. Par rapport à cet enjeu, les actions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ales s’articuleront autour d’une seule orientation stratégique visant à renforcer les mécanismes de mobilisation des ressources et </w:t>
      </w:r>
      <w:r w:rsidR="001E627D" w:rsidRPr="00CA196C">
        <w:rPr>
          <w:rFonts w:ascii="Bookman Old Style" w:hAnsi="Bookman Old Style" w:cs="Times New Roman"/>
          <w:sz w:val="24"/>
          <w:szCs w:val="24"/>
        </w:rPr>
        <w:t xml:space="preserve">à développer la  coopération, </w:t>
      </w:r>
      <w:r w:rsidR="002D21E2" w:rsidRPr="00CA196C">
        <w:rPr>
          <w:rFonts w:ascii="Bookman Old Style" w:hAnsi="Bookman Old Style" w:cs="Times New Roman"/>
          <w:sz w:val="24"/>
          <w:szCs w:val="24"/>
        </w:rPr>
        <w:t xml:space="preserve">la recherche du financement innovant </w:t>
      </w:r>
      <w:r w:rsidR="001E627D" w:rsidRPr="00CA196C">
        <w:rPr>
          <w:rFonts w:ascii="Bookman Old Style" w:hAnsi="Bookman Old Style" w:cs="Times New Roman"/>
          <w:sz w:val="24"/>
          <w:szCs w:val="24"/>
        </w:rPr>
        <w:t xml:space="preserve">et </w:t>
      </w:r>
      <w:r w:rsidR="002D21E2" w:rsidRPr="00CA196C">
        <w:rPr>
          <w:rFonts w:ascii="Bookman Old Style" w:hAnsi="Bookman Old Style" w:cs="Times New Roman"/>
          <w:sz w:val="24"/>
          <w:szCs w:val="24"/>
        </w:rPr>
        <w:t>la gestion rat</w:t>
      </w:r>
      <w:r w:rsidR="001E627D" w:rsidRPr="00CA196C">
        <w:rPr>
          <w:rFonts w:ascii="Bookman Old Style" w:hAnsi="Bookman Old Style" w:cs="Times New Roman"/>
          <w:sz w:val="24"/>
          <w:szCs w:val="24"/>
        </w:rPr>
        <w:t>ionnelle des dépenses publiques</w:t>
      </w:r>
      <w:r w:rsidR="002D21E2" w:rsidRPr="00CA196C">
        <w:rPr>
          <w:rFonts w:ascii="Bookman Old Style" w:hAnsi="Bookman Old Style" w:cs="Times New Roman"/>
          <w:sz w:val="24"/>
          <w:szCs w:val="24"/>
        </w:rPr>
        <w:t>.</w:t>
      </w:r>
      <w:bookmarkEnd w:id="263"/>
      <w:bookmarkEnd w:id="264"/>
    </w:p>
    <w:p w:rsidR="00DE3A23" w:rsidRPr="00CA196C" w:rsidRDefault="00DE3A23" w:rsidP="00E92676">
      <w:pPr>
        <w:spacing w:after="0" w:line="240" w:lineRule="auto"/>
        <w:ind w:left="426"/>
        <w:contextualSpacing/>
        <w:jc w:val="both"/>
        <w:outlineLvl w:val="1"/>
        <w:rPr>
          <w:rFonts w:ascii="Bookman Old Style" w:eastAsiaTheme="majorEastAsia" w:hAnsi="Bookman Old Style" w:cs="Times New Roman"/>
          <w:b/>
          <w:bCs/>
          <w:i/>
          <w:iCs/>
          <w:sz w:val="24"/>
          <w:szCs w:val="24"/>
        </w:rPr>
      </w:pPr>
    </w:p>
    <w:p w:rsidR="00DE3A23" w:rsidRPr="00ED27D9" w:rsidRDefault="00DE3A23" w:rsidP="00CD26FF">
      <w:pPr>
        <w:numPr>
          <w:ilvl w:val="0"/>
          <w:numId w:val="5"/>
        </w:numPr>
        <w:spacing w:after="0" w:line="240" w:lineRule="auto"/>
        <w:ind w:left="426" w:hanging="426"/>
        <w:contextualSpacing/>
        <w:jc w:val="both"/>
        <w:outlineLvl w:val="1"/>
        <w:rPr>
          <w:rFonts w:ascii="Bookman Old Style" w:eastAsiaTheme="majorEastAsia" w:hAnsi="Bookman Old Style" w:cs="Times New Roman"/>
          <w:b/>
          <w:bCs/>
          <w:i/>
          <w:iCs/>
          <w:sz w:val="24"/>
          <w:szCs w:val="24"/>
        </w:rPr>
      </w:pPr>
      <w:bookmarkStart w:id="265" w:name="_Toc511080935"/>
      <w:bookmarkStart w:id="266" w:name="_Toc511081611"/>
      <w:r w:rsidRPr="00CA196C">
        <w:rPr>
          <w:rFonts w:ascii="Bookman Old Style" w:hAnsi="Bookman Old Style" w:cs="Times New Roman"/>
          <w:sz w:val="24"/>
          <w:szCs w:val="24"/>
        </w:rPr>
        <w:t xml:space="preserve">Par rapport à cette orientation, les politiques du  </w:t>
      </w:r>
      <w:r w:rsidR="000920EC" w:rsidRPr="00CA196C">
        <w:rPr>
          <w:rFonts w:ascii="Bookman Old Style" w:hAnsi="Bookman Old Style" w:cs="Times New Roman"/>
          <w:sz w:val="24"/>
          <w:szCs w:val="24"/>
        </w:rPr>
        <w:t>PND BURUNDI 2018-2027</w:t>
      </w:r>
      <w:r w:rsidRPr="00CA196C">
        <w:rPr>
          <w:rFonts w:ascii="Bookman Old Style" w:hAnsi="Bookman Old Style" w:cs="Times New Roman"/>
          <w:sz w:val="24"/>
          <w:szCs w:val="24"/>
        </w:rPr>
        <w:t xml:space="preserve"> porteront sur deux axes : </w:t>
      </w:r>
      <w:r w:rsidR="00B96168" w:rsidRPr="004D12FA">
        <w:rPr>
          <w:rFonts w:ascii="Bookman Old Style" w:eastAsiaTheme="majorEastAsia" w:hAnsi="Bookman Old Style" w:cs="Times New Roman"/>
          <w:bCs/>
          <w:i/>
          <w:iCs/>
          <w:sz w:val="24"/>
          <w:szCs w:val="24"/>
        </w:rPr>
        <w:t xml:space="preserve">Axe </w:t>
      </w:r>
      <w:r w:rsidR="004D12FA" w:rsidRPr="004D12FA">
        <w:rPr>
          <w:rFonts w:ascii="Bookman Old Style" w:eastAsiaTheme="majorEastAsia" w:hAnsi="Bookman Old Style" w:cs="Times New Roman"/>
          <w:bCs/>
          <w:i/>
          <w:iCs/>
          <w:sz w:val="24"/>
          <w:szCs w:val="24"/>
        </w:rPr>
        <w:t>1</w:t>
      </w:r>
      <w:r w:rsidR="00E537DE" w:rsidRPr="004D12FA">
        <w:rPr>
          <w:rFonts w:ascii="Bookman Old Style" w:eastAsiaTheme="majorEastAsia" w:hAnsi="Bookman Old Style" w:cs="Times New Roman"/>
          <w:bCs/>
          <w:i/>
          <w:iCs/>
          <w:sz w:val="24"/>
          <w:szCs w:val="24"/>
        </w:rPr>
        <w:t>5</w:t>
      </w:r>
      <w:r w:rsidR="00B96168" w:rsidRPr="004D12FA">
        <w:rPr>
          <w:rFonts w:ascii="Bookman Old Style" w:eastAsiaTheme="majorEastAsia" w:hAnsi="Bookman Old Style" w:cs="Times New Roman"/>
          <w:bCs/>
          <w:i/>
          <w:iCs/>
          <w:sz w:val="24"/>
          <w:szCs w:val="24"/>
        </w:rPr>
        <w:t xml:space="preserve">. Mobilisation des ressources </w:t>
      </w:r>
      <w:r w:rsidR="00BE0160" w:rsidRPr="004D12FA">
        <w:rPr>
          <w:rFonts w:ascii="Bookman Old Style" w:eastAsiaTheme="majorEastAsia" w:hAnsi="Bookman Old Style" w:cs="Times New Roman"/>
          <w:bCs/>
          <w:i/>
          <w:iCs/>
          <w:sz w:val="24"/>
          <w:szCs w:val="24"/>
        </w:rPr>
        <w:t xml:space="preserve"> et  </w:t>
      </w:r>
      <w:r w:rsidRPr="004D12FA">
        <w:rPr>
          <w:rFonts w:ascii="Bookman Old Style" w:eastAsiaTheme="majorEastAsia" w:hAnsi="Bookman Old Style" w:cs="Times New Roman"/>
          <w:bCs/>
          <w:i/>
          <w:iCs/>
          <w:sz w:val="24"/>
          <w:szCs w:val="24"/>
        </w:rPr>
        <w:t xml:space="preserve">Axe </w:t>
      </w:r>
      <w:r w:rsidR="00E537DE" w:rsidRPr="004D12FA">
        <w:rPr>
          <w:rFonts w:ascii="Bookman Old Style" w:eastAsiaTheme="majorEastAsia" w:hAnsi="Bookman Old Style" w:cs="Times New Roman"/>
          <w:bCs/>
          <w:i/>
          <w:iCs/>
          <w:sz w:val="24"/>
          <w:szCs w:val="24"/>
        </w:rPr>
        <w:t>16</w:t>
      </w:r>
      <w:r w:rsidRPr="004D12FA">
        <w:rPr>
          <w:rFonts w:ascii="Bookman Old Style" w:eastAsiaTheme="majorEastAsia" w:hAnsi="Bookman Old Style" w:cs="Times New Roman"/>
          <w:bCs/>
          <w:i/>
          <w:iCs/>
          <w:sz w:val="24"/>
          <w:szCs w:val="24"/>
        </w:rPr>
        <w:t xml:space="preserve">. Développement de la coopération et des partenariats </w:t>
      </w:r>
      <w:r w:rsidR="00801AF6" w:rsidRPr="004D12FA">
        <w:rPr>
          <w:rFonts w:ascii="Bookman Old Style" w:eastAsiaTheme="majorEastAsia" w:hAnsi="Bookman Old Style" w:cs="Times New Roman"/>
          <w:bCs/>
          <w:i/>
          <w:iCs/>
          <w:sz w:val="24"/>
          <w:szCs w:val="24"/>
        </w:rPr>
        <w:t xml:space="preserve">sous </w:t>
      </w:r>
      <w:r w:rsidR="00801AF6" w:rsidRPr="004D12FA">
        <w:rPr>
          <w:rFonts w:ascii="Bookman Old Style" w:eastAsiaTheme="majorEastAsia" w:hAnsi="Bookman Old Style" w:cs="Times New Roman"/>
          <w:bCs/>
          <w:i/>
          <w:iCs/>
          <w:sz w:val="24"/>
          <w:szCs w:val="24"/>
        </w:rPr>
        <w:lastRenderedPageBreak/>
        <w:t>régional</w:t>
      </w:r>
      <w:r w:rsidRPr="004D12FA">
        <w:rPr>
          <w:rFonts w:ascii="Bookman Old Style" w:eastAsiaTheme="majorEastAsia" w:hAnsi="Bookman Old Style" w:cs="Times New Roman"/>
          <w:bCs/>
          <w:i/>
          <w:iCs/>
          <w:sz w:val="24"/>
          <w:szCs w:val="24"/>
        </w:rPr>
        <w:t>, régional et international.</w:t>
      </w:r>
      <w:r w:rsidRPr="00CA196C">
        <w:rPr>
          <w:rFonts w:ascii="Bookman Old Style" w:eastAsiaTheme="majorEastAsia" w:hAnsi="Bookman Old Style" w:cs="Times New Roman"/>
          <w:b/>
          <w:bCs/>
          <w:i/>
          <w:iCs/>
          <w:sz w:val="24"/>
          <w:szCs w:val="24"/>
        </w:rPr>
        <w:t xml:space="preserve"> </w:t>
      </w:r>
      <w:r w:rsidRPr="00CA196C">
        <w:rPr>
          <w:rFonts w:ascii="Bookman Old Style" w:eastAsia="Times New Roman" w:hAnsi="Bookman Old Style" w:cs="Times New Roman"/>
          <w:bCs/>
          <w:sz w:val="24"/>
          <w:szCs w:val="24"/>
          <w:u w:color="000000"/>
          <w:bdr w:val="nil"/>
        </w:rPr>
        <w:t>Ainsi, l</w:t>
      </w:r>
      <w:r w:rsidRPr="00CA196C">
        <w:rPr>
          <w:rFonts w:ascii="Bookman Old Style" w:hAnsi="Bookman Old Style" w:cs="Times New Roman"/>
          <w:sz w:val="24"/>
          <w:szCs w:val="24"/>
        </w:rPr>
        <w:t xml:space="preserve">es actions du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du Burundi sur la décennie </w:t>
      </w:r>
      <w:r w:rsidRPr="00CA196C">
        <w:rPr>
          <w:rFonts w:ascii="Bookman Old Style" w:eastAsia="Times New Roman" w:hAnsi="Bookman Old Style" w:cs="Times New Roman"/>
          <w:bCs/>
          <w:sz w:val="24"/>
          <w:szCs w:val="24"/>
          <w:u w:color="000000"/>
          <w:bdr w:val="nil"/>
        </w:rPr>
        <w:t xml:space="preserve">2018-2027 </w:t>
      </w:r>
      <w:r w:rsidRPr="00CA196C">
        <w:rPr>
          <w:rFonts w:ascii="Bookman Old Style" w:hAnsi="Bookman Old Style" w:cs="Times New Roman"/>
          <w:sz w:val="24"/>
          <w:szCs w:val="24"/>
        </w:rPr>
        <w:t xml:space="preserve">seront orientés </w:t>
      </w:r>
      <w:r w:rsidR="003D2623">
        <w:rPr>
          <w:rFonts w:ascii="Bookman Old Style" w:hAnsi="Bookman Old Style" w:cs="Times New Roman"/>
          <w:sz w:val="24"/>
          <w:szCs w:val="24"/>
        </w:rPr>
        <w:t xml:space="preserve">vers </w:t>
      </w:r>
      <w:r w:rsidRPr="00CA196C">
        <w:rPr>
          <w:rFonts w:ascii="Bookman Old Style" w:hAnsi="Bookman Old Style" w:cs="Times New Roman"/>
          <w:sz w:val="24"/>
          <w:szCs w:val="24"/>
        </w:rPr>
        <w:t xml:space="preserve">la réalisation de réformes et de mesures visant l’atteinte de </w:t>
      </w:r>
      <w:r w:rsidR="00E537DE" w:rsidRPr="00CA196C">
        <w:rPr>
          <w:rFonts w:ascii="Bookman Old Style" w:hAnsi="Bookman Old Style" w:cs="Times New Roman"/>
          <w:sz w:val="24"/>
          <w:szCs w:val="24"/>
        </w:rPr>
        <w:t>3</w:t>
      </w:r>
      <w:r w:rsidRPr="00CA196C">
        <w:rPr>
          <w:rFonts w:ascii="Bookman Old Style" w:hAnsi="Bookman Old Style" w:cs="Times New Roman"/>
          <w:sz w:val="24"/>
          <w:szCs w:val="24"/>
        </w:rPr>
        <w:t xml:space="preserve"> objectifs </w:t>
      </w:r>
      <w:r w:rsidRPr="00CA196C">
        <w:rPr>
          <w:rFonts w:ascii="Bookman Old Style" w:eastAsia="Times New Roman" w:hAnsi="Bookman Old Style" w:cs="Times New Roman"/>
          <w:bCs/>
          <w:sz w:val="24"/>
          <w:szCs w:val="24"/>
          <w:u w:color="000000"/>
          <w:bdr w:val="nil"/>
        </w:rPr>
        <w:t xml:space="preserve"> relatifs à la mobilisation soutenue des ressources financières publiques et à la capitalisation de la coopération et du partenariat à trave</w:t>
      </w:r>
      <w:r w:rsidR="00BE0160" w:rsidRPr="00CA196C">
        <w:rPr>
          <w:rFonts w:ascii="Bookman Old Style" w:eastAsia="Times New Roman" w:hAnsi="Bookman Old Style" w:cs="Times New Roman"/>
          <w:bCs/>
          <w:sz w:val="24"/>
          <w:szCs w:val="24"/>
          <w:u w:color="000000"/>
          <w:bdr w:val="nil"/>
        </w:rPr>
        <w:t>rs une diplomatie économique axé</w:t>
      </w:r>
      <w:r w:rsidRPr="00CA196C">
        <w:rPr>
          <w:rFonts w:ascii="Bookman Old Style" w:eastAsia="Times New Roman" w:hAnsi="Bookman Old Style" w:cs="Times New Roman"/>
          <w:bCs/>
          <w:sz w:val="24"/>
          <w:szCs w:val="24"/>
          <w:u w:color="000000"/>
          <w:bdr w:val="nil"/>
        </w:rPr>
        <w:t xml:space="preserve"> sur la </w:t>
      </w:r>
      <w:r w:rsidRPr="00CA196C">
        <w:rPr>
          <w:rFonts w:ascii="Bookman Old Style" w:hAnsi="Bookman Old Style" w:cs="Times New Roman"/>
          <w:sz w:val="23"/>
          <w:szCs w:val="23"/>
        </w:rPr>
        <w:t>mobilisation des ressources pour le financement du développement.</w:t>
      </w:r>
      <w:bookmarkEnd w:id="265"/>
      <w:bookmarkEnd w:id="266"/>
    </w:p>
    <w:p w:rsidR="00ED27D9" w:rsidRDefault="00ED27D9" w:rsidP="00ED27D9">
      <w:pPr>
        <w:pStyle w:val="Paragraphedeliste"/>
        <w:rPr>
          <w:rFonts w:ascii="Bookman Old Style" w:eastAsiaTheme="majorEastAsia" w:hAnsi="Bookman Old Style" w:cs="Times New Roman"/>
          <w:b/>
          <w:bCs/>
          <w:i/>
          <w:iCs/>
          <w:sz w:val="24"/>
          <w:szCs w:val="24"/>
        </w:rPr>
      </w:pPr>
    </w:p>
    <w:p w:rsidR="00ED27D9" w:rsidRDefault="00ED27D9" w:rsidP="00ED27D9">
      <w:pPr>
        <w:pStyle w:val="Paragraphedeliste"/>
        <w:numPr>
          <w:ilvl w:val="0"/>
          <w:numId w:val="5"/>
        </w:numPr>
        <w:spacing w:after="0" w:line="240" w:lineRule="auto"/>
        <w:jc w:val="both"/>
        <w:outlineLvl w:val="1"/>
        <w:rPr>
          <w:rFonts w:ascii="Bookman Old Style" w:eastAsia="Times New Roman" w:hAnsi="Bookman Old Style" w:cs="Times New Roman"/>
          <w:bCs/>
          <w:sz w:val="24"/>
          <w:szCs w:val="24"/>
          <w:bdr w:val="none" w:sz="0" w:space="0" w:color="auto" w:frame="1"/>
        </w:rPr>
      </w:pPr>
      <w:bookmarkStart w:id="267" w:name="_Toc511080937"/>
      <w:bookmarkStart w:id="268" w:name="_Toc511081613"/>
      <w:r>
        <w:rPr>
          <w:rFonts w:ascii="Bookman Old Style" w:eastAsia="Times New Roman" w:hAnsi="Bookman Old Style" w:cs="Times New Roman"/>
          <w:bCs/>
          <w:sz w:val="24"/>
          <w:szCs w:val="24"/>
          <w:bdr w:val="none" w:sz="0" w:space="0" w:color="auto" w:frame="1"/>
        </w:rPr>
        <w:t>Le financement de divers plans et stratégies de développement a suivi durant de longues périodes passées, les principes d’alignement aux priorités nationales et de redevabilité  contenus dans divers accords signés entre le Burundi et ses partenaires principaux au développement. La mobilisation qui s’en est suivie a permis de recueillir beaucoup de promesses et d’engagements de ressources financières mais aussi s’est caractérisée par de faibles taux décaissement des ressources extérieures et un  gap de financement élevé.</w:t>
      </w:r>
      <w:bookmarkEnd w:id="267"/>
      <w:bookmarkEnd w:id="268"/>
    </w:p>
    <w:p w:rsidR="00ED27D9" w:rsidRPr="00423A5A" w:rsidRDefault="00ED27D9" w:rsidP="00ED27D9">
      <w:pPr>
        <w:spacing w:after="0" w:line="240" w:lineRule="auto"/>
        <w:jc w:val="both"/>
        <w:outlineLvl w:val="1"/>
        <w:rPr>
          <w:rFonts w:ascii="Bookman Old Style" w:eastAsia="Times New Roman" w:hAnsi="Bookman Old Style" w:cs="Times New Roman"/>
          <w:bCs/>
          <w:sz w:val="24"/>
          <w:szCs w:val="24"/>
          <w:bdr w:val="none" w:sz="0" w:space="0" w:color="auto" w:frame="1"/>
        </w:rPr>
      </w:pPr>
    </w:p>
    <w:p w:rsidR="00ED27D9" w:rsidRDefault="00ED27D9" w:rsidP="00ED27D9">
      <w:pPr>
        <w:pStyle w:val="Paragraphedeliste"/>
        <w:numPr>
          <w:ilvl w:val="0"/>
          <w:numId w:val="5"/>
        </w:numPr>
        <w:spacing w:after="0" w:line="240" w:lineRule="auto"/>
        <w:jc w:val="both"/>
        <w:outlineLvl w:val="1"/>
        <w:rPr>
          <w:rFonts w:ascii="Bookman Old Style" w:eastAsia="Times New Roman" w:hAnsi="Bookman Old Style" w:cs="Times New Roman"/>
          <w:bCs/>
          <w:sz w:val="24"/>
          <w:szCs w:val="24"/>
          <w:bdr w:val="none" w:sz="0" w:space="0" w:color="auto" w:frame="1"/>
        </w:rPr>
      </w:pPr>
      <w:bookmarkStart w:id="269" w:name="_Toc511080938"/>
      <w:bookmarkStart w:id="270" w:name="_Toc511081614"/>
      <w:r>
        <w:rPr>
          <w:rFonts w:ascii="Bookman Old Style" w:eastAsia="Times New Roman" w:hAnsi="Bookman Old Style" w:cs="Times New Roman"/>
          <w:bCs/>
          <w:sz w:val="24"/>
          <w:szCs w:val="24"/>
          <w:bdr w:val="none" w:sz="0" w:space="0" w:color="auto" w:frame="1"/>
        </w:rPr>
        <w:t>La persistance de gestion des problèmes dans le domaine de finances publiques va pousser le pays à modifier le paradigme traditionnel qui tendait à opposer l’Etat et le marché pour tendre vers une dynamique de partenariat et de collaboration. La complexité de l’environnement des affaires qui entourent la gestion des services publiques nécessite un engagement total et sans faille de tous les acteurs du développement. Cette mobilisation des acteurs qui va au-delà de celle des ressources financières requiert des atouts et comporte aussi des risques mais se fonde sur le partage des bénéfices nets pour le plus grand bien-être de la collectivité. Le Partenariat Public Privé (PPP) constitue une approche alternative privilégiée et adoptée même par les pays développés dans les secteurs de l’environnement, des transports, de la fourniture de l’eau ou de l’électricité qui ont été, pendant une longue période, des secteurs réservés au secteur public. Le PPP permet à l’Etat de partager des investissements et des risques avec des acteurs privés pour le bénéfice de tous pour les distinguer des domaines exclusivement réservés  au public.</w:t>
      </w:r>
      <w:bookmarkEnd w:id="269"/>
      <w:bookmarkEnd w:id="270"/>
    </w:p>
    <w:p w:rsidR="00ED27D9" w:rsidRDefault="00ED27D9" w:rsidP="00ED27D9">
      <w:pPr>
        <w:pStyle w:val="Paragraphedeliste"/>
        <w:spacing w:after="0" w:line="240" w:lineRule="auto"/>
        <w:ind w:left="360"/>
        <w:jc w:val="both"/>
        <w:outlineLvl w:val="1"/>
        <w:rPr>
          <w:rFonts w:ascii="Bookman Old Style" w:eastAsia="Times New Roman" w:hAnsi="Bookman Old Style" w:cs="Times New Roman"/>
          <w:bCs/>
          <w:sz w:val="24"/>
          <w:szCs w:val="24"/>
          <w:bdr w:val="none" w:sz="0" w:space="0" w:color="auto" w:frame="1"/>
        </w:rPr>
      </w:pPr>
    </w:p>
    <w:p w:rsidR="00ED27D9" w:rsidRDefault="00ED27D9" w:rsidP="00ED27D9">
      <w:pPr>
        <w:pStyle w:val="Paragraphedeliste"/>
        <w:numPr>
          <w:ilvl w:val="0"/>
          <w:numId w:val="5"/>
        </w:numPr>
        <w:spacing w:after="0" w:line="240" w:lineRule="auto"/>
        <w:jc w:val="both"/>
        <w:outlineLvl w:val="1"/>
        <w:rPr>
          <w:rFonts w:ascii="Bookman Old Style" w:eastAsia="Times New Roman" w:hAnsi="Bookman Old Style" w:cs="Times New Roman"/>
          <w:bCs/>
          <w:sz w:val="24"/>
          <w:szCs w:val="24"/>
          <w:bdr w:val="none" w:sz="0" w:space="0" w:color="auto" w:frame="1"/>
        </w:rPr>
      </w:pPr>
      <w:bookmarkStart w:id="271" w:name="_Toc511080939"/>
      <w:bookmarkStart w:id="272" w:name="_Toc511081615"/>
      <w:r>
        <w:rPr>
          <w:rFonts w:ascii="Bookman Old Style" w:eastAsia="Times New Roman" w:hAnsi="Bookman Old Style" w:cs="Times New Roman"/>
          <w:bCs/>
          <w:sz w:val="24"/>
          <w:szCs w:val="24"/>
          <w:bdr w:val="none" w:sz="0" w:space="0" w:color="auto" w:frame="1"/>
        </w:rPr>
        <w:t>Le Partenariat Public Privé constitue une avancée majeure par rapport à la conception classique de l’Etat-Providence pour se propulser dans une gouvernance novatrice. Sur le plan théorique, le PPP se base sur les théories visant à combler les inefficacités organisationnelles  (motivation, organisation) pour viser l’efficience. En outre, le PPP se fonde sur une nouvelle approche fondée sur le Nouveau Management Public qui combine les valeurs de la gestion des services publics et le mode de gestion des entreprises privée basé le libre jeu de concurrence et la gestion axée sur les résultats.  Enfin, le PPP se fonde sur la théorie des coûts de transaction pour prôner un mode de gestion de type privé pour réduire des coûts d’information, de négociation et d’exécution  des contrats.</w:t>
      </w:r>
      <w:bookmarkEnd w:id="271"/>
      <w:bookmarkEnd w:id="272"/>
    </w:p>
    <w:p w:rsidR="00ED27D9" w:rsidRPr="00423A5A" w:rsidRDefault="00ED27D9" w:rsidP="00ED27D9">
      <w:pPr>
        <w:spacing w:after="0" w:line="240" w:lineRule="auto"/>
        <w:jc w:val="both"/>
        <w:outlineLvl w:val="1"/>
        <w:rPr>
          <w:rFonts w:ascii="Bookman Old Style" w:eastAsia="Times New Roman" w:hAnsi="Bookman Old Style" w:cs="Times New Roman"/>
          <w:bCs/>
          <w:sz w:val="24"/>
          <w:szCs w:val="24"/>
          <w:bdr w:val="none" w:sz="0" w:space="0" w:color="auto" w:frame="1"/>
        </w:rPr>
      </w:pPr>
    </w:p>
    <w:p w:rsidR="00ED27D9" w:rsidRDefault="00ED27D9" w:rsidP="00ED27D9">
      <w:pPr>
        <w:pStyle w:val="Paragraphedeliste"/>
        <w:numPr>
          <w:ilvl w:val="0"/>
          <w:numId w:val="5"/>
        </w:numPr>
        <w:spacing w:after="0" w:line="240" w:lineRule="auto"/>
        <w:jc w:val="both"/>
        <w:outlineLvl w:val="1"/>
        <w:rPr>
          <w:rFonts w:ascii="Bookman Old Style" w:eastAsia="Times New Roman" w:hAnsi="Bookman Old Style" w:cs="Times New Roman"/>
          <w:bCs/>
          <w:sz w:val="24"/>
          <w:szCs w:val="24"/>
          <w:bdr w:val="none" w:sz="0" w:space="0" w:color="auto" w:frame="1"/>
        </w:rPr>
      </w:pPr>
      <w:bookmarkStart w:id="273" w:name="_Toc511080940"/>
      <w:bookmarkStart w:id="274" w:name="_Toc511081616"/>
      <w:r>
        <w:rPr>
          <w:rFonts w:ascii="Bookman Old Style" w:eastAsia="Times New Roman" w:hAnsi="Bookman Old Style" w:cs="Times New Roman"/>
          <w:bCs/>
          <w:sz w:val="24"/>
          <w:szCs w:val="24"/>
          <w:bdr w:val="none" w:sz="0" w:space="0" w:color="auto" w:frame="1"/>
        </w:rPr>
        <w:t xml:space="preserve">Sur le plan légal, le Burundi a déjà adopté le PPP à travers la loi n°1/14 du 27 avril 2015 et le décret n° 100/12 du 06 janvier 2016. Il </w:t>
      </w:r>
      <w:r>
        <w:rPr>
          <w:rFonts w:ascii="Bookman Old Style" w:eastAsia="Times New Roman" w:hAnsi="Bookman Old Style" w:cs="Times New Roman"/>
          <w:bCs/>
          <w:sz w:val="24"/>
          <w:szCs w:val="24"/>
          <w:bdr w:val="none" w:sz="0" w:space="0" w:color="auto" w:frame="1"/>
        </w:rPr>
        <w:lastRenderedPageBreak/>
        <w:t>reste néanmoins à déterminer les domaines qui feront l’objet du PPP pour les distinguer des domaines exclusifs de la gestion publique.</w:t>
      </w:r>
      <w:bookmarkEnd w:id="273"/>
      <w:bookmarkEnd w:id="274"/>
    </w:p>
    <w:p w:rsidR="00ED27D9" w:rsidRPr="00ED27D9" w:rsidRDefault="00ED27D9" w:rsidP="00ED27D9">
      <w:pPr>
        <w:rPr>
          <w:rFonts w:ascii="Bookman Old Style" w:eastAsia="Times New Roman" w:hAnsi="Bookman Old Style" w:cs="Times New Roman"/>
          <w:b/>
          <w:bCs/>
          <w:i/>
          <w:kern w:val="28"/>
          <w:sz w:val="24"/>
          <w:szCs w:val="32"/>
        </w:rPr>
      </w:pPr>
    </w:p>
    <w:p w:rsidR="00DE3A23" w:rsidRPr="00CA196C" w:rsidRDefault="00DE3A23" w:rsidP="00D76FCA">
      <w:pPr>
        <w:pStyle w:val="Titre"/>
        <w:rPr>
          <w:rFonts w:ascii="Bookman Old Style" w:hAnsi="Bookman Old Style"/>
        </w:rPr>
      </w:pPr>
      <w:bookmarkStart w:id="275" w:name="_Toc511076251"/>
      <w:bookmarkStart w:id="276" w:name="_Toc511080936"/>
      <w:bookmarkStart w:id="277" w:name="_Toc511081612"/>
      <w:r w:rsidRPr="00CA196C">
        <w:rPr>
          <w:rFonts w:ascii="Bookman Old Style" w:hAnsi="Bookman Old Style"/>
        </w:rPr>
        <w:t xml:space="preserve">Tableau </w:t>
      </w:r>
      <w:r w:rsidR="00BC33DD" w:rsidRPr="00CA196C">
        <w:rPr>
          <w:rFonts w:ascii="Bookman Old Style" w:hAnsi="Bookman Old Style"/>
        </w:rPr>
        <w:t>1</w:t>
      </w:r>
      <w:r w:rsidR="00014B8B" w:rsidRPr="00CA196C">
        <w:rPr>
          <w:rFonts w:ascii="Bookman Old Style" w:hAnsi="Bookman Old Style"/>
        </w:rPr>
        <w:t>2</w:t>
      </w:r>
      <w:r w:rsidR="00BC33DD" w:rsidRPr="00CA196C">
        <w:rPr>
          <w:rFonts w:ascii="Bookman Old Style" w:hAnsi="Bookman Old Style"/>
        </w:rPr>
        <w:t xml:space="preserve">. </w:t>
      </w:r>
      <w:r w:rsidR="0053067F" w:rsidRPr="0053067F">
        <w:rPr>
          <w:rFonts w:ascii="Bookman Old Style" w:hAnsi="Bookman Old Style"/>
        </w:rPr>
        <w:t xml:space="preserve">Axes d’intervention et objectifs  </w:t>
      </w:r>
      <w:r w:rsidR="0053067F">
        <w:rPr>
          <w:rFonts w:ascii="Bookman Old Style" w:hAnsi="Bookman Old Style"/>
        </w:rPr>
        <w:t xml:space="preserve">pour </w:t>
      </w:r>
      <w:r w:rsidR="002D21E2" w:rsidRPr="00CA196C">
        <w:rPr>
          <w:rFonts w:ascii="Bookman Old Style" w:hAnsi="Bookman Old Style"/>
        </w:rPr>
        <w:t>l’orientation stratégique n°</w:t>
      </w:r>
      <w:r w:rsidRPr="00CA196C">
        <w:rPr>
          <w:rFonts w:ascii="Bookman Old Style" w:hAnsi="Bookman Old Style"/>
        </w:rPr>
        <w:t xml:space="preserve">5 du </w:t>
      </w:r>
      <w:r w:rsidR="000920EC" w:rsidRPr="00CA196C">
        <w:rPr>
          <w:rFonts w:ascii="Bookman Old Style" w:hAnsi="Bookman Old Style"/>
        </w:rPr>
        <w:t>PND BURUNDI 2018-2027</w:t>
      </w:r>
      <w:bookmarkEnd w:id="275"/>
      <w:bookmarkEnd w:id="276"/>
      <w:bookmarkEnd w:id="277"/>
    </w:p>
    <w:p w:rsidR="00BE0160" w:rsidRPr="00CA196C" w:rsidRDefault="00BE0160" w:rsidP="00E92676">
      <w:pPr>
        <w:autoSpaceDE w:val="0"/>
        <w:autoSpaceDN w:val="0"/>
        <w:adjustRightInd w:val="0"/>
        <w:spacing w:after="0" w:line="240" w:lineRule="auto"/>
        <w:jc w:val="both"/>
        <w:rPr>
          <w:rFonts w:ascii="Bookman Old Style" w:hAnsi="Bookman Old Style" w:cs="Times New Roman"/>
          <w:b/>
          <w:sz w:val="24"/>
          <w:szCs w:val="24"/>
        </w:rPr>
      </w:pPr>
    </w:p>
    <w:tbl>
      <w:tblPr>
        <w:tblStyle w:val="Grilleclaire-Accent5"/>
        <w:tblW w:w="0" w:type="auto"/>
        <w:tblInd w:w="250" w:type="dxa"/>
        <w:tblLook w:val="04A0" w:firstRow="1" w:lastRow="0" w:firstColumn="1" w:lastColumn="0" w:noHBand="0" w:noVBand="1"/>
      </w:tblPr>
      <w:tblGrid>
        <w:gridCol w:w="3969"/>
        <w:gridCol w:w="4992"/>
      </w:tblGrid>
      <w:tr w:rsidR="00BE0160" w:rsidRPr="0016729A" w:rsidTr="001C41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BE0160" w:rsidRPr="0016729A" w:rsidRDefault="00BE0160" w:rsidP="00E92676">
            <w:pPr>
              <w:autoSpaceDE w:val="0"/>
              <w:autoSpaceDN w:val="0"/>
              <w:adjustRightInd w:val="0"/>
              <w:jc w:val="both"/>
              <w:rPr>
                <w:rFonts w:ascii="Bookman Old Style" w:hAnsi="Bookman Old Style" w:cs="Times New Roman"/>
                <w:sz w:val="20"/>
                <w:szCs w:val="20"/>
              </w:rPr>
            </w:pPr>
            <w:r w:rsidRPr="0016729A">
              <w:rPr>
                <w:rFonts w:ascii="Bookman Old Style" w:hAnsi="Bookman Old Style" w:cs="Times New Roman"/>
                <w:sz w:val="20"/>
                <w:szCs w:val="20"/>
              </w:rPr>
              <w:t>Axes d’intervention</w:t>
            </w:r>
          </w:p>
        </w:tc>
        <w:tc>
          <w:tcPr>
            <w:tcW w:w="4992" w:type="dxa"/>
          </w:tcPr>
          <w:p w:rsidR="00BE0160" w:rsidRPr="0016729A" w:rsidRDefault="0030607B" w:rsidP="00E9267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Bookman Old Style" w:hAnsi="Bookman Old Style" w:cs="Times New Roman"/>
                <w:sz w:val="20"/>
                <w:szCs w:val="20"/>
              </w:rPr>
            </w:pPr>
            <w:r w:rsidRPr="0016729A">
              <w:rPr>
                <w:rFonts w:ascii="Bookman Old Style" w:hAnsi="Bookman Old Style" w:cs="Times New Roman"/>
                <w:sz w:val="20"/>
                <w:szCs w:val="20"/>
              </w:rPr>
              <w:t>Objectifs stratégiques</w:t>
            </w:r>
          </w:p>
        </w:tc>
      </w:tr>
      <w:tr w:rsidR="0030607B" w:rsidRPr="0016729A" w:rsidTr="001C4166">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969" w:type="dxa"/>
            <w:vMerge w:val="restart"/>
          </w:tcPr>
          <w:p w:rsidR="0030607B" w:rsidRPr="0016729A" w:rsidRDefault="00ED6DBD" w:rsidP="0030607B">
            <w:pPr>
              <w:autoSpaceDE w:val="0"/>
              <w:autoSpaceDN w:val="0"/>
              <w:adjustRightInd w:val="0"/>
              <w:jc w:val="both"/>
              <w:rPr>
                <w:rFonts w:ascii="Bookman Old Style" w:hAnsi="Bookman Old Style" w:cs="Times New Roman"/>
                <w:sz w:val="20"/>
                <w:szCs w:val="20"/>
              </w:rPr>
            </w:pPr>
            <w:r w:rsidRPr="0016729A">
              <w:rPr>
                <w:rFonts w:ascii="Bookman Old Style" w:hAnsi="Bookman Old Style" w:cs="Times New Roman"/>
                <w:bCs w:val="0"/>
                <w:iCs/>
                <w:sz w:val="20"/>
                <w:szCs w:val="20"/>
              </w:rPr>
              <w:t xml:space="preserve">Axe </w:t>
            </w:r>
            <w:r w:rsidR="0030607B" w:rsidRPr="0016729A">
              <w:rPr>
                <w:rFonts w:ascii="Bookman Old Style" w:hAnsi="Bookman Old Style" w:cs="Times New Roman"/>
                <w:bCs w:val="0"/>
                <w:iCs/>
                <w:sz w:val="20"/>
                <w:szCs w:val="20"/>
              </w:rPr>
              <w:t>1</w:t>
            </w:r>
            <w:r w:rsidRPr="0016729A">
              <w:rPr>
                <w:rFonts w:ascii="Bookman Old Style" w:hAnsi="Bookman Old Style" w:cs="Times New Roman"/>
                <w:bCs w:val="0"/>
                <w:iCs/>
                <w:sz w:val="20"/>
                <w:szCs w:val="20"/>
              </w:rPr>
              <w:t>5</w:t>
            </w:r>
            <w:r w:rsidR="0030607B" w:rsidRPr="0016729A">
              <w:rPr>
                <w:rFonts w:ascii="Bookman Old Style" w:hAnsi="Bookman Old Style" w:cs="Times New Roman"/>
                <w:bCs w:val="0"/>
                <w:iCs/>
                <w:sz w:val="20"/>
                <w:szCs w:val="20"/>
              </w:rPr>
              <w:t>. Mobilisation des ressources</w:t>
            </w:r>
          </w:p>
        </w:tc>
        <w:tc>
          <w:tcPr>
            <w:tcW w:w="4992" w:type="dxa"/>
          </w:tcPr>
          <w:p w:rsidR="0030607B" w:rsidRPr="0016729A" w:rsidRDefault="004965CD" w:rsidP="005A3648">
            <w:pPr>
              <w:pStyle w:val="Default"/>
              <w:jc w:val="both"/>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olor w:val="auto"/>
                <w:sz w:val="20"/>
                <w:szCs w:val="20"/>
              </w:rPr>
            </w:pPr>
            <w:r w:rsidRPr="0016729A">
              <w:rPr>
                <w:rFonts w:ascii="Bookman Old Style" w:eastAsia="Times New Roman" w:hAnsi="Bookman Old Style"/>
                <w:color w:val="auto"/>
                <w:sz w:val="20"/>
                <w:szCs w:val="20"/>
              </w:rPr>
              <w:t xml:space="preserve">OS </w:t>
            </w:r>
            <w:r w:rsidR="008D1C3C">
              <w:rPr>
                <w:rFonts w:ascii="Bookman Old Style" w:eastAsia="Times New Roman" w:hAnsi="Bookman Old Style"/>
                <w:color w:val="auto"/>
                <w:sz w:val="20"/>
                <w:szCs w:val="20"/>
              </w:rPr>
              <w:t>1</w:t>
            </w:r>
            <w:r w:rsidR="0030607B" w:rsidRPr="0016729A">
              <w:rPr>
                <w:rFonts w:ascii="Bookman Old Style" w:eastAsia="Times New Roman" w:hAnsi="Bookman Old Style"/>
                <w:color w:val="auto"/>
                <w:sz w:val="20"/>
                <w:szCs w:val="20"/>
              </w:rPr>
              <w:t>: Renforce</w:t>
            </w:r>
            <w:r w:rsidRPr="0016729A">
              <w:rPr>
                <w:rFonts w:ascii="Bookman Old Style" w:eastAsia="Times New Roman" w:hAnsi="Bookman Old Style"/>
                <w:color w:val="auto"/>
                <w:sz w:val="20"/>
                <w:szCs w:val="20"/>
              </w:rPr>
              <w:t>r</w:t>
            </w:r>
            <w:r w:rsidR="0030607B" w:rsidRPr="0016729A">
              <w:rPr>
                <w:rFonts w:ascii="Bookman Old Style" w:eastAsia="Times New Roman" w:hAnsi="Bookman Old Style"/>
                <w:color w:val="auto"/>
                <w:sz w:val="20"/>
                <w:szCs w:val="20"/>
              </w:rPr>
              <w:t xml:space="preserve"> </w:t>
            </w:r>
            <w:r w:rsidRPr="0016729A">
              <w:rPr>
                <w:rFonts w:ascii="Bookman Old Style" w:eastAsia="Times New Roman" w:hAnsi="Bookman Old Style"/>
                <w:color w:val="auto"/>
                <w:sz w:val="20"/>
                <w:szCs w:val="20"/>
              </w:rPr>
              <w:t>l</w:t>
            </w:r>
            <w:r w:rsidR="0030607B" w:rsidRPr="0016729A">
              <w:rPr>
                <w:rFonts w:ascii="Bookman Old Style" w:eastAsia="Times New Roman" w:hAnsi="Bookman Old Style"/>
                <w:color w:val="auto"/>
                <w:sz w:val="20"/>
                <w:szCs w:val="20"/>
              </w:rPr>
              <w:t>es capacités</w:t>
            </w:r>
            <w:r w:rsidR="001E627D" w:rsidRPr="0016729A">
              <w:rPr>
                <w:rFonts w:ascii="Bookman Old Style" w:eastAsia="Times New Roman" w:hAnsi="Bookman Old Style"/>
                <w:color w:val="auto"/>
                <w:sz w:val="20"/>
                <w:szCs w:val="20"/>
              </w:rPr>
              <w:t xml:space="preserve"> de mobilisation des ressources</w:t>
            </w:r>
          </w:p>
        </w:tc>
      </w:tr>
      <w:tr w:rsidR="0030607B" w:rsidRPr="0016729A" w:rsidTr="001C41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Merge/>
          </w:tcPr>
          <w:p w:rsidR="0030607B" w:rsidRPr="0016729A" w:rsidRDefault="0030607B" w:rsidP="00E92676">
            <w:pPr>
              <w:autoSpaceDE w:val="0"/>
              <w:autoSpaceDN w:val="0"/>
              <w:adjustRightInd w:val="0"/>
              <w:jc w:val="both"/>
              <w:rPr>
                <w:rFonts w:ascii="Bookman Old Style" w:hAnsi="Bookman Old Style" w:cs="Times New Roman"/>
                <w:sz w:val="20"/>
                <w:szCs w:val="20"/>
              </w:rPr>
            </w:pPr>
          </w:p>
        </w:tc>
        <w:tc>
          <w:tcPr>
            <w:tcW w:w="4992" w:type="dxa"/>
          </w:tcPr>
          <w:p w:rsidR="0030607B" w:rsidRPr="0016729A" w:rsidRDefault="004965CD" w:rsidP="004965CD">
            <w:pPr>
              <w:pStyle w:val="Default"/>
              <w:jc w:val="both"/>
              <w:cnfStyle w:val="000000010000" w:firstRow="0" w:lastRow="0" w:firstColumn="0" w:lastColumn="0" w:oddVBand="0" w:evenVBand="0" w:oddHBand="0" w:evenHBand="1" w:firstRowFirstColumn="0" w:firstRowLastColumn="0" w:lastRowFirstColumn="0" w:lastRowLastColumn="0"/>
              <w:rPr>
                <w:rFonts w:ascii="Bookman Old Style" w:eastAsia="Times New Roman" w:hAnsi="Bookman Old Style"/>
                <w:color w:val="auto"/>
                <w:sz w:val="20"/>
                <w:szCs w:val="20"/>
              </w:rPr>
            </w:pPr>
            <w:r w:rsidRPr="0016729A">
              <w:rPr>
                <w:rFonts w:ascii="Bookman Old Style" w:eastAsia="Times New Roman" w:hAnsi="Bookman Old Style"/>
                <w:color w:val="auto"/>
                <w:sz w:val="20"/>
                <w:szCs w:val="20"/>
              </w:rPr>
              <w:t xml:space="preserve">OS </w:t>
            </w:r>
            <w:r w:rsidR="008D1C3C">
              <w:rPr>
                <w:rFonts w:ascii="Bookman Old Style" w:eastAsia="Times New Roman" w:hAnsi="Bookman Old Style"/>
                <w:color w:val="auto"/>
                <w:sz w:val="20"/>
                <w:szCs w:val="20"/>
              </w:rPr>
              <w:t>2</w:t>
            </w:r>
            <w:r w:rsidR="0030607B" w:rsidRPr="0016729A">
              <w:rPr>
                <w:rFonts w:ascii="Bookman Old Style" w:eastAsia="Times New Roman" w:hAnsi="Bookman Old Style"/>
                <w:color w:val="auto"/>
                <w:sz w:val="20"/>
                <w:szCs w:val="20"/>
              </w:rPr>
              <w:t xml:space="preserve">: </w:t>
            </w:r>
            <w:r w:rsidR="00B00088" w:rsidRPr="0016729A">
              <w:rPr>
                <w:rFonts w:ascii="Bookman Old Style" w:eastAsia="Times New Roman" w:hAnsi="Bookman Old Style"/>
                <w:color w:val="auto"/>
                <w:sz w:val="20"/>
                <w:szCs w:val="20"/>
              </w:rPr>
              <w:t>Promouvoir</w:t>
            </w:r>
            <w:r w:rsidR="00F83D0D" w:rsidRPr="0016729A">
              <w:rPr>
                <w:rFonts w:ascii="Bookman Old Style" w:eastAsia="Times New Roman" w:hAnsi="Bookman Old Style"/>
                <w:color w:val="auto"/>
                <w:sz w:val="20"/>
                <w:szCs w:val="20"/>
              </w:rPr>
              <w:t xml:space="preserve"> la gestion rationnelle des dépenses publique</w:t>
            </w:r>
            <w:r w:rsidR="00B00088" w:rsidRPr="0016729A">
              <w:rPr>
                <w:rFonts w:ascii="Bookman Old Style" w:eastAsia="Times New Roman" w:hAnsi="Bookman Old Style"/>
                <w:color w:val="auto"/>
                <w:sz w:val="20"/>
                <w:szCs w:val="20"/>
              </w:rPr>
              <w:t>s</w:t>
            </w:r>
            <w:r w:rsidR="00F83D0D" w:rsidRPr="0016729A">
              <w:rPr>
                <w:rFonts w:ascii="Bookman Old Style" w:eastAsia="Times New Roman" w:hAnsi="Bookman Old Style"/>
                <w:color w:val="auto"/>
                <w:sz w:val="20"/>
                <w:szCs w:val="20"/>
              </w:rPr>
              <w:t xml:space="preserve"> </w:t>
            </w:r>
          </w:p>
        </w:tc>
      </w:tr>
      <w:tr w:rsidR="00BE0160" w:rsidRPr="0016729A" w:rsidTr="001C4166">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3969" w:type="dxa"/>
          </w:tcPr>
          <w:p w:rsidR="00BE0160" w:rsidRPr="0016729A" w:rsidRDefault="00BE0160" w:rsidP="00ED6DBD">
            <w:pPr>
              <w:spacing w:after="160"/>
              <w:jc w:val="both"/>
              <w:rPr>
                <w:rFonts w:ascii="Bookman Old Style" w:eastAsia="Times New Roman" w:hAnsi="Bookman Old Style" w:cs="Times New Roman"/>
                <w:sz w:val="20"/>
                <w:szCs w:val="20"/>
              </w:rPr>
            </w:pPr>
            <w:r w:rsidRPr="0016729A">
              <w:rPr>
                <w:rFonts w:ascii="Bookman Old Style" w:hAnsi="Bookman Old Style" w:cs="Times New Roman"/>
                <w:bCs w:val="0"/>
                <w:iCs/>
                <w:sz w:val="20"/>
                <w:szCs w:val="20"/>
              </w:rPr>
              <w:t xml:space="preserve">Axe </w:t>
            </w:r>
            <w:r w:rsidR="00ED6DBD" w:rsidRPr="0016729A">
              <w:rPr>
                <w:rFonts w:ascii="Bookman Old Style" w:hAnsi="Bookman Old Style" w:cs="Times New Roman"/>
                <w:bCs w:val="0"/>
                <w:iCs/>
                <w:sz w:val="20"/>
                <w:szCs w:val="20"/>
              </w:rPr>
              <w:t>16</w:t>
            </w:r>
            <w:r w:rsidRPr="0016729A">
              <w:rPr>
                <w:rFonts w:ascii="Bookman Old Style" w:hAnsi="Bookman Old Style" w:cs="Times New Roman"/>
                <w:bCs w:val="0"/>
                <w:iCs/>
                <w:sz w:val="20"/>
                <w:szCs w:val="20"/>
              </w:rPr>
              <w:t xml:space="preserve">. </w:t>
            </w:r>
            <w:r w:rsidRPr="0016729A">
              <w:rPr>
                <w:rFonts w:ascii="Bookman Old Style" w:eastAsia="Times New Roman" w:hAnsi="Bookman Old Style" w:cs="Times New Roman"/>
                <w:sz w:val="20"/>
                <w:szCs w:val="20"/>
              </w:rPr>
              <w:t>Développement de la coopération et des partenariats sous-régi</w:t>
            </w:r>
            <w:r w:rsidR="001C4166" w:rsidRPr="0016729A">
              <w:rPr>
                <w:rFonts w:ascii="Bookman Old Style" w:eastAsia="Times New Roman" w:hAnsi="Bookman Old Style" w:cs="Times New Roman"/>
                <w:sz w:val="20"/>
                <w:szCs w:val="20"/>
              </w:rPr>
              <w:t>onal, régional et international</w:t>
            </w:r>
          </w:p>
        </w:tc>
        <w:tc>
          <w:tcPr>
            <w:tcW w:w="4992" w:type="dxa"/>
          </w:tcPr>
          <w:p w:rsidR="00BE0160" w:rsidRPr="0016729A" w:rsidRDefault="001E627D" w:rsidP="004965C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Bookman Old Style" w:hAnsi="Bookman Old Style" w:cs="Times New Roman"/>
                <w:sz w:val="20"/>
                <w:szCs w:val="20"/>
              </w:rPr>
            </w:pPr>
            <w:r w:rsidRPr="0016729A">
              <w:rPr>
                <w:rFonts w:ascii="Bookman Old Style" w:hAnsi="Bookman Old Style" w:cs="Times New Roman"/>
                <w:sz w:val="20"/>
                <w:szCs w:val="20"/>
              </w:rPr>
              <w:t xml:space="preserve">OS </w:t>
            </w:r>
            <w:r w:rsidR="004965CD" w:rsidRPr="0016729A">
              <w:rPr>
                <w:rFonts w:ascii="Bookman Old Style" w:hAnsi="Bookman Old Style" w:cs="Times New Roman"/>
                <w:sz w:val="20"/>
                <w:szCs w:val="20"/>
              </w:rPr>
              <w:t>1</w:t>
            </w:r>
            <w:r w:rsidR="0030607B" w:rsidRPr="0016729A">
              <w:rPr>
                <w:rFonts w:ascii="Bookman Old Style" w:hAnsi="Bookman Old Style" w:cs="Times New Roman"/>
                <w:sz w:val="20"/>
                <w:szCs w:val="20"/>
              </w:rPr>
              <w:t> : Consolider et développer la coopération et le partenariat sous-régio</w:t>
            </w:r>
            <w:r w:rsidR="00F83D0D" w:rsidRPr="0016729A">
              <w:rPr>
                <w:rFonts w:ascii="Bookman Old Style" w:hAnsi="Bookman Old Style" w:cs="Times New Roman"/>
                <w:sz w:val="20"/>
                <w:szCs w:val="20"/>
              </w:rPr>
              <w:t>nal, régional et international</w:t>
            </w:r>
          </w:p>
        </w:tc>
      </w:tr>
    </w:tbl>
    <w:p w:rsidR="00D76FCA" w:rsidRPr="00CA196C" w:rsidRDefault="00D76FCA" w:rsidP="00E92676">
      <w:pPr>
        <w:spacing w:after="0" w:line="240" w:lineRule="auto"/>
        <w:jc w:val="both"/>
        <w:outlineLvl w:val="1"/>
        <w:rPr>
          <w:rFonts w:ascii="Bookman Old Style" w:eastAsia="Times New Roman" w:hAnsi="Bookman Old Style" w:cs="Times New Roman"/>
          <w:b/>
          <w:bCs/>
          <w:i/>
          <w:sz w:val="24"/>
          <w:szCs w:val="24"/>
          <w:u w:color="000000"/>
          <w:bdr w:val="nil"/>
        </w:rPr>
      </w:pPr>
    </w:p>
    <w:p w:rsidR="00DE3A23" w:rsidRPr="00CA196C" w:rsidRDefault="00DE3A23" w:rsidP="00E92676">
      <w:pPr>
        <w:spacing w:after="0" w:line="240" w:lineRule="auto"/>
        <w:jc w:val="both"/>
        <w:outlineLvl w:val="1"/>
        <w:rPr>
          <w:rFonts w:ascii="Bookman Old Style" w:eastAsia="Times New Roman" w:hAnsi="Bookman Old Style" w:cs="Times New Roman"/>
          <w:b/>
          <w:bCs/>
          <w:i/>
          <w:sz w:val="24"/>
          <w:szCs w:val="24"/>
          <w:u w:color="000000"/>
          <w:bdr w:val="nil"/>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bookmarkStart w:id="278" w:name="_Toc499814552"/>
      <w:bookmarkStart w:id="279" w:name="_Toc500667059"/>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632405" w:rsidRPr="00CA196C" w:rsidRDefault="00632405"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4917A3" w:rsidRDefault="004917A3">
      <w:pPr>
        <w:rPr>
          <w:rFonts w:ascii="Helvetica" w:eastAsiaTheme="majorEastAsia" w:hAnsi="Helvetica" w:cstheme="majorBidi"/>
          <w:b/>
          <w:bCs/>
          <w:color w:val="00B050"/>
          <w:sz w:val="28"/>
          <w:szCs w:val="28"/>
        </w:rPr>
      </w:pPr>
      <w:bookmarkStart w:id="280" w:name="_Toc511080941"/>
      <w:bookmarkStart w:id="281" w:name="_Toc511081617"/>
      <w:bookmarkStart w:id="282" w:name="_Toc500667060"/>
      <w:bookmarkEnd w:id="278"/>
      <w:bookmarkEnd w:id="279"/>
      <w:r>
        <w:br w:type="page"/>
      </w:r>
    </w:p>
    <w:p w:rsidR="004917A3" w:rsidRDefault="004917A3" w:rsidP="005D43FC">
      <w:pPr>
        <w:pStyle w:val="Titre1"/>
      </w:pPr>
    </w:p>
    <w:p w:rsidR="004917A3" w:rsidRDefault="004917A3" w:rsidP="005D43FC">
      <w:pPr>
        <w:pStyle w:val="Titre1"/>
      </w:pPr>
    </w:p>
    <w:p w:rsidR="004917A3" w:rsidRDefault="004917A3" w:rsidP="005D43FC">
      <w:pPr>
        <w:pStyle w:val="Titre1"/>
      </w:pPr>
    </w:p>
    <w:p w:rsidR="004917A3" w:rsidRDefault="004917A3" w:rsidP="005D43FC">
      <w:pPr>
        <w:pStyle w:val="Titre1"/>
      </w:pPr>
    </w:p>
    <w:p w:rsidR="004917A3" w:rsidRDefault="004917A3" w:rsidP="005D43FC">
      <w:pPr>
        <w:pStyle w:val="Titre1"/>
      </w:pPr>
    </w:p>
    <w:p w:rsidR="004917A3" w:rsidRDefault="004917A3" w:rsidP="005D43FC">
      <w:pPr>
        <w:pStyle w:val="Titre1"/>
      </w:pPr>
    </w:p>
    <w:p w:rsidR="004917A3" w:rsidRDefault="004917A3" w:rsidP="005D43FC">
      <w:pPr>
        <w:pStyle w:val="Titre1"/>
      </w:pPr>
    </w:p>
    <w:p w:rsidR="004917A3" w:rsidRDefault="004917A3" w:rsidP="005D43FC">
      <w:pPr>
        <w:pStyle w:val="Titre1"/>
      </w:pPr>
    </w:p>
    <w:p w:rsidR="004917A3" w:rsidRDefault="004917A3" w:rsidP="005D43FC">
      <w:pPr>
        <w:pStyle w:val="Titre1"/>
      </w:pPr>
    </w:p>
    <w:p w:rsidR="006429B1" w:rsidRPr="00CA196C" w:rsidRDefault="006429B1" w:rsidP="005D43FC">
      <w:pPr>
        <w:pStyle w:val="Titre1"/>
      </w:pPr>
      <w:r w:rsidRPr="00CA196C">
        <w:t>V. CADRAGE MACROECONOMIQUE ET BUDGETAIRE</w:t>
      </w:r>
      <w:bookmarkEnd w:id="280"/>
      <w:bookmarkEnd w:id="281"/>
    </w:p>
    <w:p w:rsidR="006429B1" w:rsidRPr="00CA196C" w:rsidRDefault="006429B1" w:rsidP="006429B1">
      <w:pPr>
        <w:rPr>
          <w:rFonts w:ascii="Bookman Old Style" w:eastAsiaTheme="majorEastAsia" w:hAnsi="Bookman Old Style" w:cs="Times New Roman"/>
          <w:b/>
          <w:bCs/>
          <w:sz w:val="24"/>
          <w:szCs w:val="24"/>
        </w:rPr>
      </w:pPr>
      <w:r w:rsidRPr="00CA196C">
        <w:rPr>
          <w:rFonts w:ascii="Bookman Old Style" w:eastAsiaTheme="majorEastAsia" w:hAnsi="Bookman Old Style" w:cs="Times New Roman"/>
          <w:b/>
          <w:bCs/>
          <w:sz w:val="24"/>
          <w:szCs w:val="24"/>
        </w:rPr>
        <w:br w:type="page"/>
      </w:r>
    </w:p>
    <w:p w:rsidR="006429B1" w:rsidRPr="00CA196C" w:rsidRDefault="006429B1" w:rsidP="00ED27D9">
      <w:pPr>
        <w:pStyle w:val="Titre2"/>
      </w:pPr>
      <w:bookmarkStart w:id="283" w:name="_Toc511080942"/>
      <w:bookmarkStart w:id="284" w:name="_Toc511081618"/>
      <w:bookmarkStart w:id="285" w:name="_Toc499814553"/>
      <w:r w:rsidRPr="00CA196C">
        <w:lastRenderedPageBreak/>
        <w:t>5.0. Introduction</w:t>
      </w:r>
      <w:bookmarkEnd w:id="283"/>
      <w:bookmarkEnd w:id="284"/>
    </w:p>
    <w:p w:rsidR="006429B1" w:rsidRPr="00CA196C" w:rsidRDefault="006429B1" w:rsidP="006429B1">
      <w:pPr>
        <w:pStyle w:val="Paragraphedeliste"/>
        <w:spacing w:before="120" w:after="120" w:line="240" w:lineRule="auto"/>
        <w:ind w:left="644"/>
        <w:jc w:val="both"/>
        <w:outlineLvl w:val="1"/>
        <w:rPr>
          <w:rFonts w:ascii="Bookman Old Style" w:eastAsia="Times New Roman" w:hAnsi="Bookman Old Style" w:cs="Times New Roman"/>
          <w:b/>
          <w:sz w:val="24"/>
          <w:szCs w:val="24"/>
          <w:u w:color="000000"/>
          <w:bdr w:val="nil"/>
        </w:rPr>
      </w:pPr>
    </w:p>
    <w:p w:rsidR="006429B1" w:rsidRPr="00CA196C" w:rsidRDefault="006429B1" w:rsidP="00D76FCA">
      <w:pPr>
        <w:pStyle w:val="Paragraphedeliste"/>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sz w:val="24"/>
          <w:szCs w:val="24"/>
        </w:rPr>
        <w:t xml:space="preserve">Le présent cadrage traduit les perspectives macroéconomiques chiffrées sur la période 2018-2027. Sur base des évolutions favorables attendues au niveau international et de la mise en </w:t>
      </w:r>
      <w:r w:rsidR="00056D1B" w:rsidRPr="00CA196C">
        <w:rPr>
          <w:rFonts w:ascii="Bookman Old Style" w:hAnsi="Bookman Old Style" w:cs="Times New Roman"/>
          <w:sz w:val="24"/>
          <w:szCs w:val="24"/>
        </w:rPr>
        <w:t>œuvre</w:t>
      </w:r>
      <w:r w:rsidRPr="00CA196C">
        <w:rPr>
          <w:rFonts w:ascii="Bookman Old Style" w:hAnsi="Bookman Old Style" w:cs="Times New Roman"/>
          <w:sz w:val="24"/>
          <w:szCs w:val="24"/>
        </w:rPr>
        <w:t xml:space="preserve"> des principales politiques et des programmes clés du PND,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w:t>
      </w:r>
      <w:r w:rsidRPr="0020032C">
        <w:rPr>
          <w:rFonts w:ascii="Bookman Old Style" w:hAnsi="Bookman Old Style" w:cs="Times New Roman"/>
          <w:sz w:val="24"/>
          <w:szCs w:val="24"/>
        </w:rPr>
        <w:t>ambitionne</w:t>
      </w:r>
      <w:r w:rsidRPr="00CA196C">
        <w:rPr>
          <w:rFonts w:ascii="Bookman Old Style" w:hAnsi="Bookman Old Style" w:cs="Times New Roman"/>
          <w:sz w:val="24"/>
          <w:szCs w:val="24"/>
        </w:rPr>
        <w:t xml:space="preserve"> la réalisation d’une croissance forte et soutenue à travers la transformation structurelle de l’économie</w:t>
      </w:r>
      <w:r w:rsidRPr="00CA196C">
        <w:rPr>
          <w:rFonts w:ascii="Bookman Old Style" w:hAnsi="Bookman Old Style" w:cs="Times New Roman"/>
          <w:bCs/>
          <w:sz w:val="24"/>
          <w:szCs w:val="24"/>
        </w:rPr>
        <w:t xml:space="preserve">. </w:t>
      </w:r>
    </w:p>
    <w:p w:rsidR="006429B1" w:rsidRPr="00CA196C" w:rsidRDefault="006429B1" w:rsidP="00D76FCA">
      <w:pPr>
        <w:pStyle w:val="Paragraphedeliste"/>
        <w:spacing w:before="120" w:after="120" w:line="240" w:lineRule="auto"/>
        <w:ind w:left="0"/>
        <w:jc w:val="both"/>
        <w:outlineLvl w:val="1"/>
        <w:rPr>
          <w:rFonts w:ascii="Bookman Old Style" w:hAnsi="Bookman Old Style" w:cs="Times New Roman"/>
          <w:bCs/>
          <w:sz w:val="24"/>
          <w:szCs w:val="24"/>
        </w:rPr>
      </w:pPr>
    </w:p>
    <w:p w:rsidR="006429B1" w:rsidRPr="00CA196C" w:rsidRDefault="006429B1" w:rsidP="00ED27D9">
      <w:pPr>
        <w:pStyle w:val="Titre2"/>
      </w:pPr>
      <w:r w:rsidRPr="00CA196C">
        <w:t xml:space="preserve"> </w:t>
      </w:r>
      <w:bookmarkStart w:id="286" w:name="_Toc511080943"/>
      <w:bookmarkStart w:id="287" w:name="_Toc511081619"/>
      <w:r w:rsidRPr="00CA196C">
        <w:t>5.1. Hypothèses de croissance économique</w:t>
      </w:r>
      <w:bookmarkEnd w:id="285"/>
      <w:bookmarkEnd w:id="286"/>
      <w:bookmarkEnd w:id="287"/>
      <w:r w:rsidRPr="00CA196C">
        <w:t xml:space="preserve"> </w:t>
      </w:r>
    </w:p>
    <w:p w:rsidR="006429B1" w:rsidRPr="00CA196C" w:rsidRDefault="006429B1" w:rsidP="00D76FCA">
      <w:pPr>
        <w:pStyle w:val="Paragraphedeliste"/>
        <w:spacing w:before="160" w:after="120" w:line="240" w:lineRule="auto"/>
        <w:ind w:left="0"/>
        <w:jc w:val="both"/>
        <w:rPr>
          <w:rFonts w:ascii="Bookman Old Style" w:hAnsi="Bookman Old Style" w:cs="Times New Roman"/>
          <w:sz w:val="24"/>
          <w:szCs w:val="24"/>
        </w:rPr>
      </w:pPr>
      <w:r w:rsidRPr="00CA196C">
        <w:rPr>
          <w:rFonts w:ascii="Bookman Old Style" w:hAnsi="Bookman Old Style" w:cs="Times New Roman"/>
          <w:sz w:val="24"/>
          <w:szCs w:val="24"/>
        </w:rPr>
        <w:t xml:space="preserve">Au niveau international, la période 2018-2027 devrait être marquée notamment par une consolidation de la reprise économique tirée par les économies émergentes, une évolution favorable des cours mondiaux des principales matières premières ainsi qu'une évolution favorable du prix du pétrole pour les pays importateurs. </w:t>
      </w:r>
    </w:p>
    <w:p w:rsidR="006429B1" w:rsidRPr="00CA196C" w:rsidRDefault="006429B1" w:rsidP="00D76FCA">
      <w:pPr>
        <w:pStyle w:val="Paragraphedeliste"/>
        <w:spacing w:before="160" w:after="120" w:line="240" w:lineRule="auto"/>
        <w:ind w:left="0"/>
        <w:jc w:val="both"/>
        <w:rPr>
          <w:rFonts w:ascii="Bookman Old Style" w:hAnsi="Bookman Old Style" w:cs="Times New Roman"/>
          <w:sz w:val="24"/>
          <w:szCs w:val="24"/>
        </w:rPr>
      </w:pPr>
    </w:p>
    <w:p w:rsidR="00213097" w:rsidRPr="00A273EC" w:rsidRDefault="006429B1" w:rsidP="00D76FCA">
      <w:pPr>
        <w:pStyle w:val="Paragraphedeliste"/>
        <w:spacing w:before="160" w:after="120" w:line="240" w:lineRule="auto"/>
        <w:ind w:left="0"/>
        <w:jc w:val="both"/>
        <w:rPr>
          <w:rFonts w:ascii="Bookman Old Style" w:hAnsi="Bookman Old Style" w:cs="Times New Roman"/>
          <w:color w:val="000000" w:themeColor="text1"/>
          <w:sz w:val="24"/>
          <w:szCs w:val="24"/>
        </w:rPr>
      </w:pPr>
      <w:r w:rsidRPr="00A273EC">
        <w:rPr>
          <w:rFonts w:ascii="Bookman Old Style" w:hAnsi="Bookman Old Style" w:cs="Times New Roman"/>
          <w:color w:val="000000" w:themeColor="text1"/>
          <w:sz w:val="24"/>
          <w:szCs w:val="24"/>
        </w:rPr>
        <w:t>Au niveau national, la période se caractériserait par un certain nombre d'actions sous-tendant le développement économique. Il s'agit entre autres de: (i) moderniser et diversifier la production agricole, animale et halieutique; (ii) augmenter et améliorer l’offre énergétique notamment la construction de nouvelles centrales hydroélectriques et d’autres sources d’énergie; (iii) promouvoir la production industrielle, particulièrement l’industrie agro-alimentaire; (iv) améliorer la qualité des ressources humaines par le renforcement de l’offre et l’accessibilité aux services d’éducation et de santé; (v) développer les services, principalement les transports, le tourisme, les TIC et les services financiers; (vi) exploiter les sites de minerais déjà identifiés; (vii) accroître les infrastructures d'appui à la production en quantité et qualité, notamment les infrastructures d’énergie, de transport et de télécommunication visant l’interconnexion en vue de profiter pleinement des opportunités offertes par l’intégration du pays au sein des organisations régionales et internationales et (viii) diversifier les produits exportables pour augmenter les réserves internationales</w:t>
      </w:r>
      <w:r w:rsidR="0016729A" w:rsidRPr="00A273EC">
        <w:rPr>
          <w:rFonts w:ascii="Bookman Old Style" w:hAnsi="Bookman Old Style" w:cs="Times New Roman"/>
          <w:color w:val="000000" w:themeColor="text1"/>
          <w:sz w:val="24"/>
          <w:szCs w:val="24"/>
        </w:rPr>
        <w:t xml:space="preserve">. </w:t>
      </w: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CA196C" w:rsidRDefault="00213097" w:rsidP="00D76FCA">
      <w:pPr>
        <w:pStyle w:val="Paragraphedeliste"/>
        <w:spacing w:before="160" w:after="120" w:line="240" w:lineRule="auto"/>
        <w:ind w:left="0"/>
        <w:jc w:val="both"/>
        <w:rPr>
          <w:rFonts w:ascii="Bookman Old Style" w:hAnsi="Bookman Old Style" w:cs="Times New Roman"/>
          <w:sz w:val="24"/>
          <w:szCs w:val="24"/>
        </w:rPr>
      </w:pPr>
    </w:p>
    <w:p w:rsidR="00213097" w:rsidRPr="002B7839" w:rsidRDefault="002B7839" w:rsidP="002B7839">
      <w:pPr>
        <w:spacing w:before="160" w:after="120" w:line="240" w:lineRule="auto"/>
        <w:jc w:val="both"/>
        <w:rPr>
          <w:rFonts w:ascii="Bookman Old Style" w:hAnsi="Bookman Old Style" w:cs="Times New Roman"/>
          <w:b/>
          <w:bCs/>
          <w:sz w:val="24"/>
          <w:szCs w:val="24"/>
        </w:rPr>
      </w:pPr>
      <w:r>
        <w:rPr>
          <w:rFonts w:ascii="Bookman Old Style" w:hAnsi="Bookman Old Style" w:cs="Times New Roman"/>
          <w:b/>
          <w:bCs/>
          <w:sz w:val="24"/>
          <w:szCs w:val="24"/>
        </w:rPr>
        <w:lastRenderedPageBreak/>
        <w:t>Encadré 3</w:t>
      </w:r>
      <w:r w:rsidRPr="002B7839">
        <w:rPr>
          <w:rFonts w:ascii="Bookman Old Style" w:hAnsi="Bookman Old Style" w:cs="Times New Roman"/>
          <w:b/>
          <w:bCs/>
          <w:sz w:val="24"/>
          <w:szCs w:val="24"/>
        </w:rPr>
        <w:t xml:space="preserve"> : Cadrage macroéconomique, </w:t>
      </w:r>
      <w:r w:rsidR="00113669">
        <w:rPr>
          <w:rFonts w:ascii="Bookman Old Style" w:hAnsi="Bookman Old Style" w:cs="Times New Roman"/>
          <w:b/>
          <w:bCs/>
          <w:sz w:val="24"/>
          <w:szCs w:val="24"/>
        </w:rPr>
        <w:t xml:space="preserve">une </w:t>
      </w:r>
      <w:r w:rsidRPr="002B7839">
        <w:rPr>
          <w:rFonts w:ascii="Bookman Old Style" w:hAnsi="Bookman Old Style" w:cs="Times New Roman"/>
          <w:b/>
          <w:bCs/>
          <w:sz w:val="24"/>
          <w:szCs w:val="24"/>
        </w:rPr>
        <w:t>base de prévision de performances sectorielles</w:t>
      </w:r>
    </w:p>
    <w:tbl>
      <w:tblPr>
        <w:tblStyle w:val="Grilledutableau"/>
        <w:tblW w:w="8943" w:type="dxa"/>
        <w:tblInd w:w="426" w:type="dxa"/>
        <w:shd w:val="clear" w:color="auto" w:fill="DAEEF3" w:themeFill="accent5" w:themeFillTint="33"/>
        <w:tblLook w:val="04A0" w:firstRow="1" w:lastRow="0" w:firstColumn="1" w:lastColumn="0" w:noHBand="0" w:noVBand="1"/>
      </w:tblPr>
      <w:tblGrid>
        <w:gridCol w:w="8943"/>
      </w:tblGrid>
      <w:tr w:rsidR="00213097" w:rsidRPr="002C3813" w:rsidTr="0014552C">
        <w:trPr>
          <w:trHeight w:val="3341"/>
        </w:trPr>
        <w:tc>
          <w:tcPr>
            <w:tcW w:w="8943" w:type="dxa"/>
            <w:shd w:val="clear" w:color="auto" w:fill="DAEEF3" w:themeFill="accent5" w:themeFillTint="33"/>
          </w:tcPr>
          <w:p w:rsidR="006640B7" w:rsidRPr="002C3813" w:rsidRDefault="006640B7" w:rsidP="006640B7">
            <w:pPr>
              <w:jc w:val="both"/>
              <w:rPr>
                <w:rFonts w:ascii="Bookman Old Style" w:hAnsi="Bookman Old Style" w:cs="GaramondPremrPro"/>
                <w:sz w:val="20"/>
                <w:szCs w:val="20"/>
              </w:rPr>
            </w:pPr>
            <w:r w:rsidRPr="002C3813">
              <w:rPr>
                <w:rStyle w:val="ya-q-full-text"/>
                <w:rFonts w:ascii="Bookman Old Style" w:hAnsi="Bookman Old Style"/>
                <w:sz w:val="20"/>
                <w:szCs w:val="20"/>
              </w:rPr>
              <w:t>Le</w:t>
            </w:r>
            <w:r w:rsidR="00FE1D40" w:rsidRPr="002C3813">
              <w:rPr>
                <w:rStyle w:val="ya-q-full-text"/>
                <w:rFonts w:ascii="Bookman Old Style" w:hAnsi="Bookman Old Style"/>
                <w:sz w:val="20"/>
                <w:szCs w:val="20"/>
              </w:rPr>
              <w:t xml:space="preserve"> cadrage macroéconomique </w:t>
            </w:r>
            <w:r w:rsidRPr="002C3813">
              <w:rPr>
                <w:rStyle w:val="ya-q-full-text"/>
                <w:rFonts w:ascii="Bookman Old Style" w:hAnsi="Bookman Old Style"/>
                <w:sz w:val="20"/>
                <w:szCs w:val="20"/>
              </w:rPr>
              <w:t>est l’</w:t>
            </w:r>
            <w:r w:rsidR="00FE1D40" w:rsidRPr="002C3813">
              <w:rPr>
                <w:rStyle w:val="ya-q-full-text"/>
                <w:rFonts w:ascii="Bookman Old Style" w:hAnsi="Bookman Old Style"/>
                <w:sz w:val="20"/>
                <w:szCs w:val="20"/>
              </w:rPr>
              <w:t>ensemble des par</w:t>
            </w:r>
            <w:r w:rsidRPr="002C3813">
              <w:rPr>
                <w:rStyle w:val="ya-q-full-text"/>
                <w:rFonts w:ascii="Bookman Old Style" w:hAnsi="Bookman Old Style"/>
                <w:sz w:val="20"/>
                <w:szCs w:val="20"/>
              </w:rPr>
              <w:t>amètres qui permet de définir l’</w:t>
            </w:r>
            <w:r w:rsidR="00FE1D40" w:rsidRPr="002C3813">
              <w:rPr>
                <w:rStyle w:val="ya-q-full-text"/>
                <w:rFonts w:ascii="Bookman Old Style" w:hAnsi="Bookman Old Style"/>
                <w:sz w:val="20"/>
                <w:szCs w:val="20"/>
              </w:rPr>
              <w:t xml:space="preserve">environnement macroéconomique </w:t>
            </w:r>
            <w:r w:rsidRPr="002C3813">
              <w:rPr>
                <w:rStyle w:val="ya-q-full-text"/>
                <w:rFonts w:ascii="Bookman Old Style" w:hAnsi="Bookman Old Style"/>
                <w:sz w:val="20"/>
                <w:szCs w:val="20"/>
              </w:rPr>
              <w:t>pour servir</w:t>
            </w:r>
            <w:r w:rsidR="00FE1D40" w:rsidRPr="002C3813">
              <w:rPr>
                <w:rStyle w:val="ya-q-full-text"/>
                <w:rFonts w:ascii="Bookman Old Style" w:hAnsi="Bookman Old Style"/>
                <w:sz w:val="20"/>
                <w:szCs w:val="20"/>
              </w:rPr>
              <w:t xml:space="preserve"> de support pour les prévisions. </w:t>
            </w:r>
            <w:r w:rsidRPr="002C3813">
              <w:rPr>
                <w:rFonts w:ascii="Bookman Old Style" w:hAnsi="Bookman Old Style" w:cs="GaramondPremrPro"/>
                <w:sz w:val="20"/>
                <w:szCs w:val="20"/>
              </w:rPr>
              <w:t>Le cadrage macroé</w:t>
            </w:r>
            <w:r w:rsidR="000346DD" w:rsidRPr="002C3813">
              <w:rPr>
                <w:rFonts w:ascii="Bookman Old Style" w:hAnsi="Bookman Old Style" w:cs="GaramondPremrPro"/>
                <w:sz w:val="20"/>
                <w:szCs w:val="20"/>
              </w:rPr>
              <w:t xml:space="preserve">conomique est un processus qui consiste en la </w:t>
            </w:r>
            <w:r w:rsidRPr="002C3813">
              <w:rPr>
                <w:rFonts w:ascii="Bookman Old Style" w:hAnsi="Bookman Old Style" w:cs="GaramondPremrPro"/>
                <w:sz w:val="20"/>
                <w:szCs w:val="20"/>
              </w:rPr>
              <w:t>présentation</w:t>
            </w:r>
            <w:r w:rsidRPr="002C3813">
              <w:rPr>
                <w:rFonts w:ascii="Bookman Old Style" w:hAnsi="Bookman Old Style"/>
                <w:sz w:val="20"/>
                <w:szCs w:val="20"/>
              </w:rPr>
              <w:t xml:space="preserve"> </w:t>
            </w:r>
            <w:r w:rsidR="000346DD" w:rsidRPr="002C3813">
              <w:rPr>
                <w:rFonts w:ascii="Bookman Old Style" w:hAnsi="Bookman Old Style" w:cs="GaramondPremrPro"/>
                <w:sz w:val="20"/>
                <w:szCs w:val="20"/>
              </w:rPr>
              <w:t>successiv</w:t>
            </w:r>
            <w:r w:rsidRPr="002C3813">
              <w:rPr>
                <w:rFonts w:ascii="Bookman Old Style" w:hAnsi="Bookman Old Style" w:cs="GaramondPremrPro"/>
                <w:sz w:val="20"/>
                <w:szCs w:val="20"/>
              </w:rPr>
              <w:t>e des quatre principaux comptes macroéconomiques</w:t>
            </w:r>
            <w:r w:rsidR="000346DD" w:rsidRPr="002C3813">
              <w:rPr>
                <w:rFonts w:ascii="Bookman Old Style" w:hAnsi="Bookman Old Style" w:cs="GaramondPremrPro"/>
                <w:sz w:val="20"/>
                <w:szCs w:val="20"/>
              </w:rPr>
              <w:t xml:space="preserve"> </w:t>
            </w:r>
            <w:r w:rsidRPr="002C3813">
              <w:rPr>
                <w:rFonts w:ascii="Bookman Old Style" w:hAnsi="Bookman Old Style" w:cs="GaramondPremrPro"/>
                <w:sz w:val="20"/>
                <w:szCs w:val="20"/>
              </w:rPr>
              <w:t>(réel, public, exté</w:t>
            </w:r>
            <w:r w:rsidR="000346DD" w:rsidRPr="002C3813">
              <w:rPr>
                <w:rFonts w:ascii="Bookman Old Style" w:hAnsi="Bookman Old Style" w:cs="GaramondPremrPro"/>
                <w:sz w:val="20"/>
                <w:szCs w:val="20"/>
              </w:rPr>
              <w:t>rieur et mon</w:t>
            </w:r>
            <w:r w:rsidRPr="002C3813">
              <w:rPr>
                <w:rFonts w:ascii="Bookman Old Style" w:hAnsi="Bookman Old Style" w:cs="GaramondPremrPro"/>
                <w:sz w:val="20"/>
                <w:szCs w:val="20"/>
              </w:rPr>
              <w:t>é</w:t>
            </w:r>
            <w:r w:rsidR="000346DD" w:rsidRPr="002C3813">
              <w:rPr>
                <w:rFonts w:ascii="Bookman Old Style" w:hAnsi="Bookman Old Style" w:cs="GaramondPremrPro"/>
                <w:sz w:val="20"/>
                <w:szCs w:val="20"/>
              </w:rPr>
              <w:t>taire)</w:t>
            </w:r>
            <w:r w:rsidRPr="002C3813">
              <w:rPr>
                <w:rFonts w:ascii="Bookman Old Style" w:hAnsi="Bookman Old Style" w:cs="GaramondPremrPro"/>
                <w:sz w:val="20"/>
                <w:szCs w:val="20"/>
              </w:rPr>
              <w:t xml:space="preserve">. Le cadrage macroéconomique est un </w:t>
            </w:r>
            <w:r w:rsidR="000346DD" w:rsidRPr="002C3813">
              <w:rPr>
                <w:rFonts w:ascii="Bookman Old Style" w:hAnsi="Bookman Old Style" w:cs="GaramondPremrPro"/>
                <w:sz w:val="20"/>
                <w:szCs w:val="20"/>
              </w:rPr>
              <w:t>instrument</w:t>
            </w:r>
            <w:r w:rsidRPr="002C3813">
              <w:rPr>
                <w:rFonts w:ascii="Bookman Old Style" w:hAnsi="Bookman Old Style" w:cs="GaramondPremrPro"/>
                <w:sz w:val="20"/>
                <w:szCs w:val="20"/>
              </w:rPr>
              <w:t xml:space="preserve"> qui</w:t>
            </w:r>
            <w:r w:rsidR="000346DD" w:rsidRPr="002C3813">
              <w:rPr>
                <w:rFonts w:ascii="Bookman Old Style" w:hAnsi="Bookman Old Style" w:cs="GaramondPremrPro"/>
                <w:sz w:val="20"/>
                <w:szCs w:val="20"/>
              </w:rPr>
              <w:t xml:space="preserve"> permet</w:t>
            </w:r>
            <w:r w:rsidRPr="002C3813">
              <w:rPr>
                <w:rFonts w:ascii="Bookman Old Style" w:hAnsi="Bookman Old Style" w:cs="GaramondPremrPro"/>
                <w:sz w:val="20"/>
                <w:szCs w:val="20"/>
              </w:rPr>
              <w:t xml:space="preserve"> de faire des projections macroé</w:t>
            </w:r>
            <w:r w:rsidR="000346DD" w:rsidRPr="002C3813">
              <w:rPr>
                <w:rFonts w:ascii="Bookman Old Style" w:hAnsi="Bookman Old Style" w:cs="GaramondPremrPro"/>
                <w:sz w:val="20"/>
                <w:szCs w:val="20"/>
              </w:rPr>
              <w:t>conomique</w:t>
            </w:r>
            <w:r w:rsidRPr="002C3813">
              <w:rPr>
                <w:rFonts w:ascii="Bookman Old Style" w:hAnsi="Bookman Old Style" w:cs="GaramondPremrPro"/>
                <w:sz w:val="20"/>
                <w:szCs w:val="20"/>
              </w:rPr>
              <w:t>s à partir des données historiques et des hypothèses qui sont discuté</w:t>
            </w:r>
            <w:r w:rsidR="000346DD" w:rsidRPr="002C3813">
              <w:rPr>
                <w:rFonts w:ascii="Bookman Old Style" w:hAnsi="Bookman Old Style" w:cs="GaramondPremrPro"/>
                <w:sz w:val="20"/>
                <w:szCs w:val="20"/>
              </w:rPr>
              <w:t>es et qui f</w:t>
            </w:r>
            <w:r w:rsidRPr="002C3813">
              <w:rPr>
                <w:rFonts w:ascii="Bookman Old Style" w:hAnsi="Bookman Old Style" w:cs="GaramondPremrPro"/>
                <w:sz w:val="20"/>
                <w:szCs w:val="20"/>
              </w:rPr>
              <w:t xml:space="preserve">ont l’objet d’un consensus avec </w:t>
            </w:r>
            <w:r w:rsidR="000346DD" w:rsidRPr="002C3813">
              <w:rPr>
                <w:rFonts w:ascii="Bookman Old Style" w:hAnsi="Bookman Old Style" w:cs="GaramondPremrPro"/>
                <w:sz w:val="20"/>
                <w:szCs w:val="20"/>
              </w:rPr>
              <w:t>les services impliques.</w:t>
            </w:r>
          </w:p>
          <w:p w:rsidR="00FE1D40" w:rsidRPr="002C3813" w:rsidRDefault="00FE1D40" w:rsidP="006640B7">
            <w:pPr>
              <w:autoSpaceDE w:val="0"/>
              <w:autoSpaceDN w:val="0"/>
              <w:adjustRightInd w:val="0"/>
              <w:jc w:val="both"/>
              <w:rPr>
                <w:rFonts w:ascii="Bookman Old Style" w:hAnsi="Bookman Old Style"/>
                <w:sz w:val="20"/>
                <w:szCs w:val="20"/>
              </w:rPr>
            </w:pPr>
          </w:p>
          <w:p w:rsidR="00213097" w:rsidRPr="002C3813" w:rsidRDefault="00423654" w:rsidP="006640B7">
            <w:pPr>
              <w:jc w:val="both"/>
              <w:rPr>
                <w:rFonts w:ascii="Bookman Old Style" w:hAnsi="Bookman Old Style"/>
                <w:sz w:val="20"/>
                <w:szCs w:val="20"/>
              </w:rPr>
            </w:pPr>
            <w:r w:rsidRPr="002C3813">
              <w:rPr>
                <w:rFonts w:ascii="Bookman Old Style" w:hAnsi="Bookman Old Style"/>
                <w:sz w:val="20"/>
                <w:szCs w:val="20"/>
              </w:rPr>
              <w:t xml:space="preserve">Dans le cadre </w:t>
            </w:r>
            <w:r w:rsidR="008648F3">
              <w:rPr>
                <w:rFonts w:ascii="Bookman Old Style" w:hAnsi="Bookman Old Style"/>
                <w:sz w:val="20"/>
                <w:szCs w:val="20"/>
              </w:rPr>
              <w:t xml:space="preserve">du </w:t>
            </w:r>
            <w:r w:rsidRPr="002C3813">
              <w:rPr>
                <w:rFonts w:ascii="Bookman Old Style" w:hAnsi="Bookman Old Style"/>
                <w:sz w:val="20"/>
                <w:szCs w:val="20"/>
              </w:rPr>
              <w:t>PND 2018-2027, l</w:t>
            </w:r>
            <w:r w:rsidR="00213097" w:rsidRPr="002C3813">
              <w:rPr>
                <w:rFonts w:ascii="Bookman Old Style" w:hAnsi="Bookman Old Style"/>
                <w:sz w:val="20"/>
                <w:szCs w:val="20"/>
              </w:rPr>
              <w:t>a réalisation des objectifs de croissance assignés aux secteurs économiques nécessite une formulation rationnell</w:t>
            </w:r>
            <w:r w:rsidRPr="002C3813">
              <w:rPr>
                <w:rFonts w:ascii="Bookman Old Style" w:hAnsi="Bookman Old Style"/>
                <w:sz w:val="20"/>
                <w:szCs w:val="20"/>
              </w:rPr>
              <w:t xml:space="preserve">e des politiques et programmes. </w:t>
            </w:r>
            <w:r w:rsidR="00A84D19" w:rsidRPr="002C3813">
              <w:rPr>
                <w:rFonts w:ascii="Bookman Old Style" w:hAnsi="Bookman Old Style"/>
                <w:sz w:val="20"/>
                <w:szCs w:val="20"/>
              </w:rPr>
              <w:t>O</w:t>
            </w:r>
            <w:r w:rsidRPr="002C3813">
              <w:rPr>
                <w:rFonts w:ascii="Bookman Old Style" w:hAnsi="Bookman Old Style"/>
                <w:sz w:val="20"/>
                <w:szCs w:val="20"/>
              </w:rPr>
              <w:t xml:space="preserve">r, </w:t>
            </w:r>
            <w:r w:rsidR="00A84D19" w:rsidRPr="002C3813">
              <w:rPr>
                <w:rFonts w:ascii="Bookman Old Style" w:hAnsi="Bookman Old Style"/>
                <w:sz w:val="20"/>
                <w:szCs w:val="20"/>
              </w:rPr>
              <w:t>c</w:t>
            </w:r>
            <w:r w:rsidR="00213097" w:rsidRPr="002C3813">
              <w:rPr>
                <w:rFonts w:ascii="Bookman Old Style" w:hAnsi="Bookman Old Style"/>
                <w:sz w:val="20"/>
                <w:szCs w:val="20"/>
              </w:rPr>
              <w:t xml:space="preserve">es politiques et programmes doivent être bâtis sur un cadre macroéconomique cohérent et la perspective de la disponibilité des ressources budgétaires pour une meilleure allocation des ressources internes et externes. La cohérence du cadre macroéconomique s’établit à travers les outils de gestion macroéconomique notamment les modèles de prévisions économiques. </w:t>
            </w:r>
          </w:p>
          <w:p w:rsidR="00A84D19" w:rsidRPr="002C3813" w:rsidRDefault="00A84D19" w:rsidP="006640B7">
            <w:pPr>
              <w:jc w:val="both"/>
              <w:rPr>
                <w:rFonts w:ascii="Bookman Old Style" w:hAnsi="Bookman Old Style"/>
                <w:sz w:val="20"/>
                <w:szCs w:val="20"/>
              </w:rPr>
            </w:pPr>
          </w:p>
          <w:p w:rsidR="00B65334" w:rsidRPr="002C3813" w:rsidRDefault="00213097" w:rsidP="006640B7">
            <w:pPr>
              <w:jc w:val="both"/>
              <w:rPr>
                <w:rFonts w:ascii="Bookman Old Style" w:hAnsi="Bookman Old Style"/>
                <w:sz w:val="20"/>
                <w:szCs w:val="20"/>
              </w:rPr>
            </w:pPr>
            <w:r w:rsidRPr="002C3813">
              <w:rPr>
                <w:rFonts w:ascii="Bookman Old Style" w:hAnsi="Bookman Old Style"/>
                <w:sz w:val="20"/>
                <w:szCs w:val="20"/>
              </w:rPr>
              <w:t>L</w:t>
            </w:r>
            <w:r w:rsidR="00A84D19" w:rsidRPr="002C3813">
              <w:rPr>
                <w:rFonts w:ascii="Bookman Old Style" w:hAnsi="Bookman Old Style"/>
                <w:sz w:val="20"/>
                <w:szCs w:val="20"/>
              </w:rPr>
              <w:t>’</w:t>
            </w:r>
            <w:r w:rsidRPr="002C3813">
              <w:rPr>
                <w:rFonts w:ascii="Bookman Old Style" w:hAnsi="Bookman Old Style"/>
                <w:sz w:val="20"/>
                <w:szCs w:val="20"/>
              </w:rPr>
              <w:t>instrument de cadrage macroéconomique</w:t>
            </w:r>
            <w:r w:rsidR="00A84D19" w:rsidRPr="002C3813">
              <w:rPr>
                <w:rFonts w:ascii="Bookman Old Style" w:hAnsi="Bookman Old Style"/>
                <w:sz w:val="20"/>
                <w:szCs w:val="20"/>
              </w:rPr>
              <w:t xml:space="preserve"> (</w:t>
            </w:r>
            <w:r w:rsidRPr="002C3813">
              <w:rPr>
                <w:rFonts w:ascii="Bookman Old Style" w:hAnsi="Bookman Old Style"/>
                <w:sz w:val="20"/>
                <w:szCs w:val="20"/>
              </w:rPr>
              <w:t>Modèle Macro</w:t>
            </w:r>
            <w:r w:rsidR="00A84D19" w:rsidRPr="002C3813">
              <w:rPr>
                <w:rFonts w:ascii="Bookman Old Style" w:hAnsi="Bookman Old Style"/>
                <w:sz w:val="20"/>
                <w:szCs w:val="20"/>
              </w:rPr>
              <w:t xml:space="preserve">) </w:t>
            </w:r>
            <w:r w:rsidRPr="002C3813">
              <w:rPr>
                <w:rFonts w:ascii="Bookman Old Style" w:hAnsi="Bookman Old Style"/>
                <w:sz w:val="20"/>
                <w:szCs w:val="20"/>
              </w:rPr>
              <w:t>permet de simuler le profil de la croissance et de déterminer les ressources budgétaires ainsi que les grandes masses de dépenses. Le modèle permet de disposer de plusieurs scénarios de croissance et donc de profil de ressources mobilisables, dépendant de l’évolution des activités intérieures, de la conjoncture extérieure, des ressources exogènes et des grands pro</w:t>
            </w:r>
            <w:r w:rsidR="00B65334" w:rsidRPr="002C3813">
              <w:rPr>
                <w:rFonts w:ascii="Bookman Old Style" w:hAnsi="Bookman Old Style"/>
                <w:sz w:val="20"/>
                <w:szCs w:val="20"/>
              </w:rPr>
              <w:t>jets d’investissement.</w:t>
            </w:r>
            <w:r w:rsidRPr="002C3813">
              <w:rPr>
                <w:rFonts w:ascii="Bookman Old Style" w:hAnsi="Bookman Old Style"/>
                <w:sz w:val="20"/>
                <w:szCs w:val="20"/>
              </w:rPr>
              <w:t xml:space="preserve"> Il est possible d’envisager </w:t>
            </w:r>
            <w:r w:rsidR="00B65334" w:rsidRPr="002C3813">
              <w:rPr>
                <w:rFonts w:ascii="Bookman Old Style" w:hAnsi="Bookman Old Style"/>
                <w:sz w:val="20"/>
                <w:szCs w:val="20"/>
              </w:rPr>
              <w:t>trois scénarios</w:t>
            </w:r>
            <w:r w:rsidRPr="002C3813">
              <w:rPr>
                <w:rFonts w:ascii="Bookman Old Style" w:hAnsi="Bookman Old Style"/>
                <w:sz w:val="20"/>
                <w:szCs w:val="20"/>
              </w:rPr>
              <w:t xml:space="preserve">: (i) un premier scénario (de référence) qui s’inscrit dans le contexte de la réalisation des principaux objectifs de la stratégie de développement à travers la mise en œuvre rigoureuse des principales politiques et actions contenues dans la stratégie, (ii) un deuxième scénario reposant sur une procrastination dans la mise en œuvre des politiques et réformes nécessaires à la transformation de l’économie qui se traduirait donc par une persistance des tendances lourdes, et (iii) un troisième scénario plus pessimiste assis sur une évolution défavorable de la conjoncture internationale affectant les prix des principaux </w:t>
            </w:r>
            <w:r w:rsidR="002C3813">
              <w:rPr>
                <w:rFonts w:ascii="Bookman Old Style" w:hAnsi="Bookman Old Style"/>
                <w:sz w:val="20"/>
                <w:szCs w:val="20"/>
              </w:rPr>
              <w:t>produits d’exportation du pays.</w:t>
            </w:r>
          </w:p>
          <w:p w:rsidR="00B65334" w:rsidRPr="002C3813" w:rsidRDefault="00B65334" w:rsidP="00B65334">
            <w:pPr>
              <w:keepNext/>
              <w:spacing w:before="240" w:after="60"/>
              <w:jc w:val="both"/>
              <w:outlineLvl w:val="2"/>
              <w:rPr>
                <w:rFonts w:ascii="Bookman Old Style" w:hAnsi="Bookman Old Style" w:cs="Times New Roman"/>
                <w:sz w:val="20"/>
                <w:szCs w:val="20"/>
              </w:rPr>
            </w:pPr>
            <w:bookmarkStart w:id="288" w:name="_Toc511080944"/>
            <w:bookmarkStart w:id="289" w:name="_Toc511081620"/>
            <w:r w:rsidRPr="002C3813">
              <w:rPr>
                <w:rFonts w:ascii="Bookman Old Style" w:hAnsi="Bookman Old Style" w:cs="Times New Roman"/>
                <w:sz w:val="20"/>
                <w:szCs w:val="20"/>
              </w:rPr>
              <w:t>Sous les hypothèses décrites plus haut, l’économie burundaise connaîtrait une croissance moyenne de 10,7% sur la période de projection et le PIB par habitant devrait atteindre 810</w:t>
            </w:r>
            <w:r w:rsidR="008648F3">
              <w:rPr>
                <w:rFonts w:ascii="Bookman Old Style" w:hAnsi="Bookman Old Style" w:cs="Times New Roman"/>
                <w:sz w:val="20"/>
                <w:szCs w:val="20"/>
              </w:rPr>
              <w:t xml:space="preserve"> </w:t>
            </w:r>
            <w:r w:rsidRPr="002C3813">
              <w:rPr>
                <w:rFonts w:ascii="Bookman Old Style" w:hAnsi="Bookman Old Style" w:cs="Times New Roman"/>
                <w:sz w:val="20"/>
                <w:szCs w:val="20"/>
              </w:rPr>
              <w:t>$ à l'horizon 2027 contre 274</w:t>
            </w:r>
            <w:r w:rsidR="008648F3">
              <w:rPr>
                <w:rFonts w:ascii="Bookman Old Style" w:hAnsi="Bookman Old Style" w:cs="Times New Roman"/>
                <w:sz w:val="20"/>
                <w:szCs w:val="20"/>
              </w:rPr>
              <w:t xml:space="preserve"> </w:t>
            </w:r>
            <w:r w:rsidRPr="002C3813">
              <w:rPr>
                <w:rFonts w:ascii="Bookman Old Style" w:hAnsi="Bookman Old Style" w:cs="Times New Roman"/>
                <w:sz w:val="20"/>
                <w:szCs w:val="20"/>
              </w:rPr>
              <w:t>$ en 2017. Cette croissance serait tirée par le dynamisme de tous les secteurs de l'économie qui afficheraient des croissances robustes sur la même période :</w:t>
            </w:r>
            <w:bookmarkEnd w:id="288"/>
            <w:bookmarkEnd w:id="289"/>
          </w:p>
          <w:p w:rsidR="008648F3" w:rsidRPr="008648F3" w:rsidRDefault="00B65334" w:rsidP="00B65334">
            <w:pPr>
              <w:pStyle w:val="Paragraphedeliste"/>
              <w:keepNext/>
              <w:numPr>
                <w:ilvl w:val="0"/>
                <w:numId w:val="27"/>
              </w:numPr>
              <w:spacing w:before="240" w:after="60"/>
              <w:jc w:val="both"/>
              <w:outlineLvl w:val="2"/>
              <w:rPr>
                <w:rFonts w:ascii="Bookman Old Style" w:hAnsi="Bookman Old Style" w:cs="Times New Roman"/>
                <w:bCs/>
                <w:sz w:val="20"/>
                <w:szCs w:val="20"/>
              </w:rPr>
            </w:pPr>
            <w:bookmarkStart w:id="290" w:name="_Toc511080945"/>
            <w:bookmarkStart w:id="291" w:name="_Toc511081621"/>
            <w:r w:rsidRPr="002C3813">
              <w:rPr>
                <w:rFonts w:ascii="Bookman Old Style" w:hAnsi="Bookman Old Style" w:cs="Times New Roman"/>
                <w:sz w:val="20"/>
                <w:szCs w:val="20"/>
              </w:rPr>
              <w:t>Un dynamisme accru du secteur primaire</w:t>
            </w:r>
            <w:bookmarkEnd w:id="290"/>
            <w:bookmarkEnd w:id="291"/>
            <w:r w:rsidRPr="002C3813">
              <w:rPr>
                <w:rFonts w:ascii="Bookman Old Style" w:hAnsi="Bookman Old Style" w:cs="Times New Roman"/>
                <w:sz w:val="20"/>
                <w:szCs w:val="20"/>
              </w:rPr>
              <w:t xml:space="preserve"> </w:t>
            </w:r>
          </w:p>
          <w:p w:rsidR="00B65334" w:rsidRPr="002C3813" w:rsidRDefault="00B65334" w:rsidP="00B65334">
            <w:pPr>
              <w:pStyle w:val="Paragraphedeliste"/>
              <w:keepNext/>
              <w:numPr>
                <w:ilvl w:val="0"/>
                <w:numId w:val="27"/>
              </w:numPr>
              <w:spacing w:before="240" w:after="60"/>
              <w:jc w:val="both"/>
              <w:outlineLvl w:val="2"/>
              <w:rPr>
                <w:rFonts w:ascii="Bookman Old Style" w:hAnsi="Bookman Old Style" w:cs="Times New Roman"/>
                <w:bCs/>
                <w:sz w:val="20"/>
                <w:szCs w:val="20"/>
              </w:rPr>
            </w:pPr>
            <w:bookmarkStart w:id="292" w:name="_Toc511080946"/>
            <w:bookmarkStart w:id="293" w:name="_Toc511081622"/>
            <w:r w:rsidRPr="002C3813">
              <w:rPr>
                <w:rFonts w:ascii="Bookman Old Style" w:hAnsi="Bookman Old Style" w:cs="Times New Roman"/>
                <w:bCs/>
                <w:sz w:val="20"/>
                <w:szCs w:val="20"/>
              </w:rPr>
              <w:t>Une progression vigoureuse du secteur secondaire</w:t>
            </w:r>
            <w:bookmarkEnd w:id="292"/>
            <w:bookmarkEnd w:id="293"/>
          </w:p>
          <w:p w:rsidR="00B65334" w:rsidRPr="002C3813" w:rsidRDefault="00B65334" w:rsidP="00B65334">
            <w:pPr>
              <w:pStyle w:val="Paragraphedeliste"/>
              <w:keepNext/>
              <w:numPr>
                <w:ilvl w:val="0"/>
                <w:numId w:val="27"/>
              </w:numPr>
              <w:spacing w:before="240" w:after="60"/>
              <w:jc w:val="both"/>
              <w:outlineLvl w:val="2"/>
              <w:rPr>
                <w:rFonts w:ascii="Bookman Old Style" w:hAnsi="Bookman Old Style" w:cs="Times New Roman"/>
                <w:bCs/>
                <w:sz w:val="20"/>
                <w:szCs w:val="20"/>
              </w:rPr>
            </w:pPr>
            <w:bookmarkStart w:id="294" w:name="_Toc511080947"/>
            <w:bookmarkStart w:id="295" w:name="_Toc511081623"/>
            <w:r w:rsidRPr="002C3813">
              <w:rPr>
                <w:rFonts w:ascii="Bookman Old Style" w:hAnsi="Bookman Old Style" w:cs="Times New Roman"/>
                <w:bCs/>
                <w:sz w:val="20"/>
                <w:szCs w:val="20"/>
              </w:rPr>
              <w:t>Un rythme de croissance soutenue du secteur tertiaire</w:t>
            </w:r>
            <w:bookmarkEnd w:id="294"/>
            <w:bookmarkEnd w:id="295"/>
            <w:r w:rsidRPr="002C3813">
              <w:rPr>
                <w:rFonts w:ascii="Bookman Old Style" w:hAnsi="Bookman Old Style" w:cs="Times New Roman"/>
                <w:bCs/>
                <w:sz w:val="20"/>
                <w:szCs w:val="20"/>
              </w:rPr>
              <w:t xml:space="preserve"> </w:t>
            </w:r>
          </w:p>
          <w:p w:rsidR="00213097" w:rsidRPr="002C3813" w:rsidRDefault="00B65334" w:rsidP="00B65334">
            <w:pPr>
              <w:pStyle w:val="Paragraphedeliste"/>
              <w:keepNext/>
              <w:numPr>
                <w:ilvl w:val="0"/>
                <w:numId w:val="27"/>
              </w:numPr>
              <w:spacing w:before="240" w:after="60"/>
              <w:jc w:val="both"/>
              <w:outlineLvl w:val="2"/>
              <w:rPr>
                <w:rFonts w:ascii="Bookman Old Style" w:hAnsi="Bookman Old Style" w:cs="Times New Roman"/>
                <w:bCs/>
                <w:sz w:val="20"/>
                <w:szCs w:val="20"/>
              </w:rPr>
            </w:pPr>
            <w:bookmarkStart w:id="296" w:name="_Toc511080948"/>
            <w:bookmarkStart w:id="297" w:name="_Toc511081624"/>
            <w:r w:rsidRPr="002C3813">
              <w:rPr>
                <w:rFonts w:ascii="Bookman Old Style" w:hAnsi="Bookman Old Style" w:cs="Times New Roman"/>
                <w:bCs/>
                <w:sz w:val="20"/>
                <w:szCs w:val="20"/>
              </w:rPr>
              <w:t>Une volonté affichée par les opérateurs de la branche «Banques et Assurances» d’étendre les marchés et d’améliorer la qualité des services offerts.</w:t>
            </w:r>
            <w:bookmarkEnd w:id="296"/>
            <w:bookmarkEnd w:id="297"/>
          </w:p>
        </w:tc>
      </w:tr>
    </w:tbl>
    <w:p w:rsidR="00213097" w:rsidRPr="00CA196C" w:rsidRDefault="00213097" w:rsidP="00ED27D9">
      <w:pPr>
        <w:pStyle w:val="Titre2"/>
      </w:pPr>
    </w:p>
    <w:p w:rsidR="006429B1" w:rsidRPr="00CA196C" w:rsidRDefault="006429B1" w:rsidP="00ED27D9">
      <w:pPr>
        <w:pStyle w:val="Titre2"/>
      </w:pPr>
      <w:bookmarkStart w:id="298" w:name="_Toc511080949"/>
      <w:bookmarkStart w:id="299" w:name="_Toc511081625"/>
      <w:r w:rsidRPr="00CA196C">
        <w:t>5.2. Implications sur le cadre macroéconomique</w:t>
      </w:r>
      <w:bookmarkEnd w:id="298"/>
      <w:bookmarkEnd w:id="299"/>
      <w:r w:rsidRPr="00CA196C">
        <w:t xml:space="preserve"> </w:t>
      </w:r>
    </w:p>
    <w:p w:rsidR="006429B1" w:rsidRPr="00CA196C" w:rsidRDefault="006429B1" w:rsidP="00BD2775">
      <w:pPr>
        <w:pStyle w:val="Titre3"/>
        <w:rPr>
          <w:rFonts w:ascii="Bookman Old Style" w:hAnsi="Bookman Old Style"/>
        </w:rPr>
      </w:pPr>
      <w:bookmarkStart w:id="300" w:name="_Toc511076189"/>
      <w:bookmarkStart w:id="301" w:name="_Toc511080950"/>
      <w:bookmarkStart w:id="302" w:name="_Toc511081391"/>
      <w:bookmarkStart w:id="303" w:name="_Toc511081626"/>
      <w:r w:rsidRPr="00CA196C">
        <w:rPr>
          <w:rFonts w:ascii="Bookman Old Style" w:hAnsi="Bookman Old Style"/>
        </w:rPr>
        <w:t>5.2.1. Profil de croissance économique</w:t>
      </w:r>
      <w:bookmarkEnd w:id="300"/>
      <w:bookmarkEnd w:id="301"/>
      <w:bookmarkEnd w:id="302"/>
      <w:bookmarkEnd w:id="303"/>
    </w:p>
    <w:p w:rsidR="006429B1" w:rsidRPr="00CA196C" w:rsidRDefault="00673F0A" w:rsidP="00D76FCA">
      <w:pPr>
        <w:spacing w:before="120" w:after="120" w:line="240" w:lineRule="auto"/>
        <w:jc w:val="both"/>
        <w:outlineLvl w:val="1"/>
        <w:rPr>
          <w:rFonts w:ascii="Bookman Old Style" w:hAnsi="Bookman Old Style" w:cs="Times New Roman"/>
          <w:sz w:val="24"/>
          <w:szCs w:val="24"/>
        </w:rPr>
      </w:pPr>
      <w:bookmarkStart w:id="304" w:name="_Toc511080951"/>
      <w:bookmarkStart w:id="305" w:name="_Toc511081627"/>
      <w:r>
        <w:rPr>
          <w:rFonts w:ascii="Bookman Old Style" w:hAnsi="Bookman Old Style" w:cs="Times New Roman"/>
          <w:sz w:val="24"/>
          <w:szCs w:val="24"/>
        </w:rPr>
        <w:t>En vertu de</w:t>
      </w:r>
      <w:r w:rsidR="006429B1" w:rsidRPr="00CA196C">
        <w:rPr>
          <w:rFonts w:ascii="Bookman Old Style" w:hAnsi="Bookman Old Style" w:cs="Times New Roman"/>
          <w:sz w:val="24"/>
          <w:szCs w:val="24"/>
        </w:rPr>
        <w:t>s hypothèses décrites plus haut, l’économie burundaise connaîtrait une croissance moyenne de 10,7% sur la période de projection et le PIB par habitant devrait atteindre 810$ à l'horizon 2027 contre 274$ en 2017. Cette croissance serait tirée par le dynamisme de tous les secteurs de l'économie qui afficheraient des croissances robustes sur la même période.</w:t>
      </w:r>
      <w:bookmarkEnd w:id="304"/>
      <w:bookmarkEnd w:id="305"/>
    </w:p>
    <w:p w:rsidR="006429B1" w:rsidRPr="00CA196C" w:rsidRDefault="00B353A1" w:rsidP="00D76FCA">
      <w:pPr>
        <w:pStyle w:val="Sous-titre"/>
        <w:rPr>
          <w:rFonts w:ascii="Bookman Old Style" w:hAnsi="Bookman Old Style"/>
        </w:rPr>
      </w:pPr>
      <w:bookmarkStart w:id="306" w:name="_Toc511076256"/>
      <w:bookmarkStart w:id="307" w:name="_Toc511080952"/>
      <w:bookmarkStart w:id="308" w:name="_Toc511081628"/>
      <w:r w:rsidRPr="00CA196C">
        <w:rPr>
          <w:rFonts w:ascii="Bookman Old Style" w:hAnsi="Bookman Old Style"/>
        </w:rPr>
        <w:lastRenderedPageBreak/>
        <w:t>Graphique 5</w:t>
      </w:r>
      <w:r w:rsidR="006429B1" w:rsidRPr="00CA196C">
        <w:rPr>
          <w:rFonts w:ascii="Bookman Old Style" w:hAnsi="Bookman Old Style"/>
        </w:rPr>
        <w:t>. Prévisions de croissance globale et sectorielle</w:t>
      </w:r>
      <w:bookmarkEnd w:id="306"/>
      <w:bookmarkEnd w:id="307"/>
      <w:bookmarkEnd w:id="308"/>
    </w:p>
    <w:p w:rsidR="006429B1" w:rsidRPr="00CA196C" w:rsidRDefault="006429B1" w:rsidP="006429B1">
      <w:pPr>
        <w:spacing w:before="160" w:after="120" w:line="240" w:lineRule="auto"/>
        <w:contextualSpacing/>
        <w:jc w:val="both"/>
        <w:rPr>
          <w:rFonts w:ascii="Bookman Old Style" w:hAnsi="Bookman Old Style" w:cs="Times New Roman"/>
          <w:b/>
          <w:bCs/>
          <w:sz w:val="24"/>
          <w:szCs w:val="24"/>
        </w:rPr>
      </w:pPr>
    </w:p>
    <w:p w:rsidR="006429B1" w:rsidRPr="00CA196C" w:rsidRDefault="006429B1" w:rsidP="006429B1">
      <w:pPr>
        <w:spacing w:before="160" w:after="120" w:line="240" w:lineRule="auto"/>
        <w:contextualSpacing/>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695630" cy="2309785"/>
            <wp:effectExtent l="0" t="0" r="0" b="0"/>
            <wp:docPr id="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5630" cy="2309785"/>
                    </a:xfrm>
                    <a:prstGeom prst="rect">
                      <a:avLst/>
                    </a:prstGeom>
                    <a:noFill/>
                  </pic:spPr>
                </pic:pic>
              </a:graphicData>
            </a:graphic>
          </wp:inline>
        </w:drawing>
      </w:r>
      <w:r w:rsidRPr="00CA196C">
        <w:rPr>
          <w:rFonts w:ascii="Bookman Old Style" w:hAnsi="Bookman Old Style" w:cs="Times New Roman"/>
          <w:bCs/>
          <w:noProof/>
          <w:sz w:val="24"/>
          <w:szCs w:val="24"/>
          <w:lang w:eastAsia="fr-FR"/>
        </w:rPr>
        <w:drawing>
          <wp:inline distT="0" distB="0" distL="0" distR="0">
            <wp:extent cx="3012763" cy="2303322"/>
            <wp:effectExtent l="0" t="0" r="0" b="1905"/>
            <wp:docPr id="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2763" cy="2303322"/>
                    </a:xfrm>
                    <a:prstGeom prst="rect">
                      <a:avLst/>
                    </a:prstGeom>
                    <a:noFill/>
                  </pic:spPr>
                </pic:pic>
              </a:graphicData>
            </a:graphic>
          </wp:inline>
        </w:drawing>
      </w:r>
    </w:p>
    <w:p w:rsidR="006429B1" w:rsidRPr="00CA196C" w:rsidRDefault="006429B1" w:rsidP="006429B1">
      <w:pPr>
        <w:spacing w:before="160" w:after="120" w:line="240" w:lineRule="auto"/>
        <w:contextualSpacing/>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756847" cy="2038790"/>
            <wp:effectExtent l="0" t="0" r="5715" b="0"/>
            <wp:docPr id="1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7964" cy="2047012"/>
                    </a:xfrm>
                    <a:prstGeom prst="rect">
                      <a:avLst/>
                    </a:prstGeom>
                    <a:noFill/>
                  </pic:spPr>
                </pic:pic>
              </a:graphicData>
            </a:graphic>
          </wp:inline>
        </w:drawing>
      </w:r>
      <w:r w:rsidRPr="00CA196C">
        <w:rPr>
          <w:rFonts w:ascii="Bookman Old Style" w:hAnsi="Bookman Old Style" w:cs="Times New Roman"/>
          <w:bCs/>
          <w:noProof/>
          <w:sz w:val="24"/>
          <w:szCs w:val="24"/>
          <w:lang w:eastAsia="fr-FR"/>
        </w:rPr>
        <w:drawing>
          <wp:inline distT="0" distB="0" distL="0" distR="0">
            <wp:extent cx="2933934" cy="2041098"/>
            <wp:effectExtent l="0" t="0" r="0" b="0"/>
            <wp:docPr id="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4992" cy="2041834"/>
                    </a:xfrm>
                    <a:prstGeom prst="rect">
                      <a:avLst/>
                    </a:prstGeom>
                    <a:noFill/>
                  </pic:spPr>
                </pic:pic>
              </a:graphicData>
            </a:graphic>
          </wp:inline>
        </w:drawing>
      </w:r>
    </w:p>
    <w:p w:rsidR="006429B1" w:rsidRPr="00CA196C" w:rsidRDefault="006429B1" w:rsidP="006429B1">
      <w:pPr>
        <w:spacing w:before="160" w:after="120" w:line="240" w:lineRule="auto"/>
        <w:contextualSpacing/>
        <w:jc w:val="both"/>
        <w:rPr>
          <w:rFonts w:ascii="Bookman Old Style" w:hAnsi="Bookman Old Style" w:cs="Times New Roman"/>
          <w:bCs/>
          <w:sz w:val="24"/>
          <w:szCs w:val="24"/>
        </w:rPr>
      </w:pPr>
    </w:p>
    <w:p w:rsidR="006429B1" w:rsidRPr="00CA196C" w:rsidRDefault="006429B1" w:rsidP="006429B1">
      <w:pPr>
        <w:pStyle w:val="Paragraphedeliste"/>
        <w:keepNext/>
        <w:numPr>
          <w:ilvl w:val="0"/>
          <w:numId w:val="12"/>
        </w:numPr>
        <w:spacing w:before="240" w:after="60" w:line="240" w:lineRule="auto"/>
        <w:jc w:val="both"/>
        <w:outlineLvl w:val="2"/>
        <w:rPr>
          <w:rFonts w:ascii="Bookman Old Style" w:hAnsi="Bookman Old Style" w:cs="Times New Roman"/>
          <w:bCs/>
          <w:sz w:val="24"/>
          <w:szCs w:val="24"/>
        </w:rPr>
      </w:pPr>
      <w:bookmarkStart w:id="309" w:name="_Toc511080953"/>
      <w:bookmarkStart w:id="310" w:name="_Toc511081629"/>
      <w:r w:rsidRPr="00CA196C">
        <w:rPr>
          <w:rFonts w:ascii="Bookman Old Style" w:hAnsi="Bookman Old Style" w:cs="Times New Roman"/>
          <w:b/>
          <w:i/>
          <w:sz w:val="24"/>
          <w:szCs w:val="24"/>
        </w:rPr>
        <w:t>Un dynamisme accru du secteur primaire</w:t>
      </w:r>
      <w:r w:rsidRPr="00CA196C">
        <w:rPr>
          <w:rFonts w:ascii="Bookman Old Style" w:hAnsi="Bookman Old Style" w:cs="Times New Roman"/>
          <w:b/>
          <w:sz w:val="24"/>
          <w:szCs w:val="24"/>
        </w:rPr>
        <w:t>:</w:t>
      </w:r>
      <w:r w:rsidRPr="00CA196C">
        <w:rPr>
          <w:rFonts w:ascii="Bookman Old Style" w:hAnsi="Bookman Old Style" w:cs="Times New Roman"/>
          <w:sz w:val="24"/>
          <w:szCs w:val="24"/>
        </w:rPr>
        <w:t xml:space="preserve"> </w:t>
      </w:r>
      <w:r w:rsidRPr="00CA196C">
        <w:rPr>
          <w:rFonts w:ascii="Bookman Old Style" w:hAnsi="Bookman Old Style" w:cs="Times New Roman"/>
          <w:bCs/>
          <w:sz w:val="24"/>
          <w:szCs w:val="24"/>
        </w:rPr>
        <w:t>En relation avec la mise en œuvre des actions contenues dans le PND pour accroître la production agricole</w:t>
      </w:r>
      <w:r w:rsidRPr="00CA196C">
        <w:rPr>
          <w:rFonts w:ascii="Bookman Old Style" w:hAnsi="Bookman Old Style" w:cs="Times New Roman"/>
          <w:sz w:val="24"/>
          <w:szCs w:val="24"/>
        </w:rPr>
        <w:t xml:space="preserve">, </w:t>
      </w:r>
      <w:r w:rsidRPr="00CA196C">
        <w:rPr>
          <w:rFonts w:ascii="Bookman Old Style" w:hAnsi="Bookman Old Style" w:cs="Times New Roman"/>
          <w:bCs/>
          <w:sz w:val="24"/>
          <w:szCs w:val="24"/>
        </w:rPr>
        <w:t>animale et halieutique, la valeur ajoutée du secteur primaire devrait nettement progresser. Elle devrait enregistrer un taux de croissance moyen de 8,3% contre 0,6%</w:t>
      </w:r>
      <w:r w:rsidRPr="00CA196C">
        <w:rPr>
          <w:rFonts w:ascii="Bookman Old Style" w:eastAsia="Times New Roman" w:hAnsi="Bookman Old Style" w:cs="Times New Roman"/>
          <w:b/>
          <w:bCs/>
          <w:sz w:val="24"/>
          <w:szCs w:val="24"/>
          <w:u w:color="000000"/>
          <w:bdr w:val="nil"/>
        </w:rPr>
        <w:t xml:space="preserve"> </w:t>
      </w:r>
      <w:r w:rsidRPr="00CA196C">
        <w:rPr>
          <w:rFonts w:ascii="Bookman Old Style" w:eastAsia="Times New Roman" w:hAnsi="Bookman Old Style" w:cs="Times New Roman"/>
          <w:bCs/>
          <w:sz w:val="24"/>
          <w:szCs w:val="24"/>
          <w:u w:color="000000"/>
          <w:bdr w:val="nil"/>
        </w:rPr>
        <w:t>sur la période 2008-2017.</w:t>
      </w:r>
      <w:bookmarkEnd w:id="309"/>
      <w:bookmarkEnd w:id="310"/>
      <w:r w:rsidRPr="00CA196C">
        <w:rPr>
          <w:rFonts w:ascii="Bookman Old Style" w:eastAsia="Times New Roman" w:hAnsi="Bookman Old Style" w:cs="Times New Roman"/>
          <w:b/>
          <w:bCs/>
          <w:i/>
          <w:sz w:val="24"/>
          <w:szCs w:val="24"/>
          <w:u w:color="000000"/>
          <w:bdr w:val="nil"/>
        </w:rPr>
        <w:t xml:space="preserve"> </w:t>
      </w:r>
    </w:p>
    <w:p w:rsidR="006429B1" w:rsidRPr="00CA196C" w:rsidRDefault="006429B1" w:rsidP="006429B1">
      <w:pPr>
        <w:pStyle w:val="Paragraphedeliste"/>
        <w:keepNext/>
        <w:spacing w:before="240" w:after="60" w:line="240" w:lineRule="auto"/>
        <w:ind w:left="786"/>
        <w:jc w:val="both"/>
        <w:outlineLvl w:val="2"/>
        <w:rPr>
          <w:rFonts w:ascii="Bookman Old Style" w:hAnsi="Bookman Old Style" w:cs="Times New Roman"/>
          <w:bCs/>
          <w:sz w:val="24"/>
          <w:szCs w:val="24"/>
        </w:rPr>
      </w:pPr>
    </w:p>
    <w:p w:rsidR="006429B1" w:rsidRPr="00CA196C" w:rsidRDefault="006429B1" w:rsidP="006429B1">
      <w:pPr>
        <w:pStyle w:val="Paragraphedeliste"/>
        <w:keepNext/>
        <w:spacing w:before="240" w:after="60" w:line="240" w:lineRule="auto"/>
        <w:ind w:left="786"/>
        <w:jc w:val="both"/>
        <w:outlineLvl w:val="2"/>
        <w:rPr>
          <w:rFonts w:ascii="Bookman Old Style" w:hAnsi="Bookman Old Style" w:cs="Times New Roman"/>
          <w:bCs/>
          <w:sz w:val="24"/>
          <w:szCs w:val="24"/>
        </w:rPr>
      </w:pPr>
      <w:bookmarkStart w:id="311" w:name="_Toc511080954"/>
      <w:bookmarkStart w:id="312" w:name="_Toc511081630"/>
      <w:r w:rsidRPr="00CA196C">
        <w:rPr>
          <w:rFonts w:ascii="Bookman Old Style" w:hAnsi="Bookman Old Style" w:cs="Times New Roman"/>
          <w:bCs/>
          <w:sz w:val="24"/>
          <w:szCs w:val="24"/>
        </w:rPr>
        <w:t>En vue d’accroitre la production agricole vivrière, des efforts supplémentaires seront déployés dans l’extension des périmètres irrigués par la construction des barrages hydroagricoles, la mécanisation de l’agriculture, l’intensification agricole, la régionalisation partielle des cultures, la subvention des engrais chimiques et des semences sélectionnées. La production vivrière croîtrait au rythme annuel de 6,4% en moyenne sur la période 2018-2027.</w:t>
      </w:r>
      <w:bookmarkEnd w:id="311"/>
      <w:bookmarkEnd w:id="312"/>
    </w:p>
    <w:p w:rsidR="006429B1" w:rsidRPr="00CA196C" w:rsidRDefault="006429B1" w:rsidP="006429B1">
      <w:pPr>
        <w:pStyle w:val="Paragraphedeliste"/>
        <w:keepNext/>
        <w:spacing w:before="240" w:after="60" w:line="240" w:lineRule="auto"/>
        <w:ind w:left="786"/>
        <w:jc w:val="both"/>
        <w:outlineLvl w:val="2"/>
        <w:rPr>
          <w:rFonts w:ascii="Bookman Old Style" w:hAnsi="Bookman Old Style" w:cs="Times New Roman"/>
          <w:bCs/>
          <w:sz w:val="24"/>
          <w:szCs w:val="24"/>
        </w:rPr>
      </w:pPr>
    </w:p>
    <w:p w:rsidR="006429B1" w:rsidRPr="00CA196C" w:rsidRDefault="006429B1" w:rsidP="006429B1">
      <w:pPr>
        <w:pStyle w:val="Paragraphedeliste"/>
        <w:keepNext/>
        <w:spacing w:before="240" w:after="60" w:line="240" w:lineRule="auto"/>
        <w:ind w:left="786"/>
        <w:jc w:val="both"/>
        <w:outlineLvl w:val="2"/>
        <w:rPr>
          <w:rFonts w:ascii="Bookman Old Style" w:hAnsi="Bookman Old Style" w:cs="Times New Roman"/>
          <w:bCs/>
          <w:sz w:val="24"/>
          <w:szCs w:val="24"/>
        </w:rPr>
      </w:pPr>
      <w:bookmarkStart w:id="313" w:name="_Toc511080955"/>
      <w:bookmarkStart w:id="314" w:name="_Toc511081631"/>
      <w:r w:rsidRPr="00CA196C">
        <w:rPr>
          <w:rFonts w:ascii="Bookman Old Style" w:hAnsi="Bookman Old Style" w:cs="Times New Roman"/>
          <w:bCs/>
          <w:sz w:val="24"/>
          <w:szCs w:val="24"/>
        </w:rPr>
        <w:t xml:space="preserve">La relance du sous-secteur agriculture d’exportation reste une priorité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en vue de pallier les baisses des cours du café sur les marchés internationaux, ce qui entraînera une production dynamique. Grâce à l’appui de la Banque Mondiale, le pays compte </w:t>
      </w:r>
      <w:r w:rsidRPr="00CA196C">
        <w:rPr>
          <w:rFonts w:ascii="Bookman Old Style" w:hAnsi="Bookman Old Style" w:cs="Times New Roman"/>
          <w:bCs/>
          <w:sz w:val="24"/>
          <w:szCs w:val="24"/>
        </w:rPr>
        <w:lastRenderedPageBreak/>
        <w:t>investir dans la filière café 81,2 millions de dollars d’ici 2021 pour doubler sa production</w:t>
      </w:r>
      <w:r w:rsidRPr="00CA196C">
        <w:rPr>
          <w:rFonts w:ascii="Bookman Old Style" w:hAnsi="Bookman Old Style"/>
          <w:vertAlign w:val="superscript"/>
        </w:rPr>
        <w:footnoteReference w:id="12"/>
      </w:r>
      <w:r w:rsidRPr="00CA196C">
        <w:rPr>
          <w:rFonts w:ascii="Bookman Old Style" w:hAnsi="Bookman Old Style" w:cs="Times New Roman"/>
          <w:bCs/>
          <w:sz w:val="24"/>
          <w:szCs w:val="24"/>
        </w:rPr>
        <w:t xml:space="preserve">. La réalisation de cet objectif nécessitera des réformes, notamment le remplacement de vieux caféiers, l’application de bonnes pratiques (la taille, le désherbage, le paillage et la fertilisation adéquate), l’extension des superficies </w:t>
      </w:r>
      <w:r w:rsidR="00673F0A">
        <w:rPr>
          <w:rFonts w:ascii="Bookman Old Style" w:hAnsi="Bookman Old Style" w:cs="Times New Roman"/>
          <w:bCs/>
          <w:sz w:val="24"/>
          <w:szCs w:val="24"/>
        </w:rPr>
        <w:t>de caféiers</w:t>
      </w:r>
      <w:r w:rsidRPr="00CA196C">
        <w:rPr>
          <w:rFonts w:ascii="Bookman Old Style" w:hAnsi="Bookman Old Style" w:cs="Times New Roman"/>
          <w:bCs/>
          <w:sz w:val="24"/>
          <w:szCs w:val="24"/>
        </w:rPr>
        <w:t xml:space="preserve">, l’intensification du programme de fertilisation ainsi que l’adoption de meilleures pratiques de récoltes et d’usinage. La valeur ajoutée de la branche Filière café afficherait une </w:t>
      </w:r>
      <w:r w:rsidR="00673F0A">
        <w:rPr>
          <w:rFonts w:ascii="Bookman Old Style" w:hAnsi="Bookman Old Style" w:cs="Times New Roman"/>
          <w:bCs/>
          <w:sz w:val="24"/>
          <w:szCs w:val="24"/>
        </w:rPr>
        <w:t>augmentation</w:t>
      </w:r>
      <w:r w:rsidRPr="00CA196C">
        <w:rPr>
          <w:rFonts w:ascii="Bookman Old Style" w:hAnsi="Bookman Old Style" w:cs="Times New Roman"/>
          <w:bCs/>
          <w:sz w:val="24"/>
          <w:szCs w:val="24"/>
        </w:rPr>
        <w:t xml:space="preserve"> moyenne de 32,5%</w:t>
      </w:r>
      <w:r w:rsidR="005171AB">
        <w:rPr>
          <w:rFonts w:ascii="Bookman Old Style" w:hAnsi="Bookman Old Style" w:cs="Times New Roman"/>
          <w:bCs/>
          <w:sz w:val="24"/>
          <w:szCs w:val="24"/>
        </w:rPr>
        <w:t>.</w:t>
      </w:r>
      <w:bookmarkEnd w:id="313"/>
      <w:bookmarkEnd w:id="314"/>
    </w:p>
    <w:p w:rsidR="006429B1" w:rsidRPr="00CA196C" w:rsidRDefault="006429B1" w:rsidP="006429B1">
      <w:pPr>
        <w:pStyle w:val="Paragraphedeliste"/>
        <w:keepNext/>
        <w:spacing w:before="240" w:after="60" w:line="240" w:lineRule="auto"/>
        <w:ind w:left="786"/>
        <w:jc w:val="both"/>
        <w:outlineLvl w:val="2"/>
        <w:rPr>
          <w:rFonts w:ascii="Bookman Old Style" w:hAnsi="Bookman Old Style" w:cs="Times New Roman"/>
          <w:bCs/>
          <w:sz w:val="24"/>
          <w:szCs w:val="24"/>
        </w:rPr>
      </w:pPr>
    </w:p>
    <w:p w:rsidR="006429B1" w:rsidRPr="00CA196C" w:rsidRDefault="006429B1" w:rsidP="006429B1">
      <w:pPr>
        <w:pStyle w:val="Paragraphedeliste"/>
        <w:keepNext/>
        <w:spacing w:before="240" w:after="60" w:line="240" w:lineRule="auto"/>
        <w:ind w:left="786"/>
        <w:jc w:val="both"/>
        <w:outlineLvl w:val="2"/>
        <w:rPr>
          <w:rFonts w:ascii="Bookman Old Style" w:hAnsi="Bookman Old Style" w:cs="Times New Roman"/>
          <w:bCs/>
          <w:sz w:val="24"/>
          <w:szCs w:val="24"/>
        </w:rPr>
      </w:pPr>
      <w:bookmarkStart w:id="315" w:name="_Toc511080956"/>
      <w:bookmarkStart w:id="316" w:name="_Toc511081632"/>
      <w:r w:rsidRPr="00CA196C">
        <w:rPr>
          <w:rFonts w:ascii="Bookman Old Style" w:hAnsi="Bookman Old Style" w:cs="Times New Roman"/>
          <w:bCs/>
          <w:sz w:val="24"/>
          <w:szCs w:val="24"/>
        </w:rPr>
        <w:t>La branche Filière thé devrait enregistrer un rythme de progression moyenne de 17,0%. Cette performance s’expliquerait par l’objectif, des différents intervenants dans le secteur, d’étendre les plantations aux autres zones favorables et la poursuite de mise en œuvre des réformes et actions entreprises dans la filière.</w:t>
      </w:r>
      <w:bookmarkEnd w:id="315"/>
      <w:bookmarkEnd w:id="316"/>
    </w:p>
    <w:p w:rsidR="006429B1" w:rsidRPr="00CA196C" w:rsidRDefault="006429B1" w:rsidP="006429B1">
      <w:pPr>
        <w:pStyle w:val="Paragraphedeliste"/>
        <w:keepNext/>
        <w:spacing w:before="240" w:after="60" w:line="240" w:lineRule="auto"/>
        <w:ind w:left="786"/>
        <w:jc w:val="both"/>
        <w:outlineLvl w:val="2"/>
        <w:rPr>
          <w:rFonts w:ascii="Bookman Old Style" w:hAnsi="Bookman Old Style" w:cs="Times New Roman"/>
          <w:b/>
          <w:bCs/>
          <w:sz w:val="24"/>
          <w:szCs w:val="24"/>
        </w:rPr>
      </w:pPr>
    </w:p>
    <w:p w:rsidR="006429B1" w:rsidRPr="00CA196C" w:rsidRDefault="006429B1" w:rsidP="006429B1">
      <w:pPr>
        <w:pStyle w:val="Paragraphedeliste"/>
        <w:keepNext/>
        <w:numPr>
          <w:ilvl w:val="0"/>
          <w:numId w:val="12"/>
        </w:numPr>
        <w:spacing w:before="160" w:after="120" w:line="240" w:lineRule="auto"/>
        <w:jc w:val="both"/>
        <w:outlineLvl w:val="2"/>
        <w:rPr>
          <w:rFonts w:ascii="Bookman Old Style" w:hAnsi="Bookman Old Style" w:cs="Times New Roman"/>
          <w:bCs/>
          <w:sz w:val="24"/>
          <w:szCs w:val="24"/>
        </w:rPr>
      </w:pPr>
      <w:bookmarkStart w:id="317" w:name="_Toc511080957"/>
      <w:bookmarkStart w:id="318" w:name="_Toc511081633"/>
      <w:r w:rsidRPr="00CA196C">
        <w:rPr>
          <w:rFonts w:ascii="Bookman Old Style" w:hAnsi="Bookman Old Style" w:cs="Times New Roman"/>
          <w:b/>
          <w:bCs/>
          <w:i/>
          <w:sz w:val="24"/>
          <w:szCs w:val="24"/>
        </w:rPr>
        <w:t>Une progression vigoureuse du secteur secondaire:</w:t>
      </w:r>
      <w:r w:rsidRPr="00CA196C">
        <w:rPr>
          <w:rFonts w:ascii="Bookman Old Style" w:hAnsi="Bookman Old Style" w:cs="Times New Roman"/>
          <w:bCs/>
          <w:sz w:val="24"/>
          <w:szCs w:val="24"/>
        </w:rPr>
        <w:t xml:space="preserve"> Ce secteur devrait enregistrer une forte croissance de 19,2% en moyenne sur la période 2018-2027. Cette performance serait essentiellement tirée par les fortes croissances attendues dans la branche de l’électricité, gaz et eau, la branche des industries et surtout dans la branche de l’extraction.</w:t>
      </w:r>
      <w:bookmarkEnd w:id="317"/>
      <w:bookmarkEnd w:id="318"/>
      <w:r w:rsidRPr="00CA196C">
        <w:rPr>
          <w:rFonts w:ascii="Bookman Old Style" w:hAnsi="Bookman Old Style" w:cs="Times New Roman"/>
          <w:bCs/>
          <w:sz w:val="24"/>
          <w:szCs w:val="24"/>
        </w:rPr>
        <w:t xml:space="preserve"> </w:t>
      </w:r>
    </w:p>
    <w:p w:rsidR="006429B1" w:rsidRPr="00CA196C" w:rsidRDefault="006429B1" w:rsidP="006429B1">
      <w:pPr>
        <w:pStyle w:val="Paragraphedeliste"/>
        <w:keepNext/>
        <w:spacing w:before="160" w:after="120" w:line="240" w:lineRule="auto"/>
        <w:ind w:left="786"/>
        <w:jc w:val="both"/>
        <w:outlineLvl w:val="2"/>
        <w:rPr>
          <w:rFonts w:ascii="Bookman Old Style" w:hAnsi="Bookman Old Style" w:cs="Times New Roman"/>
          <w:bCs/>
          <w:sz w:val="24"/>
          <w:szCs w:val="24"/>
        </w:rPr>
      </w:pP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La valeur ajoutée dans la branche de l’extraction croîtrait au rythme annuel de 47,0% en moyenne</w:t>
      </w:r>
      <w:r w:rsidR="000827C7">
        <w:rPr>
          <w:rFonts w:ascii="Bookman Old Style" w:hAnsi="Bookman Old Style" w:cs="Times New Roman"/>
          <w:bCs/>
          <w:sz w:val="24"/>
          <w:szCs w:val="24"/>
        </w:rPr>
        <w:t xml:space="preserve">. Elle </w:t>
      </w:r>
      <w:r w:rsidRPr="00CA196C">
        <w:rPr>
          <w:rFonts w:ascii="Bookman Old Style" w:hAnsi="Bookman Old Style" w:cs="Times New Roman"/>
          <w:bCs/>
          <w:sz w:val="24"/>
          <w:szCs w:val="24"/>
        </w:rPr>
        <w:t>serait consécutive à l'exploitation minière intensive (Terres rares, Or, Coltan, Vanadium, Nickel et minerais associés, etc…) et à l’adhésion du Burundi à l’initiative pour la transparence dans les industries extractives. L'identification des nouveaux sites miniers, l’audit du secteur minier artisanal et le renforcement des capacités pour la négociation des conventions minières contribueront également l'augmentation de la production.</w:t>
      </w: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Quant à la branche «électricité, gaz et eau», la croissance serait tirée essentiellement par les programmes de construction des centrales hydroélectriques tant au niveau national que régional. Au niveau national, en plus des centrales hydroélectriques en cours de construction, il est prévu l’aménagement des centrales hydroélectriques de Ruzibazi de 17 MW, Kagu 006 de 12 MW, Kabu16 de 20 MW et Jiji-Murembwe d’environ 50 MW. Au niveau régional, il est prévu la poursuite des travaux de construction des centrales hydroélectriques régionales (Rusumo Fulls 80 MW, Ruzizi III 147 MW), le tirage des lignes dans le cadre de la politique d’ouverture au marché régional de l’électricité  (EAC, EAPP et autres) dont (i) la ligne HT 220 KV Gitega-Ngozi-Butare-Kigoma et (ii) la ligne HT 220 KV Kamanyola-Bujumbura et ligne Electrique HT 220 KV Rusumo-Fulls-Gitega-Bujumbura.</w:t>
      </w:r>
    </w:p>
    <w:p w:rsidR="006429B1"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La performance attendue de la branche des industries serait imputable notamment au renforcement de la politique de promotion </w:t>
      </w:r>
      <w:r w:rsidRPr="00CA196C">
        <w:rPr>
          <w:rFonts w:ascii="Bookman Old Style" w:hAnsi="Bookman Old Style" w:cs="Times New Roman"/>
          <w:bCs/>
          <w:sz w:val="24"/>
          <w:szCs w:val="24"/>
        </w:rPr>
        <w:lastRenderedPageBreak/>
        <w:t xml:space="preserve">du secteur privé par le développement des infrastructures d'appui à la production industrielle, le renforcement des capacités des entreprises de production et la création de nouvelles unités artisanales de production et de commercialisation. </w:t>
      </w:r>
    </w:p>
    <w:p w:rsidR="000500C4" w:rsidRPr="00CA196C" w:rsidRDefault="000500C4" w:rsidP="006429B1">
      <w:pPr>
        <w:pStyle w:val="Paragraphedeliste"/>
        <w:spacing w:before="160" w:after="120" w:line="240" w:lineRule="auto"/>
        <w:ind w:left="786"/>
        <w:jc w:val="both"/>
        <w:rPr>
          <w:rFonts w:ascii="Bookman Old Style" w:hAnsi="Bookman Old Style" w:cs="Times New Roman"/>
          <w:bCs/>
          <w:sz w:val="24"/>
          <w:szCs w:val="24"/>
        </w:rPr>
      </w:pPr>
    </w:p>
    <w:p w:rsidR="006429B1" w:rsidRPr="00CA196C" w:rsidRDefault="006429B1" w:rsidP="006429B1">
      <w:pPr>
        <w:pStyle w:val="Paragraphedeliste"/>
        <w:numPr>
          <w:ilvl w:val="0"/>
          <w:numId w:val="12"/>
        </w:num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
          <w:bCs/>
          <w:i/>
          <w:sz w:val="24"/>
          <w:szCs w:val="24"/>
        </w:rPr>
        <w:t>Un rythme de croissance soutenue du secteur tertiaire</w:t>
      </w:r>
      <w:r w:rsidRPr="00CA196C">
        <w:rPr>
          <w:rFonts w:ascii="Bookman Old Style" w:hAnsi="Bookman Old Style" w:cs="Times New Roman"/>
          <w:bCs/>
          <w:sz w:val="24"/>
          <w:szCs w:val="24"/>
        </w:rPr>
        <w:t>: Par rapport aux deux secteurs ci-haut mentionnés, celui-ci devrait enregistrer une croissance moins importante de 7,9% en moyenne. Cette croissance serait liée principalement aux performances attendues d</w:t>
      </w:r>
      <w:r w:rsidR="000827C7">
        <w:rPr>
          <w:rFonts w:ascii="Bookman Old Style" w:hAnsi="Bookman Old Style" w:cs="Times New Roman"/>
          <w:bCs/>
          <w:sz w:val="24"/>
          <w:szCs w:val="24"/>
        </w:rPr>
        <w:t>ans les branches «Transport et T</w:t>
      </w:r>
      <w:r w:rsidRPr="00CA196C">
        <w:rPr>
          <w:rFonts w:ascii="Bookman Old Style" w:hAnsi="Bookman Old Style" w:cs="Times New Roman"/>
          <w:bCs/>
          <w:sz w:val="24"/>
          <w:szCs w:val="24"/>
        </w:rPr>
        <w:t>élécommunication», «Tourisme» et «Banques et Assurances».</w:t>
      </w: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La performance attendue dans la branche de transport et télécommunication serait liée aux avantages offerts par l’exploitation de la fibre optique conjugués avec la mise en œuvre du projet d'Information, Education et Communication (IEC) pour le changement de comportement. La poursuite de la politique du désenclavement du pays par la réhabilitation et la construction prévues de diverses infrastructures routières, maritimes et ferroviaires constitue un autre élément sous-tendant ce résultat.</w:t>
      </w: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p>
    <w:p w:rsidR="006429B1" w:rsidRPr="00A84D19" w:rsidRDefault="00A84D19" w:rsidP="00A84D19">
      <w:pPr>
        <w:pStyle w:val="Paragraphedeliste"/>
        <w:numPr>
          <w:ilvl w:val="0"/>
          <w:numId w:val="12"/>
        </w:numPr>
        <w:spacing w:before="160" w:after="120" w:line="240" w:lineRule="auto"/>
        <w:jc w:val="both"/>
        <w:rPr>
          <w:rFonts w:ascii="Bookman Old Style" w:hAnsi="Bookman Old Style" w:cs="Times New Roman"/>
          <w:bCs/>
          <w:sz w:val="24"/>
          <w:szCs w:val="24"/>
        </w:rPr>
      </w:pPr>
      <w:r w:rsidRPr="00A84D19">
        <w:rPr>
          <w:rFonts w:ascii="Bookman Old Style" w:hAnsi="Bookman Old Style" w:cs="Times New Roman"/>
          <w:b/>
          <w:bCs/>
          <w:i/>
          <w:sz w:val="24"/>
          <w:szCs w:val="24"/>
        </w:rPr>
        <w:t xml:space="preserve">Une volonté affichée par les opérateurs de la branche «Banques et Assurances» </w:t>
      </w:r>
      <w:r w:rsidR="006429B1" w:rsidRPr="00A84D19">
        <w:rPr>
          <w:rFonts w:ascii="Bookman Old Style" w:hAnsi="Bookman Old Style" w:cs="Times New Roman"/>
          <w:b/>
          <w:bCs/>
          <w:i/>
          <w:sz w:val="24"/>
          <w:szCs w:val="24"/>
        </w:rPr>
        <w:t>d’étendre les marchés et d’améliorer la qualité des services offerts</w:t>
      </w:r>
      <w:r w:rsidR="006429B1" w:rsidRPr="00A84D19">
        <w:rPr>
          <w:rFonts w:ascii="Bookman Old Style" w:hAnsi="Bookman Old Style" w:cs="Times New Roman"/>
          <w:bCs/>
          <w:sz w:val="24"/>
          <w:szCs w:val="24"/>
        </w:rPr>
        <w:t>. Afin d’arriver à ces objectifs, diverses actions sont prévues, à savoir: (i) accroître les gammes de produits et des marchés (Crédit-bail, Mobile banking, bancassurance, etc...) ; (ii) favoriser l’intégration régionale par la conquête de nouveaux marchés, partenariats et l’entrée de ressources sur le marché local ; (iii) mener une politique de réforme</w:t>
      </w:r>
      <w:r w:rsidR="004141C1">
        <w:rPr>
          <w:rFonts w:ascii="Bookman Old Style" w:hAnsi="Bookman Old Style" w:cs="Times New Roman"/>
          <w:bCs/>
          <w:sz w:val="24"/>
          <w:szCs w:val="24"/>
        </w:rPr>
        <w:t>s pro-développement du secteur f</w:t>
      </w:r>
      <w:r w:rsidR="006429B1" w:rsidRPr="00A84D19">
        <w:rPr>
          <w:rFonts w:ascii="Bookman Old Style" w:hAnsi="Bookman Old Style" w:cs="Times New Roman"/>
          <w:bCs/>
          <w:sz w:val="24"/>
          <w:szCs w:val="24"/>
        </w:rPr>
        <w:t>inancier par la Banque Centrale (Modernisation des systèmes de paiements, projets de loi sur les sûretés mobilières, révision de la loi bancaire, plan de développement du marché financier, etc...) et (iv) promouvoir l’inclusion financière.</w:t>
      </w: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Du côté des </w:t>
      </w:r>
      <w:r w:rsidR="004141C1">
        <w:rPr>
          <w:rFonts w:ascii="Bookman Old Style" w:hAnsi="Bookman Old Style" w:cs="Times New Roman"/>
          <w:bCs/>
          <w:sz w:val="24"/>
          <w:szCs w:val="24"/>
        </w:rPr>
        <w:t>allocations</w:t>
      </w:r>
      <w:r w:rsidRPr="00CA196C">
        <w:rPr>
          <w:rFonts w:ascii="Bookman Old Style" w:hAnsi="Bookman Old Style" w:cs="Times New Roman"/>
          <w:bCs/>
          <w:sz w:val="24"/>
          <w:szCs w:val="24"/>
        </w:rPr>
        <w:t xml:space="preserve"> du PIB, la poursuite de la mise en œuvre des programmes visant à renforcer les bases d’une économie solide et à impulser le développement des secteurs porteurs de la croissance nécessitera d’importants efforts publics. Ainsi, le volume des investissements publics devra augmenter sur la période 2018-2027. </w:t>
      </w: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Le volume des investissements privés augmenter</w:t>
      </w:r>
      <w:r w:rsidR="00ED0268">
        <w:rPr>
          <w:rFonts w:ascii="Bookman Old Style" w:hAnsi="Bookman Old Style" w:cs="Times New Roman"/>
          <w:bCs/>
          <w:sz w:val="24"/>
          <w:szCs w:val="24"/>
        </w:rPr>
        <w:t>a</w:t>
      </w:r>
      <w:r w:rsidRPr="00CA196C">
        <w:rPr>
          <w:rFonts w:ascii="Bookman Old Style" w:hAnsi="Bookman Old Style" w:cs="Times New Roman"/>
          <w:bCs/>
          <w:sz w:val="24"/>
          <w:szCs w:val="24"/>
        </w:rPr>
        <w:t xml:space="preserve"> grâce à la poursuite de l'amélioration du climat des affaires et la mise en œuvre de la politique du Partenariat Public-Privé. La politique budgétaire </w:t>
      </w:r>
      <w:r w:rsidRPr="0020032C">
        <w:rPr>
          <w:rFonts w:ascii="Bookman Old Style" w:hAnsi="Bookman Old Style" w:cs="Times New Roman"/>
          <w:bCs/>
          <w:sz w:val="24"/>
          <w:szCs w:val="24"/>
        </w:rPr>
        <w:t>prudentielle</w:t>
      </w:r>
      <w:r w:rsidRPr="00CA196C">
        <w:rPr>
          <w:rFonts w:ascii="Bookman Old Style" w:hAnsi="Bookman Old Style" w:cs="Times New Roman"/>
          <w:bCs/>
          <w:sz w:val="24"/>
          <w:szCs w:val="24"/>
        </w:rPr>
        <w:t xml:space="preserve">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conduirait au maintien du poids de la consommation publique dans le PIB tandis que la part de la consommation privé devrait se contracter entre 2018 et 2027. Cette contraction de la consommation privée devrait alors permettre une dynamique dans la mobilisation de l’épargne afin de soutenir les besoins de financement de l’économie nationale. </w:t>
      </w: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p>
    <w:p w:rsidR="006429B1" w:rsidRPr="00CA196C" w:rsidRDefault="006429B1" w:rsidP="006429B1">
      <w:pPr>
        <w:pStyle w:val="Paragraphedeliste"/>
        <w:spacing w:before="160" w:after="120" w:line="240" w:lineRule="auto"/>
        <w:ind w:left="786"/>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Une inflation maîtrisée: La période 2018-2027 serait également marquée par des pressions inflationnistes contenues. Le taux d’inflation moyen sur la période se situerait en dessous de la norme communautaire de 8,0%. Cette évolution résulterait: (i) d’une bonne production nationale, d'un meilleur approvisionnement des grands centres urbains, (ii) d'une politique monétaire prudentielle et (iii) la maîtrise des dépenses publiques. </w:t>
      </w:r>
    </w:p>
    <w:p w:rsidR="006429B1" w:rsidRPr="00CA196C" w:rsidRDefault="006429B1" w:rsidP="00BD2775">
      <w:pPr>
        <w:pStyle w:val="Titre3"/>
        <w:rPr>
          <w:rFonts w:ascii="Bookman Old Style" w:hAnsi="Bookman Old Style"/>
        </w:rPr>
      </w:pPr>
      <w:bookmarkStart w:id="319" w:name="_Toc511076190"/>
      <w:bookmarkStart w:id="320" w:name="_Toc511080958"/>
      <w:bookmarkStart w:id="321" w:name="_Toc511081392"/>
      <w:bookmarkStart w:id="322" w:name="_Toc511081634"/>
      <w:r w:rsidRPr="00CA196C">
        <w:rPr>
          <w:rFonts w:ascii="Bookman Old Style" w:hAnsi="Bookman Old Style"/>
        </w:rPr>
        <w:t>5.2.2. Prévisions des finances publiques</w:t>
      </w:r>
      <w:bookmarkEnd w:id="319"/>
      <w:bookmarkEnd w:id="320"/>
      <w:bookmarkEnd w:id="321"/>
      <w:bookmarkEnd w:id="322"/>
    </w:p>
    <w:p w:rsidR="006429B1" w:rsidRPr="00CA196C" w:rsidRDefault="006429B1" w:rsidP="00B353A1">
      <w:pPr>
        <w:pStyle w:val="Paragraphedeliste"/>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bCs/>
          <w:sz w:val="24"/>
          <w:szCs w:val="24"/>
        </w:rPr>
        <w:t>La mobilisation et la gestion des ressources de l’Etat seront toujours axées sur : (i) l’accroissement des ressources par l’élargissement de la base taxable; (ii) la recherche des ressources extérieures  et (iii) l’allocation rationnelle des ressources disponibles en favorisant les dépenses des secteurs sociaux, des secteurs porteurs de croissance ainsi que les dépenses liées aux secteurs de sécurité et de défense.</w:t>
      </w:r>
    </w:p>
    <w:p w:rsidR="006429B1" w:rsidRPr="00CA196C" w:rsidRDefault="006429B1" w:rsidP="00B353A1">
      <w:pPr>
        <w:pStyle w:val="Paragraphedeliste"/>
        <w:spacing w:before="160" w:after="120" w:line="240" w:lineRule="auto"/>
        <w:ind w:left="0"/>
        <w:jc w:val="both"/>
        <w:rPr>
          <w:rFonts w:ascii="Bookman Old Style" w:hAnsi="Bookman Old Style" w:cs="Times New Roman"/>
          <w:bCs/>
          <w:sz w:val="24"/>
          <w:szCs w:val="24"/>
        </w:rPr>
      </w:pPr>
    </w:p>
    <w:p w:rsidR="006429B1" w:rsidRPr="00CA196C" w:rsidRDefault="006429B1" w:rsidP="00B353A1">
      <w:pPr>
        <w:tabs>
          <w:tab w:val="num" w:pos="426"/>
        </w:tabs>
        <w:spacing w:after="0"/>
        <w:contextualSpacing/>
        <w:jc w:val="both"/>
        <w:rPr>
          <w:rFonts w:ascii="Bookman Old Style" w:eastAsia="Times New Roman" w:hAnsi="Bookman Old Style"/>
          <w:bCs/>
          <w:sz w:val="24"/>
          <w:szCs w:val="24"/>
        </w:rPr>
      </w:pPr>
      <w:r w:rsidRPr="00CA196C">
        <w:rPr>
          <w:rFonts w:ascii="Bookman Old Style" w:hAnsi="Bookman Old Style" w:cs="Times New Roman"/>
          <w:bCs/>
          <w:sz w:val="24"/>
          <w:szCs w:val="24"/>
        </w:rPr>
        <w:t xml:space="preserve">Au niveau des recettes, tout en visant l’augmentation des recettes publiques, la politique fiscale tiendra également compte des fondamentaux en matière de la fiscalité publique. </w:t>
      </w:r>
      <w:r w:rsidRPr="00CA196C">
        <w:rPr>
          <w:rFonts w:ascii="Bookman Old Style" w:hAnsi="Bookman Old Style" w:cs="Times New Roman"/>
          <w:b/>
          <w:bCs/>
          <w:sz w:val="24"/>
          <w:szCs w:val="24"/>
        </w:rPr>
        <w:t xml:space="preserve">La pression fiscale afficherait également une progression soutenue. </w:t>
      </w:r>
      <w:r w:rsidRPr="00CA196C">
        <w:rPr>
          <w:rFonts w:ascii="Bookman Old Style" w:eastAsia="Times New Roman" w:hAnsi="Bookman Old Style"/>
          <w:bCs/>
          <w:sz w:val="24"/>
          <w:szCs w:val="24"/>
        </w:rPr>
        <w:t>Les recettes de l’Etat devraient connaître une augmentation sur la période 2018-2027 en comparaison avec la période 2008-2017. Elles sont projetées à 2305,4 M</w:t>
      </w:r>
      <w:r w:rsidR="00ED0268">
        <w:rPr>
          <w:rFonts w:ascii="Bookman Old Style" w:eastAsia="Times New Roman" w:hAnsi="Bookman Old Style"/>
          <w:bCs/>
          <w:sz w:val="24"/>
          <w:szCs w:val="24"/>
        </w:rPr>
        <w:t>illia</w:t>
      </w:r>
      <w:r w:rsidRPr="00CA196C">
        <w:rPr>
          <w:rFonts w:ascii="Bookman Old Style" w:eastAsia="Times New Roman" w:hAnsi="Bookman Old Style"/>
          <w:bCs/>
          <w:sz w:val="24"/>
          <w:szCs w:val="24"/>
        </w:rPr>
        <w:t>rds de BIF contre 510,9 M</w:t>
      </w:r>
      <w:r w:rsidR="00ED0268">
        <w:rPr>
          <w:rFonts w:ascii="Bookman Old Style" w:eastAsia="Times New Roman" w:hAnsi="Bookman Old Style"/>
          <w:bCs/>
          <w:sz w:val="24"/>
          <w:szCs w:val="24"/>
        </w:rPr>
        <w:t>illia</w:t>
      </w:r>
      <w:r w:rsidRPr="00CA196C">
        <w:rPr>
          <w:rFonts w:ascii="Bookman Old Style" w:eastAsia="Times New Roman" w:hAnsi="Bookman Old Style"/>
          <w:bCs/>
          <w:sz w:val="24"/>
          <w:szCs w:val="24"/>
        </w:rPr>
        <w:t>rds de BIF réalisé sur la période 2008-2027. Les prévisions de la pression fiscale passerai</w:t>
      </w:r>
      <w:r w:rsidR="00ED0268">
        <w:rPr>
          <w:rFonts w:ascii="Bookman Old Style" w:eastAsia="Times New Roman" w:hAnsi="Bookman Old Style"/>
          <w:bCs/>
          <w:sz w:val="24"/>
          <w:szCs w:val="24"/>
        </w:rPr>
        <w:t>en</w:t>
      </w:r>
      <w:r w:rsidRPr="00CA196C">
        <w:rPr>
          <w:rFonts w:ascii="Bookman Old Style" w:eastAsia="Times New Roman" w:hAnsi="Bookman Old Style"/>
          <w:bCs/>
          <w:sz w:val="24"/>
          <w:szCs w:val="24"/>
        </w:rPr>
        <w:t>t de 14,5% en moyenne entre 2008-2017 à 18,8% sur période 2018-2020, soit un gain de 4,3 points de pourcentage.</w:t>
      </w:r>
    </w:p>
    <w:p w:rsidR="006429B1" w:rsidRPr="00CA196C" w:rsidRDefault="006429B1" w:rsidP="00B353A1">
      <w:pPr>
        <w:tabs>
          <w:tab w:val="num" w:pos="426"/>
        </w:tabs>
        <w:spacing w:after="0"/>
        <w:contextualSpacing/>
        <w:jc w:val="both"/>
        <w:rPr>
          <w:rFonts w:ascii="Bookman Old Style" w:eastAsia="Times New Roman" w:hAnsi="Bookman Old Style"/>
          <w:bCs/>
          <w:sz w:val="24"/>
          <w:szCs w:val="24"/>
        </w:rPr>
      </w:pPr>
    </w:p>
    <w:p w:rsidR="006429B1" w:rsidRPr="00CA196C" w:rsidRDefault="006429B1" w:rsidP="00B353A1">
      <w:pPr>
        <w:autoSpaceDE w:val="0"/>
        <w:autoSpaceDN w:val="0"/>
        <w:adjustRightInd w:val="0"/>
        <w:spacing w:after="0"/>
        <w:contextualSpacing/>
        <w:jc w:val="both"/>
        <w:rPr>
          <w:rFonts w:ascii="Bookman Old Style" w:eastAsia="Times New Roman" w:hAnsi="Bookman Old Style"/>
          <w:bCs/>
          <w:sz w:val="24"/>
          <w:szCs w:val="24"/>
        </w:rPr>
      </w:pPr>
      <w:r w:rsidRPr="00CA196C">
        <w:rPr>
          <w:rFonts w:ascii="Bookman Old Style" w:hAnsi="Bookman Old Style" w:cs="Times New Roman"/>
          <w:bCs/>
          <w:sz w:val="24"/>
          <w:szCs w:val="24"/>
        </w:rPr>
        <w:t xml:space="preserve">Quant aux dépenses, l’exécution du budget de l’Etat continuera à tenir compte des tableaux de bords développés pour cette fin. La politique de maîtrise des dépenses courantes en vue de dégager des marges budgétaires pour les dépenses d'investissement devrait se poursuivre sur la période. Le système de contrôle des exonérations sera également renforcé. </w:t>
      </w:r>
      <w:r w:rsidRPr="00CA196C">
        <w:rPr>
          <w:rFonts w:ascii="Bookman Old Style" w:eastAsia="Times New Roman" w:hAnsi="Bookman Old Style"/>
          <w:bCs/>
          <w:sz w:val="24"/>
          <w:szCs w:val="24"/>
        </w:rPr>
        <w:t xml:space="preserve">Les dépenses courantes devraient connaître un recul, revenant à 17,3% du PIB sur la période 2008-2027 à  11,5% du PIB sur la période 2018-2027. </w:t>
      </w:r>
    </w:p>
    <w:p w:rsidR="00B353A1" w:rsidRPr="00CA196C" w:rsidRDefault="00B353A1">
      <w:pPr>
        <w:rPr>
          <w:rFonts w:ascii="Bookman Old Style" w:eastAsia="Times New Roman" w:hAnsi="Bookman Old Style" w:cs="Times New Roman"/>
          <w:b/>
          <w:sz w:val="24"/>
          <w:szCs w:val="24"/>
        </w:rPr>
      </w:pPr>
      <w:r w:rsidRPr="00CA196C">
        <w:rPr>
          <w:rFonts w:ascii="Bookman Old Style" w:hAnsi="Bookman Old Style"/>
        </w:rPr>
        <w:br w:type="page"/>
      </w:r>
    </w:p>
    <w:p w:rsidR="006429B1" w:rsidRPr="00CA196C" w:rsidRDefault="00B353A1" w:rsidP="00D76FCA">
      <w:pPr>
        <w:pStyle w:val="Sous-titre"/>
        <w:rPr>
          <w:rFonts w:ascii="Bookman Old Style" w:hAnsi="Bookman Old Style"/>
        </w:rPr>
      </w:pPr>
      <w:bookmarkStart w:id="323" w:name="_Toc511076257"/>
      <w:bookmarkStart w:id="324" w:name="_Toc511080959"/>
      <w:bookmarkStart w:id="325" w:name="_Toc511081635"/>
      <w:r w:rsidRPr="00CA196C">
        <w:rPr>
          <w:rFonts w:ascii="Bookman Old Style" w:hAnsi="Bookman Old Style"/>
        </w:rPr>
        <w:lastRenderedPageBreak/>
        <w:t>Graphique 6</w:t>
      </w:r>
      <w:r w:rsidR="006429B1" w:rsidRPr="00CA196C">
        <w:rPr>
          <w:rFonts w:ascii="Bookman Old Style" w:hAnsi="Bookman Old Style"/>
        </w:rPr>
        <w:t>. Projections des finances publiques</w:t>
      </w:r>
      <w:bookmarkEnd w:id="323"/>
      <w:bookmarkEnd w:id="324"/>
      <w:bookmarkEnd w:id="325"/>
    </w:p>
    <w:p w:rsidR="006429B1" w:rsidRPr="00CA196C" w:rsidRDefault="006429B1" w:rsidP="006429B1">
      <w:pPr>
        <w:pStyle w:val="Paragraphedeliste"/>
        <w:spacing w:before="160" w:after="120" w:line="240" w:lineRule="auto"/>
        <w:ind w:left="360"/>
        <w:jc w:val="both"/>
        <w:rPr>
          <w:rFonts w:ascii="Bookman Old Style" w:hAnsi="Bookman Old Style" w:cs="Times New Roman"/>
          <w:b/>
          <w:sz w:val="24"/>
          <w:szCs w:val="24"/>
          <w:lang w:eastAsia="fr-FR"/>
        </w:rPr>
      </w:pPr>
      <w:r w:rsidRPr="00CA196C">
        <w:rPr>
          <w:rFonts w:ascii="Bookman Old Style" w:hAnsi="Bookman Old Style" w:cs="Times New Roman"/>
          <w:b/>
          <w:noProof/>
          <w:lang w:eastAsia="fr-FR"/>
        </w:rPr>
        <w:drawing>
          <wp:inline distT="0" distB="0" distL="0" distR="0">
            <wp:extent cx="2686050" cy="1943100"/>
            <wp:effectExtent l="0" t="0" r="0" b="0"/>
            <wp:docPr id="1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5330" cy="1949813"/>
                    </a:xfrm>
                    <a:prstGeom prst="rect">
                      <a:avLst/>
                    </a:prstGeom>
                    <a:noFill/>
                  </pic:spPr>
                </pic:pic>
              </a:graphicData>
            </a:graphic>
          </wp:inline>
        </w:drawing>
      </w:r>
      <w:r w:rsidRPr="00CA196C">
        <w:rPr>
          <w:rFonts w:ascii="Bookman Old Style" w:hAnsi="Bookman Old Style" w:cs="Times New Roman"/>
          <w:b/>
          <w:noProof/>
          <w:lang w:eastAsia="fr-FR"/>
        </w:rPr>
        <w:drawing>
          <wp:inline distT="0" distB="0" distL="0" distR="0">
            <wp:extent cx="2819400" cy="1943100"/>
            <wp:effectExtent l="0" t="0" r="0" b="0"/>
            <wp:docPr id="1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37526" cy="1955592"/>
                    </a:xfrm>
                    <a:prstGeom prst="rect">
                      <a:avLst/>
                    </a:prstGeom>
                    <a:noFill/>
                  </pic:spPr>
                </pic:pic>
              </a:graphicData>
            </a:graphic>
          </wp:inline>
        </w:drawing>
      </w:r>
    </w:p>
    <w:p w:rsidR="006429B1" w:rsidRPr="00CA196C" w:rsidRDefault="006429B1" w:rsidP="006429B1">
      <w:pPr>
        <w:pStyle w:val="Paragraphedeliste"/>
        <w:spacing w:before="160" w:after="120" w:line="240" w:lineRule="auto"/>
        <w:ind w:left="360"/>
        <w:jc w:val="both"/>
        <w:rPr>
          <w:rFonts w:ascii="Bookman Old Style" w:hAnsi="Bookman Old Style" w:cs="Times New Roman"/>
          <w:b/>
          <w:sz w:val="24"/>
          <w:szCs w:val="24"/>
          <w:lang w:eastAsia="fr-FR"/>
        </w:rPr>
      </w:pPr>
      <w:r w:rsidRPr="00CA196C">
        <w:rPr>
          <w:rFonts w:ascii="Bookman Old Style" w:hAnsi="Bookman Old Style" w:cs="Times New Roman"/>
          <w:b/>
          <w:noProof/>
          <w:lang w:eastAsia="fr-FR"/>
        </w:rPr>
        <w:drawing>
          <wp:inline distT="0" distB="0" distL="0" distR="0">
            <wp:extent cx="2687541" cy="2083242"/>
            <wp:effectExtent l="0" t="0" r="0" b="0"/>
            <wp:docPr id="1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8495" cy="2083981"/>
                    </a:xfrm>
                    <a:prstGeom prst="rect">
                      <a:avLst/>
                    </a:prstGeom>
                    <a:noFill/>
                  </pic:spPr>
                </pic:pic>
              </a:graphicData>
            </a:graphic>
          </wp:inline>
        </w:drawing>
      </w:r>
      <w:r w:rsidRPr="00CA196C">
        <w:rPr>
          <w:rFonts w:ascii="Bookman Old Style" w:hAnsi="Bookman Old Style" w:cs="Times New Roman"/>
          <w:b/>
          <w:noProof/>
          <w:lang w:eastAsia="fr-FR"/>
        </w:rPr>
        <w:drawing>
          <wp:inline distT="0" distB="0" distL="0" distR="0">
            <wp:extent cx="2809344" cy="2083981"/>
            <wp:effectExtent l="0" t="0" r="0" b="0"/>
            <wp:docPr id="1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29513" cy="2098943"/>
                    </a:xfrm>
                    <a:prstGeom prst="rect">
                      <a:avLst/>
                    </a:prstGeom>
                    <a:noFill/>
                  </pic:spPr>
                </pic:pic>
              </a:graphicData>
            </a:graphic>
          </wp:inline>
        </w:drawing>
      </w:r>
      <w:r w:rsidRPr="00CA196C">
        <w:rPr>
          <w:rFonts w:ascii="Bookman Old Style" w:hAnsi="Bookman Old Style" w:cs="Times New Roman"/>
          <w:b/>
          <w:sz w:val="24"/>
          <w:szCs w:val="24"/>
          <w:lang w:eastAsia="fr-FR"/>
        </w:rPr>
        <w:t xml:space="preserve"> </w:t>
      </w:r>
    </w:p>
    <w:p w:rsidR="006429B1" w:rsidRPr="00CA196C" w:rsidRDefault="006429B1" w:rsidP="006429B1">
      <w:pPr>
        <w:pStyle w:val="Paragraphedeliste"/>
        <w:spacing w:before="160" w:after="120" w:line="240" w:lineRule="auto"/>
        <w:ind w:left="360"/>
        <w:jc w:val="both"/>
        <w:rPr>
          <w:rFonts w:ascii="Bookman Old Style" w:hAnsi="Bookman Old Style" w:cs="Times New Roman"/>
          <w:b/>
          <w:sz w:val="24"/>
          <w:szCs w:val="24"/>
          <w:lang w:eastAsia="fr-FR"/>
        </w:rPr>
      </w:pPr>
    </w:p>
    <w:p w:rsidR="006429B1" w:rsidRPr="00CA196C" w:rsidRDefault="006429B1" w:rsidP="00B353A1">
      <w:pPr>
        <w:pStyle w:val="Paragraphedeliste"/>
        <w:spacing w:before="160" w:after="120" w:line="240" w:lineRule="auto"/>
        <w:ind w:left="0"/>
        <w:jc w:val="both"/>
        <w:rPr>
          <w:rFonts w:ascii="Bookman Old Style" w:hAnsi="Bookman Old Style" w:cs="Times New Roman"/>
          <w:b/>
          <w:sz w:val="24"/>
          <w:szCs w:val="24"/>
          <w:lang w:eastAsia="fr-FR"/>
        </w:rPr>
      </w:pPr>
      <w:r w:rsidRPr="00CA196C">
        <w:rPr>
          <w:rFonts w:ascii="Bookman Old Style" w:hAnsi="Bookman Old Style" w:cs="Times New Roman"/>
          <w:bCs/>
          <w:sz w:val="24"/>
          <w:szCs w:val="24"/>
        </w:rPr>
        <w:t>En ce qui concerne les dépenses d’investissement/dépenses en capital, elles devraient connaître un accroissement remarquable pour pouvoir soutenir les programmes et projets contenus dans le PND du Burundi 2018-2027.</w:t>
      </w:r>
      <w:r w:rsidRPr="00CA196C">
        <w:rPr>
          <w:rFonts w:ascii="Bookman Old Style" w:eastAsia="Times New Roman" w:hAnsi="Bookman Old Style"/>
          <w:bCs/>
          <w:sz w:val="24"/>
          <w:szCs w:val="24"/>
        </w:rPr>
        <w:t xml:space="preserve"> Elles sont projetées à 15,5% du PIB en moyenne sur la période 2008-2027 contre une réalisation de 8,1% sur 2008-2017, soit un accroissement de 7,4 points de pourcentage.</w:t>
      </w:r>
    </w:p>
    <w:p w:rsidR="006429B1" w:rsidRPr="00CA196C" w:rsidRDefault="006429B1" w:rsidP="00B353A1">
      <w:pPr>
        <w:pStyle w:val="Paragraphedeliste"/>
        <w:spacing w:before="160" w:after="120" w:line="240" w:lineRule="auto"/>
        <w:ind w:left="0"/>
        <w:jc w:val="both"/>
        <w:rPr>
          <w:rFonts w:ascii="Bookman Old Style" w:hAnsi="Bookman Old Style" w:cs="Times New Roman"/>
          <w:bCs/>
          <w:sz w:val="24"/>
          <w:szCs w:val="24"/>
        </w:rPr>
      </w:pPr>
    </w:p>
    <w:p w:rsidR="006429B1" w:rsidRPr="00CA196C" w:rsidRDefault="006429B1" w:rsidP="00B353A1">
      <w:pPr>
        <w:autoSpaceDE w:val="0"/>
        <w:autoSpaceDN w:val="0"/>
        <w:adjustRightInd w:val="0"/>
        <w:spacing w:after="0"/>
        <w:contextualSpacing/>
        <w:jc w:val="both"/>
        <w:rPr>
          <w:rFonts w:ascii="Bookman Old Style" w:eastAsia="Times New Roman" w:hAnsi="Bookman Old Style"/>
          <w:bCs/>
          <w:sz w:val="24"/>
          <w:szCs w:val="24"/>
        </w:rPr>
      </w:pPr>
      <w:r w:rsidRPr="00CA196C">
        <w:rPr>
          <w:rFonts w:ascii="Bookman Old Style" w:hAnsi="Bookman Old Style" w:cs="Times New Roman"/>
          <w:bCs/>
          <w:sz w:val="24"/>
          <w:szCs w:val="24"/>
        </w:rPr>
        <w:t>En conséquence, le solde budgétaire global demeurerait déficitaire sur la période 2018-2027, tout en affichant une tendance baissière.</w:t>
      </w:r>
      <w:r w:rsidRPr="00CA196C">
        <w:rPr>
          <w:rFonts w:ascii="Bookman Old Style" w:eastAsia="Times New Roman" w:hAnsi="Bookman Old Style"/>
          <w:bCs/>
          <w:sz w:val="24"/>
          <w:szCs w:val="24"/>
        </w:rPr>
        <w:t xml:space="preserve"> Le déficit global moyen base caisse est projeté à 8,6% du PIB sur la période 2018-2027 contre 13,2% du PIB entre 2008-2017, soit une amélioration de 4,6 points de pourcentage.</w:t>
      </w:r>
    </w:p>
    <w:p w:rsidR="006429B1" w:rsidRPr="00CA196C" w:rsidRDefault="006429B1" w:rsidP="00BD2775">
      <w:pPr>
        <w:pStyle w:val="Titre3"/>
        <w:rPr>
          <w:rFonts w:ascii="Bookman Old Style" w:hAnsi="Bookman Old Style"/>
        </w:rPr>
      </w:pPr>
      <w:bookmarkStart w:id="326" w:name="_Toc511076191"/>
      <w:bookmarkStart w:id="327" w:name="_Toc511080960"/>
      <w:bookmarkStart w:id="328" w:name="_Toc511081393"/>
      <w:bookmarkStart w:id="329" w:name="_Toc511081636"/>
      <w:r w:rsidRPr="00CA196C">
        <w:rPr>
          <w:rFonts w:ascii="Bookman Old Style" w:hAnsi="Bookman Old Style"/>
        </w:rPr>
        <w:t>5.2.3. Révisions de la Balance des paiements</w:t>
      </w:r>
      <w:bookmarkEnd w:id="326"/>
      <w:bookmarkEnd w:id="327"/>
      <w:bookmarkEnd w:id="328"/>
      <w:bookmarkEnd w:id="329"/>
    </w:p>
    <w:p w:rsidR="006429B1" w:rsidRPr="00CA196C" w:rsidRDefault="006429B1" w:rsidP="00B353A1">
      <w:pPr>
        <w:tabs>
          <w:tab w:val="num" w:pos="426"/>
        </w:tabs>
        <w:spacing w:after="0"/>
        <w:contextualSpacing/>
        <w:jc w:val="both"/>
        <w:rPr>
          <w:rFonts w:ascii="Bookman Old Style" w:eastAsia="Times New Roman" w:hAnsi="Bookman Old Style"/>
          <w:bCs/>
          <w:sz w:val="24"/>
          <w:szCs w:val="24"/>
        </w:rPr>
      </w:pPr>
      <w:r w:rsidRPr="00CA196C">
        <w:rPr>
          <w:rFonts w:ascii="Bookman Old Style" w:hAnsi="Bookman Old Style" w:cs="Times New Roman"/>
          <w:bCs/>
          <w:sz w:val="24"/>
          <w:szCs w:val="24"/>
        </w:rPr>
        <w:t xml:space="preserve">Le solde du compte courant de la balance des paiements restera déficitaire sur la période de 2018-2027, avec une réelle amélioration. </w:t>
      </w:r>
      <w:r w:rsidRPr="00CA196C">
        <w:rPr>
          <w:rFonts w:ascii="Bookman Old Style" w:eastAsia="Times New Roman" w:hAnsi="Bookman Old Style"/>
          <w:bCs/>
          <w:sz w:val="24"/>
          <w:szCs w:val="24"/>
        </w:rPr>
        <w:t xml:space="preserve">Il est projeté à 6,9% du PIB en moyenne </w:t>
      </w:r>
      <w:r w:rsidRPr="0020032C">
        <w:rPr>
          <w:rFonts w:ascii="Bookman Old Style" w:eastAsia="Times New Roman" w:hAnsi="Bookman Old Style"/>
          <w:bCs/>
          <w:sz w:val="24"/>
          <w:szCs w:val="24"/>
        </w:rPr>
        <w:t xml:space="preserve">sur la période </w:t>
      </w:r>
      <w:r w:rsidR="0020032C" w:rsidRPr="0020032C">
        <w:rPr>
          <w:rFonts w:ascii="Bookman Old Style" w:eastAsia="Times New Roman" w:hAnsi="Bookman Old Style"/>
          <w:bCs/>
          <w:sz w:val="24"/>
          <w:szCs w:val="24"/>
        </w:rPr>
        <w:t>couverte par le PND</w:t>
      </w:r>
      <w:r w:rsidRPr="00CA196C">
        <w:rPr>
          <w:rFonts w:ascii="Bookman Old Style" w:eastAsia="Times New Roman" w:hAnsi="Bookman Old Style"/>
          <w:bCs/>
          <w:sz w:val="24"/>
          <w:szCs w:val="24"/>
        </w:rPr>
        <w:t xml:space="preserve"> 12,4% du PIB entre 2008 et 2017. </w:t>
      </w:r>
      <w:r w:rsidRPr="00CA196C">
        <w:rPr>
          <w:rFonts w:ascii="Bookman Old Style" w:hAnsi="Bookman Old Style" w:cs="Times New Roman"/>
          <w:bCs/>
          <w:sz w:val="24"/>
          <w:szCs w:val="24"/>
        </w:rPr>
        <w:t>De même, la balance commerciale devrait enregistrer une nette amélioration consécutive essentiellement à la politique de diversification des exportations et surtout à l'exploitation minière</w:t>
      </w:r>
      <w:r w:rsidR="00ED0268">
        <w:rPr>
          <w:rFonts w:ascii="Bookman Old Style" w:hAnsi="Bookman Old Style" w:cs="Times New Roman"/>
          <w:bCs/>
          <w:sz w:val="24"/>
          <w:szCs w:val="24"/>
        </w:rPr>
        <w:t>.</w:t>
      </w:r>
      <w:r w:rsidRPr="00CA196C">
        <w:rPr>
          <w:rFonts w:ascii="Bookman Old Style" w:eastAsia="Times New Roman" w:hAnsi="Bookman Old Style"/>
          <w:bCs/>
          <w:sz w:val="24"/>
          <w:szCs w:val="24"/>
        </w:rPr>
        <w:t xml:space="preserve"> De même, la balance commerciale devrait enregistrer une amélioration, soit un déficit </w:t>
      </w:r>
      <w:r w:rsidRPr="00CA196C">
        <w:rPr>
          <w:rFonts w:ascii="Bookman Old Style" w:eastAsia="Times New Roman" w:hAnsi="Bookman Old Style"/>
          <w:bCs/>
          <w:sz w:val="24"/>
          <w:szCs w:val="24"/>
        </w:rPr>
        <w:lastRenderedPageBreak/>
        <w:t>moyen passant de 17,9% du PIB entre 2008 et 2017 à 8,2% du PIB sur la période de projection.</w:t>
      </w:r>
    </w:p>
    <w:p w:rsidR="006429B1" w:rsidRPr="00CA196C" w:rsidRDefault="006429B1" w:rsidP="00B353A1">
      <w:pPr>
        <w:pStyle w:val="Paragraphedeliste"/>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bCs/>
          <w:sz w:val="24"/>
          <w:szCs w:val="24"/>
        </w:rPr>
        <w:t>Les exportations et les importations devraient enregistrer des hausses mais avec des rythmes différents en faveur des premières. Les exportations devraient être diversifiées et ne plus dépendre essentielle</w:t>
      </w:r>
      <w:r w:rsidR="002A005A">
        <w:rPr>
          <w:rFonts w:ascii="Bookman Old Style" w:hAnsi="Bookman Old Style" w:cs="Times New Roman"/>
          <w:bCs/>
          <w:sz w:val="24"/>
          <w:szCs w:val="24"/>
        </w:rPr>
        <w:t>ment des produits primaires du c</w:t>
      </w:r>
      <w:r w:rsidRPr="00CA196C">
        <w:rPr>
          <w:rFonts w:ascii="Bookman Old Style" w:hAnsi="Bookman Old Style" w:cs="Times New Roman"/>
          <w:bCs/>
          <w:sz w:val="24"/>
          <w:szCs w:val="24"/>
        </w:rPr>
        <w:t>afé et du thé. Les transferts courants publics et privés afficheront une tendance haussière du fait de la mobilisation des fonds pour financer le PND du Burundi 2018-2027.</w:t>
      </w:r>
    </w:p>
    <w:p w:rsidR="006429B1" w:rsidRPr="00CA196C" w:rsidRDefault="006429B1" w:rsidP="00B353A1">
      <w:pPr>
        <w:pStyle w:val="Paragraphedeliste"/>
        <w:spacing w:before="160" w:after="120" w:line="240" w:lineRule="auto"/>
        <w:ind w:left="0"/>
        <w:jc w:val="both"/>
        <w:rPr>
          <w:rFonts w:ascii="Bookman Old Style" w:hAnsi="Bookman Old Style" w:cs="Times New Roman"/>
          <w:bCs/>
          <w:sz w:val="24"/>
          <w:szCs w:val="24"/>
        </w:rPr>
      </w:pPr>
    </w:p>
    <w:p w:rsidR="006429B1" w:rsidRPr="00CA196C" w:rsidRDefault="00B353A1" w:rsidP="00D76FCA">
      <w:pPr>
        <w:pStyle w:val="Sous-titre"/>
        <w:rPr>
          <w:rFonts w:ascii="Bookman Old Style" w:hAnsi="Bookman Old Style"/>
        </w:rPr>
      </w:pPr>
      <w:bookmarkStart w:id="330" w:name="_Toc511076258"/>
      <w:bookmarkStart w:id="331" w:name="_Toc511080961"/>
      <w:bookmarkStart w:id="332" w:name="_Toc511081637"/>
      <w:r w:rsidRPr="00CA196C">
        <w:rPr>
          <w:rFonts w:ascii="Bookman Old Style" w:hAnsi="Bookman Old Style"/>
        </w:rPr>
        <w:t>Graphique</w:t>
      </w:r>
      <w:r w:rsidR="006429B1" w:rsidRPr="00CA196C">
        <w:rPr>
          <w:rFonts w:ascii="Bookman Old Style" w:hAnsi="Bookman Old Style"/>
        </w:rPr>
        <w:t xml:space="preserve"> </w:t>
      </w:r>
      <w:r w:rsidRPr="00CA196C">
        <w:rPr>
          <w:rFonts w:ascii="Bookman Old Style" w:hAnsi="Bookman Old Style"/>
        </w:rPr>
        <w:t>7</w:t>
      </w:r>
      <w:r w:rsidR="006429B1" w:rsidRPr="00CA196C">
        <w:rPr>
          <w:rFonts w:ascii="Bookman Old Style" w:hAnsi="Bookman Old Style"/>
        </w:rPr>
        <w:t>. Pro</w:t>
      </w:r>
      <w:r w:rsidR="002A005A">
        <w:rPr>
          <w:rFonts w:ascii="Bookman Old Style" w:hAnsi="Bookman Old Style"/>
        </w:rPr>
        <w:t>jections des composantes de la b</w:t>
      </w:r>
      <w:r w:rsidR="006429B1" w:rsidRPr="00CA196C">
        <w:rPr>
          <w:rFonts w:ascii="Bookman Old Style" w:hAnsi="Bookman Old Style"/>
        </w:rPr>
        <w:t>alance des paiements</w:t>
      </w:r>
      <w:bookmarkEnd w:id="330"/>
      <w:bookmarkEnd w:id="331"/>
      <w:bookmarkEnd w:id="332"/>
    </w:p>
    <w:p w:rsidR="006429B1" w:rsidRPr="00CA196C" w:rsidRDefault="006429B1" w:rsidP="006429B1">
      <w:p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noProof/>
          <w:sz w:val="24"/>
          <w:szCs w:val="24"/>
          <w:lang w:eastAsia="fr-FR"/>
        </w:rPr>
        <w:drawing>
          <wp:inline distT="0" distB="0" distL="0" distR="0">
            <wp:extent cx="2943225" cy="2028687"/>
            <wp:effectExtent l="0" t="0" r="0" b="0"/>
            <wp:docPr id="19"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7275" cy="2031478"/>
                    </a:xfrm>
                    <a:prstGeom prst="rect">
                      <a:avLst/>
                    </a:prstGeom>
                    <a:noFill/>
                  </pic:spPr>
                </pic:pic>
              </a:graphicData>
            </a:graphic>
          </wp:inline>
        </w:drawing>
      </w:r>
      <w:r w:rsidRPr="00CA196C">
        <w:rPr>
          <w:rFonts w:ascii="Bookman Old Style" w:hAnsi="Bookman Old Style" w:cs="Times New Roman"/>
          <w:bCs/>
          <w:noProof/>
          <w:sz w:val="24"/>
          <w:szCs w:val="24"/>
          <w:lang w:eastAsia="fr-FR"/>
        </w:rPr>
        <w:drawing>
          <wp:inline distT="0" distB="0" distL="0" distR="0">
            <wp:extent cx="2752725" cy="2015807"/>
            <wp:effectExtent l="0" t="0" r="0" b="3810"/>
            <wp:docPr id="20"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1647" cy="2022341"/>
                    </a:xfrm>
                    <a:prstGeom prst="rect">
                      <a:avLst/>
                    </a:prstGeom>
                    <a:noFill/>
                  </pic:spPr>
                </pic:pic>
              </a:graphicData>
            </a:graphic>
          </wp:inline>
        </w:drawing>
      </w:r>
    </w:p>
    <w:p w:rsidR="006429B1" w:rsidRPr="00CA196C" w:rsidRDefault="006429B1" w:rsidP="006429B1">
      <w:p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889849" cy="2449902"/>
            <wp:effectExtent l="0" t="0" r="6350" b="7620"/>
            <wp:docPr id="2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4127" cy="2453529"/>
                    </a:xfrm>
                    <a:prstGeom prst="rect">
                      <a:avLst/>
                    </a:prstGeom>
                    <a:noFill/>
                  </pic:spPr>
                </pic:pic>
              </a:graphicData>
            </a:graphic>
          </wp:inline>
        </w:drawing>
      </w: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691908" cy="2457450"/>
            <wp:effectExtent l="0" t="0" r="0" b="0"/>
            <wp:docPr id="27"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8747" cy="2472822"/>
                    </a:xfrm>
                    <a:prstGeom prst="rect">
                      <a:avLst/>
                    </a:prstGeom>
                    <a:noFill/>
                  </pic:spPr>
                </pic:pic>
              </a:graphicData>
            </a:graphic>
          </wp:inline>
        </w:drawing>
      </w:r>
    </w:p>
    <w:p w:rsidR="006429B1" w:rsidRPr="00CA196C" w:rsidRDefault="006429B1" w:rsidP="00BD2775">
      <w:pPr>
        <w:pStyle w:val="Titre3"/>
        <w:rPr>
          <w:rFonts w:ascii="Bookman Old Style" w:hAnsi="Bookman Old Style"/>
        </w:rPr>
      </w:pPr>
      <w:bookmarkStart w:id="333" w:name="_Toc511076192"/>
      <w:bookmarkStart w:id="334" w:name="_Toc511080962"/>
      <w:bookmarkStart w:id="335" w:name="_Toc511081394"/>
      <w:bookmarkStart w:id="336" w:name="_Toc511081638"/>
      <w:r w:rsidRPr="00CA196C">
        <w:rPr>
          <w:rFonts w:ascii="Bookman Old Style" w:hAnsi="Bookman Old Style"/>
        </w:rPr>
        <w:t>5.2.4.  Prévisions du secteur monétaire</w:t>
      </w:r>
      <w:bookmarkEnd w:id="333"/>
      <w:bookmarkEnd w:id="334"/>
      <w:bookmarkEnd w:id="335"/>
      <w:bookmarkEnd w:id="336"/>
    </w:p>
    <w:p w:rsidR="006429B1" w:rsidRPr="00CA196C" w:rsidRDefault="006429B1" w:rsidP="00B353A1">
      <w:pPr>
        <w:pStyle w:val="Paragraphedeliste"/>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Dans l'objectif de maîtriser les pressions inflationnistes, la croissance de la masse monétaire (M2) devrait rester compatible avec celle de la production intérieure sur la période 2018-2027. Le niveau des réserves internationales devraient nettement s'améliorer suite à l'augmentation des exportations et à la coopération financière internationale. Ainsi, les réserves internationales en mois </w:t>
      </w:r>
      <w:r w:rsidR="006B1F7D">
        <w:rPr>
          <w:rFonts w:ascii="Bookman Old Style" w:hAnsi="Bookman Old Style" w:cs="Times New Roman"/>
          <w:bCs/>
          <w:sz w:val="24"/>
          <w:szCs w:val="24"/>
        </w:rPr>
        <w:t>d'importation devraient être au-</w:t>
      </w:r>
      <w:r w:rsidRPr="00CA196C">
        <w:rPr>
          <w:rFonts w:ascii="Bookman Old Style" w:hAnsi="Bookman Old Style" w:cs="Times New Roman"/>
          <w:bCs/>
          <w:sz w:val="24"/>
          <w:szCs w:val="24"/>
        </w:rPr>
        <w:t xml:space="preserve">dessus de la norme de </w:t>
      </w:r>
      <w:r w:rsidR="00040305">
        <w:rPr>
          <w:rFonts w:ascii="Bookman Old Style" w:hAnsi="Bookman Old Style" w:cs="Times New Roman"/>
          <w:bCs/>
          <w:sz w:val="24"/>
          <w:szCs w:val="24"/>
        </w:rPr>
        <w:t>la Communauté Est Africaine de 4</w:t>
      </w:r>
      <w:r w:rsidRPr="00CA196C">
        <w:rPr>
          <w:rFonts w:ascii="Bookman Old Style" w:hAnsi="Bookman Old Style" w:cs="Times New Roman"/>
          <w:bCs/>
          <w:sz w:val="24"/>
          <w:szCs w:val="24"/>
        </w:rPr>
        <w:t xml:space="preserve"> mois. </w:t>
      </w:r>
    </w:p>
    <w:p w:rsidR="006429B1" w:rsidRPr="00CA196C" w:rsidRDefault="006429B1" w:rsidP="00B353A1">
      <w:pPr>
        <w:pStyle w:val="Paragraphedeliste"/>
        <w:spacing w:before="160" w:after="120" w:line="240" w:lineRule="auto"/>
        <w:ind w:left="0"/>
        <w:jc w:val="both"/>
        <w:rPr>
          <w:rFonts w:ascii="Bookman Old Style" w:hAnsi="Bookman Old Style" w:cs="Times New Roman"/>
          <w:bCs/>
          <w:sz w:val="24"/>
          <w:szCs w:val="24"/>
        </w:rPr>
      </w:pPr>
    </w:p>
    <w:p w:rsidR="006429B1" w:rsidRPr="00CA196C" w:rsidRDefault="006429B1" w:rsidP="00B353A1">
      <w:pPr>
        <w:pStyle w:val="Paragraphedeliste"/>
        <w:spacing w:before="160" w:after="120" w:line="240" w:lineRule="auto"/>
        <w:ind w:left="0"/>
        <w:jc w:val="both"/>
        <w:rPr>
          <w:rFonts w:ascii="Bookman Old Style" w:hAnsi="Bookman Old Style" w:cs="Times New Roman"/>
          <w:bCs/>
          <w:sz w:val="24"/>
          <w:szCs w:val="24"/>
        </w:rPr>
      </w:pPr>
      <w:r w:rsidRPr="00CA196C">
        <w:rPr>
          <w:rFonts w:ascii="Bookman Old Style" w:hAnsi="Bookman Old Style" w:cs="Times New Roman"/>
          <w:bCs/>
          <w:sz w:val="24"/>
          <w:szCs w:val="24"/>
        </w:rPr>
        <w:lastRenderedPageBreak/>
        <w:t>L’évolution du taux de change continuera à dépendre de la politique de marché aux enchères des devises et l’alignement à un seul taux de change demeurera l’objectif recherché.</w:t>
      </w:r>
    </w:p>
    <w:p w:rsidR="006429B1" w:rsidRPr="00CA196C" w:rsidRDefault="006429B1" w:rsidP="006429B1">
      <w:pPr>
        <w:pStyle w:val="Paragraphedeliste"/>
        <w:spacing w:before="160" w:after="120" w:line="240" w:lineRule="auto"/>
        <w:ind w:left="360"/>
        <w:jc w:val="both"/>
        <w:rPr>
          <w:rFonts w:ascii="Bookman Old Style" w:hAnsi="Bookman Old Style" w:cs="Times New Roman"/>
          <w:b/>
          <w:bCs/>
          <w:sz w:val="24"/>
          <w:szCs w:val="24"/>
        </w:rPr>
      </w:pPr>
    </w:p>
    <w:p w:rsidR="006429B1" w:rsidRPr="00CA196C" w:rsidRDefault="00B353A1" w:rsidP="00D76FCA">
      <w:pPr>
        <w:pStyle w:val="Sous-titre"/>
        <w:rPr>
          <w:rFonts w:ascii="Bookman Old Style" w:hAnsi="Bookman Old Style"/>
        </w:rPr>
      </w:pPr>
      <w:bookmarkStart w:id="337" w:name="_Toc511076259"/>
      <w:bookmarkStart w:id="338" w:name="_Toc511080963"/>
      <w:bookmarkStart w:id="339" w:name="_Toc511081639"/>
      <w:r w:rsidRPr="00CA196C">
        <w:rPr>
          <w:rFonts w:ascii="Bookman Old Style" w:hAnsi="Bookman Old Style"/>
        </w:rPr>
        <w:t>Graphique 8</w:t>
      </w:r>
      <w:r w:rsidR="006429B1" w:rsidRPr="00CA196C">
        <w:rPr>
          <w:rFonts w:ascii="Bookman Old Style" w:hAnsi="Bookman Old Style"/>
        </w:rPr>
        <w:t>. Prévisions du secteur monétaire</w:t>
      </w:r>
      <w:bookmarkEnd w:id="337"/>
      <w:bookmarkEnd w:id="338"/>
      <w:bookmarkEnd w:id="339"/>
    </w:p>
    <w:p w:rsidR="006429B1" w:rsidRPr="00CA196C" w:rsidRDefault="006429B1" w:rsidP="006429B1">
      <w:pPr>
        <w:pStyle w:val="Paragraphedeliste"/>
        <w:spacing w:before="160" w:after="120" w:line="240" w:lineRule="auto"/>
        <w:ind w:left="360"/>
        <w:jc w:val="both"/>
        <w:rPr>
          <w:rFonts w:ascii="Bookman Old Style" w:hAnsi="Bookman Old Style" w:cs="Times New Roman"/>
          <w:bCs/>
          <w:sz w:val="24"/>
          <w:szCs w:val="24"/>
        </w:rPr>
      </w:pPr>
    </w:p>
    <w:p w:rsidR="006429B1" w:rsidRPr="00CA196C" w:rsidRDefault="006429B1" w:rsidP="006429B1">
      <w:pPr>
        <w:pStyle w:val="Paragraphedeliste"/>
        <w:spacing w:before="160" w:after="120" w:line="240" w:lineRule="auto"/>
        <w:ind w:left="360"/>
        <w:jc w:val="both"/>
        <w:rPr>
          <w:rFonts w:ascii="Bookman Old Style" w:hAnsi="Bookman Old Style" w:cs="Times New Roman"/>
          <w:bCs/>
          <w:sz w:val="24"/>
          <w:szCs w:val="24"/>
        </w:rPr>
      </w:pPr>
      <w:r w:rsidRPr="00CA196C">
        <w:rPr>
          <w:rFonts w:ascii="Bookman Old Style" w:hAnsi="Bookman Old Style" w:cs="Times New Roman"/>
          <w:bCs/>
          <w:noProof/>
          <w:sz w:val="24"/>
          <w:szCs w:val="24"/>
          <w:lang w:eastAsia="fr-FR"/>
        </w:rPr>
        <w:drawing>
          <wp:inline distT="0" distB="0" distL="0" distR="0">
            <wp:extent cx="2743200" cy="2751826"/>
            <wp:effectExtent l="0" t="0" r="0" b="0"/>
            <wp:docPr id="3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7261" cy="2755900"/>
                    </a:xfrm>
                    <a:prstGeom prst="rect">
                      <a:avLst/>
                    </a:prstGeom>
                    <a:noFill/>
                  </pic:spPr>
                </pic:pic>
              </a:graphicData>
            </a:graphic>
          </wp:inline>
        </w:drawing>
      </w: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596551" cy="2751826"/>
            <wp:effectExtent l="0" t="0" r="0" b="0"/>
            <wp:docPr id="3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0395" cy="2755900"/>
                    </a:xfrm>
                    <a:prstGeom prst="rect">
                      <a:avLst/>
                    </a:prstGeom>
                    <a:noFill/>
                  </pic:spPr>
                </pic:pic>
              </a:graphicData>
            </a:graphic>
          </wp:inline>
        </w:drawing>
      </w:r>
    </w:p>
    <w:p w:rsidR="006429B1" w:rsidRPr="00CA196C" w:rsidRDefault="006429B1" w:rsidP="006429B1">
      <w:pPr>
        <w:pStyle w:val="Paragraphedeliste"/>
        <w:spacing w:before="160" w:after="120" w:line="240" w:lineRule="auto"/>
        <w:ind w:left="360"/>
        <w:jc w:val="both"/>
        <w:rPr>
          <w:rFonts w:ascii="Bookman Old Style" w:hAnsi="Bookman Old Style" w:cs="Times New Roman"/>
          <w:bCs/>
          <w:sz w:val="24"/>
          <w:szCs w:val="24"/>
        </w:rPr>
      </w:pPr>
      <w:r w:rsidRPr="00CA196C">
        <w:rPr>
          <w:rFonts w:ascii="Bookman Old Style" w:hAnsi="Bookman Old Style" w:cs="Times New Roman"/>
          <w:bCs/>
          <w:noProof/>
          <w:sz w:val="24"/>
          <w:szCs w:val="24"/>
          <w:lang w:eastAsia="fr-FR"/>
        </w:rPr>
        <w:drawing>
          <wp:inline distT="0" distB="0" distL="0" distR="0">
            <wp:extent cx="2743200" cy="2562046"/>
            <wp:effectExtent l="0" t="0" r="0" b="0"/>
            <wp:docPr id="3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8151" cy="2566670"/>
                    </a:xfrm>
                    <a:prstGeom prst="rect">
                      <a:avLst/>
                    </a:prstGeom>
                    <a:noFill/>
                  </pic:spPr>
                </pic:pic>
              </a:graphicData>
            </a:graphic>
          </wp:inline>
        </w:drawing>
      </w:r>
      <w:r w:rsidRPr="00CA196C">
        <w:rPr>
          <w:rFonts w:ascii="Bookman Old Style" w:hAnsi="Bookman Old Style" w:cs="Times New Roman"/>
          <w:bCs/>
          <w:sz w:val="24"/>
          <w:szCs w:val="24"/>
        </w:rPr>
        <w:t xml:space="preserve"> </w:t>
      </w:r>
      <w:r w:rsidRPr="00CA196C">
        <w:rPr>
          <w:rFonts w:ascii="Bookman Old Style" w:hAnsi="Bookman Old Style" w:cs="Times New Roman"/>
          <w:bCs/>
          <w:noProof/>
          <w:sz w:val="24"/>
          <w:szCs w:val="24"/>
          <w:lang w:eastAsia="fr-FR"/>
        </w:rPr>
        <w:drawing>
          <wp:inline distT="0" distB="0" distL="0" distR="0">
            <wp:extent cx="2593074" cy="2565779"/>
            <wp:effectExtent l="0" t="0" r="0" b="6350"/>
            <wp:docPr id="3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3074" cy="2565779"/>
                    </a:xfrm>
                    <a:prstGeom prst="rect">
                      <a:avLst/>
                    </a:prstGeom>
                    <a:noFill/>
                  </pic:spPr>
                </pic:pic>
              </a:graphicData>
            </a:graphic>
          </wp:inline>
        </w:drawing>
      </w:r>
    </w:p>
    <w:p w:rsidR="006429B1" w:rsidRPr="00CA196C" w:rsidRDefault="006429B1" w:rsidP="006429B1">
      <w:pPr>
        <w:pStyle w:val="Paragraphedeliste"/>
        <w:spacing w:before="160" w:after="120" w:line="240" w:lineRule="auto"/>
        <w:ind w:left="360"/>
        <w:jc w:val="both"/>
        <w:rPr>
          <w:rFonts w:ascii="Bookman Old Style" w:hAnsi="Bookman Old Style" w:cs="Times New Roman"/>
          <w:bCs/>
          <w:sz w:val="24"/>
          <w:szCs w:val="24"/>
        </w:rPr>
      </w:pPr>
    </w:p>
    <w:p w:rsidR="006429B1" w:rsidRPr="00CA196C" w:rsidRDefault="0039336E" w:rsidP="00ED27D9">
      <w:pPr>
        <w:pStyle w:val="Titre2"/>
      </w:pPr>
      <w:bookmarkStart w:id="340" w:name="_Toc499814556"/>
      <w:bookmarkStart w:id="341" w:name="_Toc511080964"/>
      <w:bookmarkStart w:id="342" w:name="_Toc511081640"/>
      <w:r w:rsidRPr="00CA196C">
        <w:t>5.3</w:t>
      </w:r>
      <w:r w:rsidR="006429B1" w:rsidRPr="00CA196C">
        <w:t>. Cadrage budgétaire à moyen terme</w:t>
      </w:r>
      <w:bookmarkEnd w:id="340"/>
      <w:bookmarkEnd w:id="341"/>
      <w:bookmarkEnd w:id="342"/>
      <w:r w:rsidR="006429B1" w:rsidRPr="00CA196C">
        <w:t xml:space="preserve"> </w:t>
      </w:r>
    </w:p>
    <w:p w:rsidR="006429B1" w:rsidRPr="00CA196C" w:rsidRDefault="006429B1" w:rsidP="006429B1">
      <w:pPr>
        <w:pStyle w:val="Paragraphedeliste"/>
        <w:numPr>
          <w:ilvl w:val="0"/>
          <w:numId w:val="5"/>
        </w:numPr>
        <w:spacing w:before="160" w:after="120" w:line="240" w:lineRule="auto"/>
        <w:ind w:left="502"/>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L’ambition affichée par le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d’accélérer la croissance afin d’améliorer le bien-être des populations fait face à un défi majeur: celui d’améliorer la qualité de la dépense et d’accroître l’efficacité de la gestion publique. Dans cette optique, les efforts porteront sur un meilleur ciblage des actions et une meilleure affectation des ressources budgétaires tant au  niveau central que sectoriel :</w:t>
      </w:r>
    </w:p>
    <w:p w:rsidR="006429B1" w:rsidRPr="00CA196C" w:rsidRDefault="006429B1" w:rsidP="006429B1">
      <w:pPr>
        <w:pStyle w:val="Paragraphedeliste"/>
        <w:spacing w:before="160" w:after="120" w:line="240" w:lineRule="auto"/>
        <w:ind w:left="360"/>
        <w:jc w:val="both"/>
        <w:rPr>
          <w:rFonts w:ascii="Bookman Old Style" w:hAnsi="Bookman Old Style" w:cs="Times New Roman"/>
          <w:bCs/>
          <w:sz w:val="24"/>
          <w:szCs w:val="24"/>
        </w:rPr>
      </w:pPr>
    </w:p>
    <w:p w:rsidR="006429B1" w:rsidRPr="00CA196C" w:rsidRDefault="006429B1" w:rsidP="006429B1">
      <w:pPr>
        <w:pStyle w:val="Paragraphedeliste"/>
        <w:numPr>
          <w:ilvl w:val="0"/>
          <w:numId w:val="14"/>
        </w:num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lastRenderedPageBreak/>
        <w:t xml:space="preserve">Au niveau central, les allocations se feront par budgets/programmes et missions assignées aux secteurs prioritaires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et les objectifs poursuivis par le PND. </w:t>
      </w:r>
    </w:p>
    <w:p w:rsidR="006429B1" w:rsidRPr="00CA196C" w:rsidRDefault="006429B1" w:rsidP="006429B1">
      <w:pPr>
        <w:pStyle w:val="Paragraphedeliste"/>
        <w:numPr>
          <w:ilvl w:val="0"/>
          <w:numId w:val="14"/>
        </w:numPr>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Au niveau sectoriel, les répartitions des crédits budgétaires seront guidées par la  nécessité d’apporter des réponses aux urgences du secteur et à la prise en compte des actions prioritaires des secteurs au regard des objectifs du PND relevant de leurs compétences.</w:t>
      </w:r>
    </w:p>
    <w:p w:rsidR="006429B1" w:rsidRPr="00CA196C" w:rsidRDefault="006429B1" w:rsidP="006429B1">
      <w:pPr>
        <w:pStyle w:val="Paragraphedeliste"/>
        <w:spacing w:before="160" w:after="120" w:line="240" w:lineRule="auto"/>
        <w:ind w:left="1080"/>
        <w:jc w:val="both"/>
        <w:rPr>
          <w:rFonts w:ascii="Bookman Old Style" w:hAnsi="Bookman Old Style" w:cs="Times New Roman"/>
          <w:bCs/>
          <w:sz w:val="24"/>
          <w:szCs w:val="24"/>
        </w:rPr>
      </w:pPr>
    </w:p>
    <w:p w:rsidR="006429B1" w:rsidRPr="00CA196C" w:rsidRDefault="006429B1" w:rsidP="006429B1">
      <w:pPr>
        <w:pStyle w:val="Paragraphedeliste"/>
        <w:numPr>
          <w:ilvl w:val="0"/>
          <w:numId w:val="5"/>
        </w:numPr>
        <w:spacing w:before="160" w:after="120" w:line="240" w:lineRule="auto"/>
        <w:ind w:left="502"/>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Les ressources allouées sont celles dérivées du cadre macroéconomique. Les allocations visent à concilier deux préoccupations majeures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(i) maintenir un cadre macroéconomique stable par la poursuite rigoureuse du Programme du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et (ii) assurer une croissance soutenue et durable des dépenses publiques. Ainsi, une attention accrue sera accordée aux secteurs productifs qui constituent les leviers de la croissance au développement des infrastructures, aux secteurs sociaux, etc.</w:t>
      </w:r>
      <w:r w:rsidRPr="00CA196C">
        <w:rPr>
          <w:rFonts w:ascii="Bookman Old Style" w:hAnsi="Bookman Old Style" w:cs="Times New Roman"/>
          <w:bCs/>
          <w:sz w:val="24"/>
          <w:szCs w:val="24"/>
        </w:rPr>
        <w:br w:type="page"/>
      </w: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6429B1" w:rsidRPr="00CA196C" w:rsidRDefault="006429B1" w:rsidP="006429B1">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E92676">
      <w:pPr>
        <w:spacing w:before="160" w:after="120" w:line="240" w:lineRule="auto"/>
        <w:jc w:val="both"/>
        <w:rPr>
          <w:rFonts w:ascii="Bookman Old Style" w:hAnsi="Bookman Old Style" w:cs="Times New Roman"/>
          <w:bCs/>
          <w:sz w:val="24"/>
          <w:szCs w:val="24"/>
        </w:rPr>
      </w:pPr>
    </w:p>
    <w:p w:rsidR="00DE3A23" w:rsidRPr="00CA196C" w:rsidRDefault="00DE3A23" w:rsidP="005D43FC">
      <w:pPr>
        <w:pStyle w:val="Titre1"/>
      </w:pPr>
      <w:bookmarkStart w:id="343" w:name="_Toc511080965"/>
      <w:bookmarkStart w:id="344" w:name="_Toc511081641"/>
      <w:r w:rsidRPr="00CA196C">
        <w:t>VI. DISPOSITIF DE MISE EN ŒUVRE ET DU SUIVI  EVALUATION</w:t>
      </w:r>
      <w:bookmarkEnd w:id="282"/>
      <w:bookmarkEnd w:id="343"/>
      <w:bookmarkEnd w:id="344"/>
    </w:p>
    <w:p w:rsidR="00DE3A23" w:rsidRPr="00CA196C" w:rsidRDefault="00DE3A23" w:rsidP="00ED27D9">
      <w:pPr>
        <w:pStyle w:val="Titre2"/>
      </w:pPr>
      <w:r w:rsidRPr="00CA196C">
        <w:rPr>
          <w:sz w:val="24"/>
        </w:rPr>
        <w:br w:type="page"/>
      </w:r>
      <w:bookmarkStart w:id="345" w:name="_Toc511080966"/>
      <w:bookmarkStart w:id="346" w:name="_Toc511081642"/>
      <w:r w:rsidR="00A850C6" w:rsidRPr="00CA196C">
        <w:lastRenderedPageBreak/>
        <w:t>6.</w:t>
      </w:r>
      <w:r w:rsidRPr="00CA196C">
        <w:t>1. Cadre institutionnel de coordination de la mise en œuvre du PND</w:t>
      </w:r>
      <w:bookmarkEnd w:id="345"/>
      <w:bookmarkEnd w:id="346"/>
    </w:p>
    <w:p w:rsidR="004D2CD0" w:rsidRPr="00CA196C" w:rsidRDefault="004D2CD0" w:rsidP="004D2CD0">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Le dispositif de mise en œuvre et de suivi-évaluation est un cadre qui permettra au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et à tous ses partenaires </w:t>
      </w:r>
      <w:r w:rsidR="00FD0739" w:rsidRPr="00FD0739">
        <w:rPr>
          <w:rFonts w:ascii="Bookman Old Style" w:hAnsi="Bookman Old Style" w:cs="Times New Roman"/>
          <w:sz w:val="24"/>
          <w:szCs w:val="24"/>
        </w:rPr>
        <w:t>de mettre</w:t>
      </w:r>
      <w:r w:rsidRPr="00FD0739">
        <w:rPr>
          <w:rFonts w:ascii="Bookman Old Style" w:hAnsi="Bookman Old Style" w:cs="Times New Roman"/>
          <w:sz w:val="24"/>
          <w:szCs w:val="24"/>
        </w:rPr>
        <w:t xml:space="preserve"> en œuvre </w:t>
      </w:r>
      <w:r w:rsidR="00FD0739" w:rsidRPr="00FD0739">
        <w:rPr>
          <w:rFonts w:ascii="Bookman Old Style" w:hAnsi="Bookman Old Style" w:cs="Times New Roman"/>
          <w:sz w:val="24"/>
          <w:szCs w:val="24"/>
        </w:rPr>
        <w:t>le</w:t>
      </w:r>
      <w:r w:rsidRPr="00FD0739">
        <w:rPr>
          <w:rFonts w:ascii="Bookman Old Style" w:hAnsi="Bookman Old Style" w:cs="Times New Roman"/>
          <w:sz w:val="24"/>
          <w:szCs w:val="24"/>
        </w:rPr>
        <w:t xml:space="preserve"> Plan</w:t>
      </w:r>
      <w:r w:rsidRPr="00CA196C">
        <w:rPr>
          <w:rFonts w:ascii="Bookman Old Style" w:hAnsi="Bookman Old Style" w:cs="Times New Roman"/>
          <w:sz w:val="24"/>
          <w:szCs w:val="24"/>
        </w:rPr>
        <w:t xml:space="preserve"> et d’en apprécier les résultats obtenus en temps opportun. Le cas échéant, il permet de procéder aux redressements, en cours de mise en œuvre, si l’évolution des indicateurs n’est pas celle souhaitée. Pour ce faire, un cadre institutionnel adapté de coordination, de suivi de mise en œuvre et d’évaluation du PND est indispensable.</w:t>
      </w:r>
    </w:p>
    <w:p w:rsidR="004D2CD0" w:rsidRPr="00CA196C" w:rsidRDefault="004D2CD0" w:rsidP="004D2CD0">
      <w:pPr>
        <w:pStyle w:val="Paragraphedeliste"/>
        <w:autoSpaceDE w:val="0"/>
        <w:autoSpaceDN w:val="0"/>
        <w:adjustRightInd w:val="0"/>
        <w:spacing w:before="160" w:after="120" w:line="240" w:lineRule="auto"/>
        <w:ind w:left="360"/>
        <w:jc w:val="both"/>
        <w:rPr>
          <w:rFonts w:ascii="Bookman Old Style" w:hAnsi="Bookman Old Style" w:cs="Times New Roman"/>
          <w:sz w:val="24"/>
          <w:szCs w:val="24"/>
        </w:rPr>
      </w:pPr>
    </w:p>
    <w:p w:rsidR="004D2CD0" w:rsidRPr="00CA196C" w:rsidRDefault="00DE3A23" w:rsidP="00E92676">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bCs/>
          <w:sz w:val="24"/>
          <w:szCs w:val="24"/>
        </w:rPr>
        <w:t>L’atteinte des objectifs du PND Burundi 2018-2027 est conditionnée par une capacité sans conteste dans la formulation et l’</w:t>
      </w:r>
      <w:r w:rsidRPr="00CA196C">
        <w:rPr>
          <w:rFonts w:ascii="Bookman Old Style" w:hAnsi="Bookman Old Style" w:cs="Times New Roman"/>
          <w:sz w:val="24"/>
          <w:szCs w:val="24"/>
        </w:rPr>
        <w:t xml:space="preserve">exécution des programmes et projets et des réformes indispensables. Cela appelle à (i) </w:t>
      </w:r>
      <w:r w:rsidR="004D2CD0" w:rsidRPr="00CA196C">
        <w:rPr>
          <w:rFonts w:ascii="Bookman Old Style" w:hAnsi="Bookman Old Style" w:cs="Times New Roman"/>
          <w:sz w:val="24"/>
          <w:szCs w:val="24"/>
        </w:rPr>
        <w:t xml:space="preserve">un leadership éclairé, </w:t>
      </w:r>
      <w:r w:rsidRPr="00CA196C">
        <w:rPr>
          <w:rFonts w:ascii="Bookman Old Style" w:hAnsi="Bookman Old Style" w:cs="Times New Roman"/>
          <w:sz w:val="24"/>
          <w:szCs w:val="24"/>
        </w:rPr>
        <w:t xml:space="preserve">(ii) mettre en place un cadre de mise </w:t>
      </w:r>
      <w:r w:rsidR="004D2CD0" w:rsidRPr="00CA196C">
        <w:rPr>
          <w:rFonts w:ascii="Bookman Old Style" w:hAnsi="Bookman Old Style" w:cs="Times New Roman"/>
          <w:sz w:val="24"/>
          <w:szCs w:val="24"/>
        </w:rPr>
        <w:t xml:space="preserve">en œuvre et de suivi rapprochés, </w:t>
      </w:r>
      <w:r w:rsidRPr="00CA196C">
        <w:rPr>
          <w:rFonts w:ascii="Bookman Old Style" w:hAnsi="Bookman Old Style" w:cs="Times New Roman"/>
          <w:sz w:val="24"/>
          <w:szCs w:val="24"/>
        </w:rPr>
        <w:t>(iii) renforcer l’Administration publique en ressources humaines qualifiées et mo</w:t>
      </w:r>
      <w:r w:rsidR="004D2CD0" w:rsidRPr="00CA196C">
        <w:rPr>
          <w:rFonts w:ascii="Bookman Old Style" w:hAnsi="Bookman Old Style" w:cs="Times New Roman"/>
          <w:sz w:val="24"/>
          <w:szCs w:val="24"/>
        </w:rPr>
        <w:t xml:space="preserve">tivées et en moyens financiers, </w:t>
      </w:r>
      <w:r w:rsidRPr="00CA196C">
        <w:rPr>
          <w:rFonts w:ascii="Bookman Old Style" w:hAnsi="Bookman Old Style" w:cs="Times New Roman"/>
          <w:sz w:val="24"/>
          <w:szCs w:val="24"/>
        </w:rPr>
        <w:t>(i</w:t>
      </w:r>
      <w:r w:rsidR="004D2CD0" w:rsidRPr="00CA196C">
        <w:rPr>
          <w:rFonts w:ascii="Bookman Old Style" w:hAnsi="Bookman Old Style" w:cs="Times New Roman"/>
          <w:sz w:val="24"/>
          <w:szCs w:val="24"/>
        </w:rPr>
        <w:t>v) instaurer une culture de performance, de transparence et d’</w:t>
      </w:r>
      <w:r w:rsidRPr="00CA196C">
        <w:rPr>
          <w:rFonts w:ascii="Bookman Old Style" w:hAnsi="Bookman Old Style" w:cs="Times New Roman"/>
          <w:sz w:val="24"/>
          <w:szCs w:val="24"/>
        </w:rPr>
        <w:t xml:space="preserve">évaluation, une gestion axée sur les résultats et l’obligation de rendre compte et (v) l’appropriation par toutes les couches de la société et l’exercice d’un contrôle citoyen. </w:t>
      </w:r>
      <w:r w:rsidR="004D2CD0" w:rsidRPr="00CA196C">
        <w:rPr>
          <w:rFonts w:ascii="Bookman Old Style" w:hAnsi="Bookman Old Style" w:cs="Times New Roman"/>
          <w:sz w:val="24"/>
          <w:szCs w:val="24"/>
        </w:rPr>
        <w:t xml:space="preserve"> </w:t>
      </w:r>
    </w:p>
    <w:p w:rsidR="004D2CD0" w:rsidRPr="00CA196C" w:rsidRDefault="004D2CD0" w:rsidP="004D2CD0">
      <w:pPr>
        <w:pStyle w:val="Paragraphedeliste"/>
        <w:rPr>
          <w:rFonts w:ascii="Bookman Old Style" w:hAnsi="Bookman Old Style" w:cs="Times New Roman"/>
          <w:sz w:val="24"/>
          <w:szCs w:val="24"/>
        </w:rPr>
      </w:pPr>
    </w:p>
    <w:p w:rsidR="00822087" w:rsidRPr="00822087" w:rsidRDefault="00DE3A23" w:rsidP="00822087">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822087">
        <w:rPr>
          <w:rFonts w:ascii="Bookman Old Style" w:hAnsi="Bookman Old Style" w:cs="Times New Roman"/>
          <w:sz w:val="24"/>
          <w:szCs w:val="24"/>
        </w:rPr>
        <w:t xml:space="preserve">Ainsi, le cadre institutionnel de coordination de la mise en œuvre du PND Burundi 2018-2027 sera constitué par </w:t>
      </w:r>
      <w:r w:rsidR="009F58BC" w:rsidRPr="00822087">
        <w:rPr>
          <w:rFonts w:ascii="Bookman Old Style" w:hAnsi="Bookman Old Style" w:cs="Times New Roman"/>
          <w:sz w:val="24"/>
          <w:szCs w:val="24"/>
        </w:rPr>
        <w:t>trois</w:t>
      </w:r>
      <w:r w:rsidRPr="00822087">
        <w:rPr>
          <w:rFonts w:ascii="Bookman Old Style" w:hAnsi="Bookman Old Style" w:cs="Times New Roman"/>
          <w:sz w:val="24"/>
          <w:szCs w:val="24"/>
        </w:rPr>
        <w:t xml:space="preserve"> organes:</w:t>
      </w:r>
      <w:r w:rsidR="009F58BC" w:rsidRPr="00822087">
        <w:rPr>
          <w:rFonts w:ascii="Bookman Old Style" w:hAnsi="Bookman Old Style" w:cs="Times New Roman"/>
          <w:sz w:val="24"/>
          <w:szCs w:val="24"/>
        </w:rPr>
        <w:t xml:space="preserve"> </w:t>
      </w:r>
      <w:r w:rsidR="00822087" w:rsidRPr="00822087">
        <w:rPr>
          <w:rFonts w:ascii="Bookman Old Style" w:hAnsi="Bookman Old Style" w:cs="Times New Roman"/>
          <w:sz w:val="24"/>
          <w:szCs w:val="24"/>
        </w:rPr>
        <w:t>(i) L’Autorité Nationale de la Coordination des Politiques et Programmes de développement</w:t>
      </w:r>
      <w:r w:rsidR="00822087" w:rsidRPr="00822087">
        <w:rPr>
          <w:rFonts w:ascii="Bookman Old Style" w:hAnsi="Bookman Old Style" w:cs="Times New Roman"/>
          <w:bCs/>
          <w:sz w:val="24"/>
          <w:szCs w:val="24"/>
        </w:rPr>
        <w:t xml:space="preserve">, </w:t>
      </w:r>
      <w:r w:rsidR="00822087" w:rsidRPr="00822087">
        <w:rPr>
          <w:rFonts w:ascii="Bookman Old Style" w:hAnsi="Bookman Old Style" w:cs="Times New Roman"/>
          <w:sz w:val="24"/>
          <w:szCs w:val="24"/>
        </w:rPr>
        <w:t>(iii) les Ministères et structures techniques opérationnels de mise en œuvre et de suivi sectoriel et local. Ces organes réaliseront leurs missions en collaboration avec les différents partenaires au développement intervenant dans différents secteurs de la vie nationale. Les responsabilités de ces organes sont:</w:t>
      </w:r>
    </w:p>
    <w:p w:rsidR="00BA0A58" w:rsidRPr="00822087" w:rsidRDefault="00BA0A58" w:rsidP="00822087">
      <w:pPr>
        <w:pStyle w:val="Paragraphedeliste"/>
        <w:autoSpaceDE w:val="0"/>
        <w:autoSpaceDN w:val="0"/>
        <w:adjustRightInd w:val="0"/>
        <w:spacing w:before="160" w:after="120" w:line="240" w:lineRule="auto"/>
        <w:ind w:left="360"/>
        <w:jc w:val="both"/>
        <w:rPr>
          <w:rFonts w:ascii="Bookman Old Style" w:hAnsi="Bookman Old Style" w:cs="Times New Roman"/>
          <w:sz w:val="24"/>
          <w:szCs w:val="24"/>
        </w:rPr>
      </w:pPr>
    </w:p>
    <w:p w:rsidR="00822087" w:rsidRPr="00822087" w:rsidRDefault="00822087" w:rsidP="00822087">
      <w:pPr>
        <w:numPr>
          <w:ilvl w:val="0"/>
          <w:numId w:val="38"/>
        </w:numPr>
        <w:spacing w:before="160" w:after="120" w:line="240" w:lineRule="auto"/>
        <w:contextualSpacing/>
        <w:jc w:val="both"/>
        <w:rPr>
          <w:rFonts w:ascii="Bookman Old Style" w:hAnsi="Bookman Old Style"/>
          <w:b/>
          <w:sz w:val="24"/>
          <w:szCs w:val="24"/>
        </w:rPr>
      </w:pPr>
      <w:r w:rsidRPr="00822087">
        <w:rPr>
          <w:rFonts w:ascii="Bookman Old Style" w:hAnsi="Bookman Old Style"/>
          <w:b/>
          <w:sz w:val="24"/>
          <w:szCs w:val="24"/>
        </w:rPr>
        <w:t>L’Autorité Nationale de la Coordination des Politiques et Programmes de développement qui comprend toutes les structures actuelles en charge de la planification</w:t>
      </w:r>
      <w:r w:rsidRPr="00822087">
        <w:rPr>
          <w:rFonts w:ascii="Bookman Old Style" w:hAnsi="Bookman Old Style"/>
          <w:sz w:val="24"/>
          <w:szCs w:val="24"/>
        </w:rPr>
        <w:t>. Cette structure est dotée des services techniques issus des différentes institutions existantes en charge de la planification et de la programmation et du suivi évaluation ainsi que la mobilisation de l’aide. Elle a entre autre mission </w:t>
      </w:r>
      <w:r w:rsidRPr="00822087">
        <w:rPr>
          <w:rFonts w:ascii="Bookman Old Style" w:hAnsi="Bookman Old Style"/>
          <w:b/>
          <w:sz w:val="24"/>
          <w:szCs w:val="24"/>
        </w:rPr>
        <w:t>:</w:t>
      </w:r>
    </w:p>
    <w:p w:rsidR="00822087" w:rsidRPr="00822087" w:rsidRDefault="00822087" w:rsidP="00822087">
      <w:pPr>
        <w:numPr>
          <w:ilvl w:val="0"/>
          <w:numId w:val="39"/>
        </w:numPr>
        <w:spacing w:before="160" w:after="120" w:line="240" w:lineRule="auto"/>
        <w:contextualSpacing/>
        <w:jc w:val="both"/>
        <w:rPr>
          <w:rFonts w:ascii="Bookman Old Style" w:hAnsi="Bookman Old Style"/>
          <w:b/>
          <w:sz w:val="24"/>
          <w:szCs w:val="24"/>
        </w:rPr>
      </w:pPr>
      <w:r w:rsidRPr="00822087">
        <w:rPr>
          <w:rFonts w:ascii="Bookman Old Style" w:hAnsi="Bookman Old Style"/>
          <w:sz w:val="24"/>
          <w:szCs w:val="24"/>
        </w:rPr>
        <w:t xml:space="preserve"> la coordination de mise en du PND Burundi 2018-2027 et son Plan d’Actions Prioritaires (PAP) ainsi que toutes les réformes nécessaires ; </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L’examen de l’état d’avancement de la mise en œuvre du PND et veille à la revue périodique de la mise à jour du PAP et, au besoin, formule des réorientations à apporter au PND Burundi 2018-2027</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veille également à la mise en œuvre cohérente des orientations stratégiques définies dans le PND et à l’opérationnalisation correcte du PAP ainsi qu’à son actualisation ;</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lastRenderedPageBreak/>
        <w:t xml:space="preserve"> l’élaboration du cadre macroéconomique, du Cadre des Dépenses à Moyen terme « CDMT » central et sectoriel), de la programmation (Programme d’Investissements Publics « PI P » et du suivi-évaluation conjointe de la mise en œuvre du PND Burundi 2018-2027 (programmes et projets phares et mesures clés). Cette structure appui les ministères et structures opérationnels à exécuter le PND Burundi 2018-2027.</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 xml:space="preserve"> La production des tableaux de bord sur l’état d’avancement du Plan. Son rôle est d’aider au montage en amont des programmes et projets en étroite collaboration avec les ministères concernés et facilite la mise en place de partenariats industriels et financiers dans le cadre des projets phares ;</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Apporte un appui à la recherche d’investisseurs, la structuration de financements et la négociation de contrats dans le cadre des programmes et projets stratégiques ;</w:t>
      </w:r>
    </w:p>
    <w:p w:rsidR="00822087" w:rsidRPr="00822087" w:rsidRDefault="00822087" w:rsidP="00822087">
      <w:pPr>
        <w:numPr>
          <w:ilvl w:val="0"/>
          <w:numId w:val="39"/>
        </w:numPr>
        <w:autoSpaceDE w:val="0"/>
        <w:autoSpaceDN w:val="0"/>
        <w:adjustRightInd w:val="0"/>
        <w:spacing w:before="160" w:after="120" w:line="240" w:lineRule="auto"/>
        <w:contextualSpacing/>
        <w:jc w:val="both"/>
        <w:rPr>
          <w:rFonts w:ascii="Bookman Old Style" w:hAnsi="Bookman Old Style"/>
          <w:sz w:val="24"/>
          <w:szCs w:val="24"/>
        </w:rPr>
      </w:pPr>
      <w:r w:rsidRPr="00822087">
        <w:rPr>
          <w:rFonts w:ascii="Bookman Old Style" w:hAnsi="Bookman Old Style"/>
          <w:sz w:val="24"/>
          <w:szCs w:val="24"/>
        </w:rPr>
        <w:t>Peut héberge certains projets complexes à plus de deux composantes partenariales et multisectorielles ;</w:t>
      </w:r>
    </w:p>
    <w:p w:rsidR="00822087" w:rsidRPr="00822087" w:rsidRDefault="00822087" w:rsidP="00822087">
      <w:pPr>
        <w:autoSpaceDE w:val="0"/>
        <w:autoSpaceDN w:val="0"/>
        <w:adjustRightInd w:val="0"/>
        <w:spacing w:before="160" w:after="120" w:line="240" w:lineRule="auto"/>
        <w:jc w:val="both"/>
        <w:rPr>
          <w:rFonts w:ascii="Bookman Old Style" w:eastAsia="Calibri" w:hAnsi="Bookman Old Style" w:cs="Times New Roman"/>
          <w:b/>
          <w:sz w:val="24"/>
          <w:szCs w:val="24"/>
        </w:rPr>
      </w:pPr>
      <w:r w:rsidRPr="00822087">
        <w:rPr>
          <w:rFonts w:ascii="Bookman Old Style" w:eastAsia="Calibri" w:hAnsi="Bookman Old Style" w:cs="Times New Roman"/>
          <w:b/>
          <w:sz w:val="24"/>
          <w:szCs w:val="24"/>
        </w:rPr>
        <w:t>En appui à la coordination et au suivi évaluation de la mise en œuvre du PND Burundi 2018-2027, un Fonds d’appui aux études sera créé. Ce Fonds d’appui est destiné au financement des Etudes des projets, des activités de coordination de la mise en œuvre et du suivi-évaluation du Plan et au renforcement des services de planification et statistiques aux niveaux central, sectoriel et local</w:t>
      </w:r>
      <w:r>
        <w:rPr>
          <w:rFonts w:ascii="Bookman Old Style" w:eastAsia="Calibri" w:hAnsi="Bookman Old Style" w:cs="Times New Roman"/>
          <w:b/>
          <w:sz w:val="24"/>
          <w:szCs w:val="24"/>
        </w:rPr>
        <w:t>.</w:t>
      </w:r>
    </w:p>
    <w:p w:rsidR="00822087" w:rsidRPr="00822087" w:rsidRDefault="00822087" w:rsidP="00822087">
      <w:pPr>
        <w:autoSpaceDE w:val="0"/>
        <w:autoSpaceDN w:val="0"/>
        <w:adjustRightInd w:val="0"/>
        <w:spacing w:before="160" w:after="120" w:line="240" w:lineRule="auto"/>
        <w:jc w:val="both"/>
        <w:rPr>
          <w:rFonts w:ascii="Bookman Old Style" w:eastAsia="Calibri" w:hAnsi="Bookman Old Style" w:cs="Times New Roman"/>
          <w:sz w:val="24"/>
          <w:szCs w:val="24"/>
        </w:rPr>
      </w:pPr>
      <w:r w:rsidRPr="00822087">
        <w:rPr>
          <w:rFonts w:ascii="Bookman Old Style" w:eastAsia="Calibri" w:hAnsi="Bookman Old Style" w:cs="Times New Roman"/>
          <w:sz w:val="24"/>
          <w:szCs w:val="24"/>
        </w:rPr>
        <w:t>La structure dans ses attributions peut également recourir à une expertise externe à chaque fois que de besoin dans le cadre de ses activités.  Elle rend compte au Président de la République ;</w:t>
      </w:r>
    </w:p>
    <w:p w:rsidR="00822087" w:rsidRDefault="00822087" w:rsidP="00822087">
      <w:pPr>
        <w:pStyle w:val="Paragraphedeliste"/>
        <w:numPr>
          <w:ilvl w:val="0"/>
          <w:numId w:val="38"/>
        </w:numPr>
        <w:autoSpaceDE w:val="0"/>
        <w:autoSpaceDN w:val="0"/>
        <w:adjustRightInd w:val="0"/>
        <w:spacing w:before="160" w:after="120" w:line="240" w:lineRule="auto"/>
        <w:jc w:val="both"/>
        <w:rPr>
          <w:rFonts w:ascii="Bookman Old Style" w:hAnsi="Bookman Old Style"/>
          <w:sz w:val="24"/>
          <w:szCs w:val="24"/>
        </w:rPr>
      </w:pPr>
      <w:r>
        <w:rPr>
          <w:rFonts w:ascii="Bookman Old Style" w:hAnsi="Bookman Old Style"/>
          <w:b/>
          <w:sz w:val="24"/>
          <w:szCs w:val="24"/>
        </w:rPr>
        <w:t xml:space="preserve">Les ministères et structures techniques opérationnels de mise en œuvre et de suivi sectoriel et local </w:t>
      </w:r>
      <w:r>
        <w:rPr>
          <w:rFonts w:ascii="Bookman Old Style" w:hAnsi="Bookman Old Style"/>
          <w:sz w:val="24"/>
          <w:szCs w:val="24"/>
        </w:rPr>
        <w:t xml:space="preserve">sont chargés de l’exécution, de la coordination et du suivi des programmes/projets et réformes au niveau interne. </w:t>
      </w:r>
      <w:r>
        <w:rPr>
          <w:rFonts w:ascii="Bookman Old Style" w:hAnsi="Bookman Old Style"/>
          <w:b/>
          <w:bCs/>
          <w:sz w:val="24"/>
          <w:szCs w:val="24"/>
        </w:rPr>
        <w:t xml:space="preserve">Au niveau provincial et communal, </w:t>
      </w:r>
      <w:r>
        <w:rPr>
          <w:rFonts w:ascii="Bookman Old Style" w:hAnsi="Bookman Old Style"/>
          <w:sz w:val="24"/>
          <w:szCs w:val="24"/>
        </w:rPr>
        <w:t xml:space="preserve">des </w:t>
      </w:r>
      <w:r>
        <w:rPr>
          <w:rFonts w:ascii="Bookman Old Style" w:hAnsi="Bookman Old Style"/>
          <w:b/>
          <w:bCs/>
          <w:iCs/>
          <w:sz w:val="24"/>
          <w:szCs w:val="24"/>
        </w:rPr>
        <w:t>comités provinciaux et communaux de suivi-évaluation</w:t>
      </w:r>
      <w:r>
        <w:rPr>
          <w:rFonts w:ascii="Bookman Old Style" w:hAnsi="Bookman Old Style"/>
          <w:b/>
          <w:bCs/>
          <w:i/>
          <w:iCs/>
          <w:sz w:val="24"/>
          <w:szCs w:val="24"/>
        </w:rPr>
        <w:t xml:space="preserve">, </w:t>
      </w:r>
      <w:r>
        <w:rPr>
          <w:rFonts w:ascii="Bookman Old Style" w:hAnsi="Bookman Old Style"/>
          <w:sz w:val="24"/>
          <w:szCs w:val="24"/>
        </w:rPr>
        <w:t>présidés respectivement par les Gouverneurs de province et les administrateurs communaux seront mis en place et renforcés. Ces comités regrouperont l’ensemble des catégories d’acteurs et établiront l’état d’avancement de la mise en œuvre du PND à travers les plans locaux de développement conformément à la vision locale. Chaque comité provincial ou communal prépare un rapport annuel du Plan au niveau de l’entité couverte et fait des suggestions correctives en cas de besoin pour accélérer le processus de mise en œuvre  qu’il adresse au Ministère en charge du développement local. Ce dernier les compile et les partage avec l’Autorité Nationale de la Coordination des Politiques et Programmes de développement</w:t>
      </w:r>
      <w:r>
        <w:rPr>
          <w:rFonts w:ascii="Bookman Old Style" w:hAnsi="Bookman Old Style"/>
          <w:b/>
          <w:sz w:val="24"/>
          <w:szCs w:val="24"/>
        </w:rPr>
        <w:t xml:space="preserve"> </w:t>
      </w:r>
      <w:r>
        <w:rPr>
          <w:rFonts w:ascii="Bookman Old Style" w:hAnsi="Bookman Old Style"/>
          <w:sz w:val="24"/>
          <w:szCs w:val="24"/>
        </w:rPr>
        <w:t>et les autres Ministères Techniques concernés pour la prise de mesures appropriées.</w:t>
      </w:r>
    </w:p>
    <w:p w:rsidR="00BA0A58" w:rsidRDefault="00BA0A58" w:rsidP="00BA0A58">
      <w:pPr>
        <w:pStyle w:val="Paragraphedeliste"/>
        <w:autoSpaceDE w:val="0"/>
        <w:autoSpaceDN w:val="0"/>
        <w:adjustRightInd w:val="0"/>
        <w:spacing w:before="160" w:after="120" w:line="240" w:lineRule="auto"/>
        <w:ind w:left="360"/>
        <w:jc w:val="both"/>
        <w:rPr>
          <w:rFonts w:ascii="Bookman Old Style" w:hAnsi="Bookman Old Style" w:cs="Times New Roman"/>
          <w:sz w:val="24"/>
          <w:szCs w:val="24"/>
        </w:rPr>
      </w:pPr>
    </w:p>
    <w:p w:rsidR="00822087" w:rsidRPr="00CA196C" w:rsidRDefault="00822087" w:rsidP="00BA0A58">
      <w:pPr>
        <w:pStyle w:val="Paragraphedeliste"/>
        <w:autoSpaceDE w:val="0"/>
        <w:autoSpaceDN w:val="0"/>
        <w:adjustRightInd w:val="0"/>
        <w:spacing w:before="160" w:after="120" w:line="240" w:lineRule="auto"/>
        <w:ind w:left="360"/>
        <w:jc w:val="both"/>
        <w:rPr>
          <w:rFonts w:ascii="Bookman Old Style" w:hAnsi="Bookman Old Style" w:cs="Times New Roman"/>
          <w:sz w:val="24"/>
          <w:szCs w:val="24"/>
        </w:rPr>
      </w:pPr>
    </w:p>
    <w:p w:rsidR="00DE3A23" w:rsidRPr="00CA196C" w:rsidRDefault="00DE3A23" w:rsidP="00ED27D9">
      <w:pPr>
        <w:pStyle w:val="Titre2"/>
      </w:pPr>
      <w:bookmarkStart w:id="347" w:name="_Toc511080967"/>
      <w:bookmarkStart w:id="348" w:name="_Toc511081643"/>
      <w:r w:rsidRPr="00CA196C">
        <w:lastRenderedPageBreak/>
        <w:t>6.2. Mécanisme de suivi évaluation</w:t>
      </w:r>
      <w:bookmarkEnd w:id="347"/>
      <w:bookmarkEnd w:id="348"/>
      <w:r w:rsidRPr="00CA196C">
        <w:t xml:space="preserve"> </w:t>
      </w:r>
    </w:p>
    <w:p w:rsidR="00DE3A23" w:rsidRPr="00CA196C" w:rsidRDefault="00A850C6" w:rsidP="00A850C6">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Au niveau du suivi évaluation du PND, l</w:t>
      </w:r>
      <w:r w:rsidR="00DE3A23" w:rsidRPr="00CA196C">
        <w:rPr>
          <w:rFonts w:ascii="Bookman Old Style" w:hAnsi="Bookman Old Style" w:cs="Times New Roman"/>
          <w:sz w:val="24"/>
          <w:szCs w:val="24"/>
        </w:rPr>
        <w:t xml:space="preserve">’ISTEEBU constitue le </w:t>
      </w:r>
      <w:r w:rsidR="00DE3A23" w:rsidRPr="00CA196C">
        <w:rPr>
          <w:rFonts w:ascii="Bookman Old Style" w:hAnsi="Bookman Old Style" w:cs="Times New Roman"/>
          <w:bCs/>
          <w:iCs/>
          <w:sz w:val="24"/>
          <w:szCs w:val="24"/>
        </w:rPr>
        <w:t>dispositif central de suivi des indicateurs</w:t>
      </w:r>
      <w:r w:rsidR="00DE3A23" w:rsidRPr="00CA196C">
        <w:rPr>
          <w:rFonts w:ascii="Bookman Old Style" w:hAnsi="Bookman Old Style" w:cs="Times New Roman"/>
          <w:bCs/>
          <w:i/>
          <w:iCs/>
          <w:sz w:val="24"/>
          <w:szCs w:val="24"/>
        </w:rPr>
        <w:t xml:space="preserve"> </w:t>
      </w:r>
      <w:r w:rsidR="00DE3A23" w:rsidRPr="00CA196C">
        <w:rPr>
          <w:rFonts w:ascii="Bookman Old Style" w:hAnsi="Bookman Old Style" w:cs="Times New Roman"/>
          <w:bCs/>
          <w:sz w:val="24"/>
          <w:szCs w:val="24"/>
        </w:rPr>
        <w:t>économiques et sociaux</w:t>
      </w:r>
      <w:r w:rsidR="00DE3A23" w:rsidRPr="00CA196C">
        <w:rPr>
          <w:rFonts w:ascii="Bookman Old Style" w:hAnsi="Bookman Old Style" w:cs="Times New Roman"/>
          <w:sz w:val="24"/>
          <w:szCs w:val="24"/>
        </w:rPr>
        <w:t>. Il veille à l’établissement de la situation de base et la mise à jour régulière des indicateurs de suivi évaluation, en appui à tous les service</w:t>
      </w:r>
      <w:r w:rsidR="00F854E0" w:rsidRPr="00CA196C">
        <w:rPr>
          <w:rFonts w:ascii="Bookman Old Style" w:hAnsi="Bookman Old Style" w:cs="Times New Roman"/>
          <w:sz w:val="24"/>
          <w:szCs w:val="24"/>
        </w:rPr>
        <w:t>s en charge</w:t>
      </w:r>
      <w:r w:rsidR="00DE3A23" w:rsidRPr="00CA196C">
        <w:rPr>
          <w:rFonts w:ascii="Bookman Old Style" w:hAnsi="Bookman Old Style" w:cs="Times New Roman"/>
          <w:sz w:val="24"/>
          <w:szCs w:val="24"/>
        </w:rPr>
        <w:t xml:space="preserve"> de la planification et des statistiques au niveau sectoriel et local. </w:t>
      </w:r>
    </w:p>
    <w:p w:rsidR="00D65803" w:rsidRPr="00CA196C" w:rsidRDefault="00D65803" w:rsidP="00D65803">
      <w:pPr>
        <w:pStyle w:val="Paragraphedeliste"/>
        <w:autoSpaceDE w:val="0"/>
        <w:autoSpaceDN w:val="0"/>
        <w:adjustRightInd w:val="0"/>
        <w:spacing w:before="160" w:after="120" w:line="240" w:lineRule="auto"/>
        <w:ind w:left="360"/>
        <w:jc w:val="both"/>
        <w:rPr>
          <w:rFonts w:ascii="Bookman Old Style" w:hAnsi="Bookman Old Style" w:cs="Times New Roman"/>
          <w:sz w:val="24"/>
          <w:szCs w:val="24"/>
        </w:rPr>
      </w:pPr>
    </w:p>
    <w:p w:rsidR="00D65803" w:rsidRPr="00843FA9" w:rsidRDefault="00D65803" w:rsidP="00A850C6">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Le schéma ci-après montre le montage institutionnel</w:t>
      </w:r>
      <w:r w:rsidR="00D203B5" w:rsidRPr="00CA196C">
        <w:rPr>
          <w:rFonts w:ascii="Bookman Old Style" w:hAnsi="Bookman Old Style" w:cs="Times New Roman"/>
          <w:sz w:val="24"/>
          <w:szCs w:val="24"/>
        </w:rPr>
        <w:t xml:space="preserve"> du</w:t>
      </w:r>
      <w:r w:rsidR="00D203B5" w:rsidRPr="00CA196C">
        <w:rPr>
          <w:rFonts w:ascii="Bookman Old Style" w:hAnsi="Bookman Old Style" w:cs="Times New Roman"/>
          <w:color w:val="FF0000"/>
          <w:sz w:val="24"/>
          <w:szCs w:val="24"/>
        </w:rPr>
        <w:t xml:space="preserve"> </w:t>
      </w:r>
      <w:r w:rsidR="00D203B5" w:rsidRPr="00843FA9">
        <w:rPr>
          <w:rFonts w:ascii="Bookman Old Style" w:hAnsi="Bookman Old Style" w:cs="Times New Roman"/>
          <w:sz w:val="24"/>
          <w:szCs w:val="24"/>
        </w:rPr>
        <w:t xml:space="preserve">dispositif </w:t>
      </w:r>
      <w:r w:rsidRPr="00843FA9">
        <w:rPr>
          <w:rFonts w:ascii="Bookman Old Style" w:hAnsi="Bookman Old Style" w:cs="Times New Roman"/>
          <w:sz w:val="24"/>
          <w:szCs w:val="24"/>
        </w:rPr>
        <w:t xml:space="preserve"> de mise en œuvre et de su</w:t>
      </w:r>
      <w:r w:rsidR="00F854E0" w:rsidRPr="00843FA9">
        <w:rPr>
          <w:rFonts w:ascii="Bookman Old Style" w:hAnsi="Bookman Old Style" w:cs="Times New Roman"/>
          <w:sz w:val="24"/>
          <w:szCs w:val="24"/>
        </w:rPr>
        <w:t xml:space="preserve">ivi-évaluation du </w:t>
      </w:r>
      <w:r w:rsidR="000920EC" w:rsidRPr="00843FA9">
        <w:rPr>
          <w:rFonts w:ascii="Bookman Old Style" w:hAnsi="Bookman Old Style" w:cs="Times New Roman"/>
          <w:sz w:val="24"/>
          <w:szCs w:val="24"/>
        </w:rPr>
        <w:t>PND BURUNDI 2018-2027</w:t>
      </w:r>
      <w:r w:rsidR="00F854E0" w:rsidRPr="00843FA9">
        <w:rPr>
          <w:rFonts w:ascii="Bookman Old Style" w:hAnsi="Bookman Old Style" w:cs="Times New Roman"/>
          <w:sz w:val="24"/>
          <w:szCs w:val="24"/>
        </w:rPr>
        <w:t>.</w:t>
      </w:r>
      <w:r w:rsidR="00B51807" w:rsidRPr="00843FA9">
        <w:rPr>
          <w:rFonts w:ascii="Bookman Old Style" w:hAnsi="Bookman Old Style" w:cs="Times New Roman"/>
          <w:sz w:val="24"/>
          <w:szCs w:val="24"/>
        </w:rPr>
        <w:t xml:space="preserve"> Il montre les institutions et structures qui interviendront dans la mise en œuvre et le suivi-évaluation du PND ainsi que la typologie des relations (coordination, </w:t>
      </w:r>
      <w:r w:rsidR="00D203B5" w:rsidRPr="00843FA9">
        <w:rPr>
          <w:rFonts w:ascii="Bookman Old Style" w:hAnsi="Bookman Old Style" w:cs="Times New Roman"/>
          <w:sz w:val="24"/>
          <w:szCs w:val="24"/>
        </w:rPr>
        <w:t>redevabilité</w:t>
      </w:r>
      <w:r w:rsidR="00B51807" w:rsidRPr="00843FA9">
        <w:rPr>
          <w:rFonts w:ascii="Bookman Old Style" w:hAnsi="Bookman Old Style" w:cs="Times New Roman"/>
          <w:sz w:val="24"/>
          <w:szCs w:val="24"/>
        </w:rPr>
        <w:t xml:space="preserve"> et collaboration) entre ces institutions et structures.</w:t>
      </w:r>
    </w:p>
    <w:p w:rsidR="006B1F7D" w:rsidRPr="00843FA9" w:rsidRDefault="006B1F7D" w:rsidP="006B1F7D">
      <w:pPr>
        <w:pStyle w:val="Paragraphedeliste"/>
        <w:rPr>
          <w:rFonts w:ascii="Bookman Old Style" w:hAnsi="Bookman Old Style" w:cs="Times New Roman"/>
          <w:sz w:val="24"/>
          <w:szCs w:val="24"/>
        </w:rPr>
      </w:pPr>
    </w:p>
    <w:p w:rsidR="00685B59" w:rsidRDefault="00685B59">
      <w:pPr>
        <w:rPr>
          <w:rFonts w:ascii="Bookman Old Style" w:hAnsi="Bookman Old Style" w:cs="Times New Roman"/>
          <w:b/>
          <w:sz w:val="24"/>
          <w:szCs w:val="24"/>
        </w:rPr>
      </w:pPr>
      <w:r>
        <w:rPr>
          <w:rFonts w:ascii="Bookman Old Style" w:hAnsi="Bookman Old Style" w:cs="Times New Roman"/>
          <w:b/>
          <w:sz w:val="24"/>
          <w:szCs w:val="24"/>
        </w:rPr>
        <w:br w:type="page"/>
      </w:r>
    </w:p>
    <w:p w:rsidR="00212CEB" w:rsidRPr="00CA196C" w:rsidRDefault="00E72566" w:rsidP="00212CEB">
      <w:pPr>
        <w:autoSpaceDE w:val="0"/>
        <w:autoSpaceDN w:val="0"/>
        <w:adjustRightInd w:val="0"/>
        <w:spacing w:before="160" w:after="120" w:line="240" w:lineRule="auto"/>
        <w:jc w:val="both"/>
        <w:rPr>
          <w:rFonts w:ascii="Bookman Old Style" w:hAnsi="Bookman Old Style" w:cs="Times New Roman"/>
          <w:b/>
          <w:sz w:val="24"/>
          <w:szCs w:val="24"/>
        </w:rPr>
      </w:pPr>
      <w:r>
        <w:rPr>
          <w:rFonts w:ascii="Bookman Old Style" w:hAnsi="Bookman Old Style" w:cs="Times New Roman"/>
          <w:b/>
          <w:noProof/>
          <w:sz w:val="24"/>
          <w:szCs w:val="24"/>
          <w:lang w:eastAsia="fr-FR"/>
        </w:rPr>
        <w:lastRenderedPageBreak/>
        <mc:AlternateContent>
          <mc:Choice Requires="wpg">
            <w:drawing>
              <wp:anchor distT="0" distB="0" distL="114300" distR="114300" simplePos="0" relativeHeight="251719680" behindDoc="0" locked="0" layoutInCell="1" allowOverlap="1">
                <wp:simplePos x="0" y="0"/>
                <wp:positionH relativeFrom="column">
                  <wp:posOffset>-251460</wp:posOffset>
                </wp:positionH>
                <wp:positionV relativeFrom="paragraph">
                  <wp:posOffset>397510</wp:posOffset>
                </wp:positionV>
                <wp:extent cx="6080125" cy="8091170"/>
                <wp:effectExtent l="0" t="38100" r="15875" b="508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125" cy="8091170"/>
                          <a:chOff x="0" y="0"/>
                          <a:chExt cx="6080140" cy="8091170"/>
                        </a:xfrm>
                      </wpg:grpSpPr>
                      <wps:wsp>
                        <wps:cNvPr id="28" name="Rectangle 28"/>
                        <wps:cNvSpPr>
                          <a:spLocks/>
                        </wps:cNvSpPr>
                        <wps:spPr>
                          <a:xfrm>
                            <a:off x="0" y="0"/>
                            <a:ext cx="6076950" cy="80911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à coins arrondis 30"/>
                        <wps:cNvSpPr>
                          <a:spLocks/>
                        </wps:cNvSpPr>
                        <wps:spPr>
                          <a:xfrm>
                            <a:off x="3147237" y="3572540"/>
                            <a:ext cx="2200275" cy="8680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861BB" w:rsidRPr="009F4173" w:rsidRDefault="002861BB" w:rsidP="00212CEB">
                              <w:pPr>
                                <w:jc w:val="center"/>
                                <w:rPr>
                                  <w:rFonts w:asciiTheme="majorHAnsi" w:hAnsiTheme="majorHAnsi"/>
                                  <w:b/>
                                  <w:sz w:val="20"/>
                                  <w:szCs w:val="20"/>
                                </w:rPr>
                              </w:pPr>
                              <w:r w:rsidRPr="009F4173">
                                <w:rPr>
                                  <w:rFonts w:asciiTheme="majorHAnsi" w:hAnsiTheme="majorHAnsi"/>
                                  <w:b/>
                                  <w:sz w:val="20"/>
                                  <w:szCs w:val="20"/>
                                </w:rPr>
                                <w:t xml:space="preserve">Autres ministères sectoriels  </w:t>
                              </w:r>
                            </w:p>
                            <w:p w:rsidR="002861BB" w:rsidRPr="009F4173" w:rsidRDefault="002861BB" w:rsidP="00212CEB">
                              <w:pPr>
                                <w:jc w:val="center"/>
                                <w:rPr>
                                  <w:rFonts w:asciiTheme="majorHAnsi" w:hAnsiTheme="majorHAnsi"/>
                                  <w:b/>
                                  <w:color w:val="31849B" w:themeColor="accent5" w:themeShade="BF"/>
                                  <w:sz w:val="20"/>
                                  <w:szCs w:val="20"/>
                                </w:rPr>
                              </w:pPr>
                              <w:r w:rsidRPr="009F4173">
                                <w:rPr>
                                  <w:rFonts w:asciiTheme="majorHAnsi" w:hAnsiTheme="majorHAnsi"/>
                                  <w:b/>
                                  <w:color w:val="31849B" w:themeColor="accent5" w:themeShade="BF"/>
                                  <w:sz w:val="20"/>
                                  <w:szCs w:val="20"/>
                                </w:rPr>
                                <w:t xml:space="preserve">Mission: </w:t>
                              </w:r>
                              <w:r w:rsidRPr="009F4173">
                                <w:rPr>
                                  <w:rFonts w:asciiTheme="majorHAnsi" w:hAnsiTheme="majorHAnsi" w:cs="Times New Roman"/>
                                  <w:b/>
                                  <w:color w:val="31849B" w:themeColor="accent5" w:themeShade="BF"/>
                                  <w:sz w:val="20"/>
                                  <w:szCs w:val="20"/>
                                </w:rPr>
                                <w:t>Mise en œuvre et suivi sectoriel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à coins arrondis 33"/>
                        <wps:cNvSpPr>
                          <a:spLocks/>
                        </wps:cNvSpPr>
                        <wps:spPr>
                          <a:xfrm>
                            <a:off x="85061" y="3413051"/>
                            <a:ext cx="2246630" cy="102997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2861BB" w:rsidRDefault="002861BB" w:rsidP="00D203B5">
                              <w:pPr>
                                <w:jc w:val="center"/>
                                <w:rPr>
                                  <w:rFonts w:asciiTheme="majorHAnsi" w:hAnsiTheme="majorHAnsi"/>
                                  <w:b/>
                                  <w:sz w:val="20"/>
                                  <w:szCs w:val="20"/>
                                </w:rPr>
                              </w:pPr>
                              <w:r w:rsidRPr="0037762E">
                                <w:rPr>
                                  <w:rFonts w:asciiTheme="majorHAnsi" w:hAnsiTheme="majorHAnsi"/>
                                  <w:b/>
                                  <w:sz w:val="20"/>
                                  <w:szCs w:val="20"/>
                                </w:rPr>
                                <w:t>Minis</w:t>
                              </w:r>
                              <w:r>
                                <w:rPr>
                                  <w:rFonts w:asciiTheme="majorHAnsi" w:hAnsiTheme="majorHAnsi"/>
                                  <w:b/>
                                  <w:sz w:val="20"/>
                                  <w:szCs w:val="20"/>
                                </w:rPr>
                                <w:t>tère  du développement Communal</w:t>
                              </w:r>
                            </w:p>
                            <w:p w:rsidR="002861BB" w:rsidRPr="00D203B5" w:rsidRDefault="002861BB" w:rsidP="00D203B5">
                              <w:pPr>
                                <w:jc w:val="center"/>
                                <w:rPr>
                                  <w:rFonts w:asciiTheme="majorHAnsi" w:hAnsiTheme="majorHAnsi"/>
                                  <w:b/>
                                  <w:sz w:val="20"/>
                                  <w:szCs w:val="20"/>
                                </w:rPr>
                              </w:pPr>
                              <w:r w:rsidRPr="0037762E">
                                <w:rPr>
                                  <w:rFonts w:asciiTheme="majorHAnsi" w:hAnsiTheme="majorHAnsi"/>
                                  <w:b/>
                                  <w:color w:val="31849B" w:themeColor="accent5" w:themeShade="BF"/>
                                  <w:sz w:val="20"/>
                                  <w:szCs w:val="20"/>
                                </w:rPr>
                                <w:t>Mission : Suivi de mise en œuvre au niveau communautaire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rganigramme : Multidocument 37"/>
                        <wps:cNvSpPr>
                          <a:spLocks/>
                        </wps:cNvSpPr>
                        <wps:spPr>
                          <a:xfrm>
                            <a:off x="765544" y="6826102"/>
                            <a:ext cx="4107815" cy="873760"/>
                          </a:xfrm>
                          <a:prstGeom prst="flowChartMulti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61BB" w:rsidRDefault="002861BB" w:rsidP="00ED609F">
                              <w:pPr>
                                <w:spacing w:after="0"/>
                                <w:jc w:val="center"/>
                              </w:pPr>
                              <w:r>
                                <w:t>Comités  communaux</w:t>
                              </w:r>
                            </w:p>
                            <w:p w:rsidR="002861BB" w:rsidRDefault="002861BB" w:rsidP="00212CEB">
                              <w:pPr>
                                <w:jc w:val="center"/>
                              </w:pPr>
                              <w:r>
                                <w:rPr>
                                  <w:rFonts w:ascii="Book Antiqua" w:hAnsi="Book Antiqua" w:cs="Times New Roman"/>
                                  <w:sz w:val="24"/>
                                  <w:szCs w:val="24"/>
                                </w:rPr>
                                <w:t>Mission: M</w:t>
                              </w:r>
                              <w:r w:rsidRPr="00D72D25">
                                <w:rPr>
                                  <w:rFonts w:ascii="Book Antiqua" w:hAnsi="Book Antiqua" w:cs="Times New Roman"/>
                                  <w:sz w:val="24"/>
                                  <w:szCs w:val="24"/>
                                </w:rPr>
                                <w:t>ise en œuvre du PND à travers les plans locaux</w:t>
                              </w:r>
                            </w:p>
                            <w:p w:rsidR="002861BB" w:rsidRDefault="002861BB" w:rsidP="00212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onnecteur droit avec flèche 44"/>
                        <wps:cNvCnPr>
                          <a:cxnSpLocks/>
                        </wps:cNvCnPr>
                        <wps:spPr>
                          <a:xfrm flipV="1">
                            <a:off x="372140" y="4433777"/>
                            <a:ext cx="9525" cy="2828290"/>
                          </a:xfrm>
                          <a:prstGeom prst="straightConnector1">
                            <a:avLst/>
                          </a:prstGeom>
                          <a:ln>
                            <a:solidFill>
                              <a:schemeClr val="accent2"/>
                            </a:solidFill>
                            <a:prstDash val="dashDot"/>
                            <a:tailEnd type="arrow"/>
                          </a:ln>
                        </wps:spPr>
                        <wps:style>
                          <a:lnRef idx="2">
                            <a:schemeClr val="accent6"/>
                          </a:lnRef>
                          <a:fillRef idx="0">
                            <a:schemeClr val="accent6"/>
                          </a:fillRef>
                          <a:effectRef idx="1">
                            <a:schemeClr val="accent6"/>
                          </a:effectRef>
                          <a:fontRef idx="minor">
                            <a:schemeClr val="tx1"/>
                          </a:fontRef>
                        </wps:style>
                        <wps:bodyPr/>
                      </wps:wsp>
                      <wps:wsp>
                        <wps:cNvPr id="46" name="Connecteur droit avec flèche 46"/>
                        <wps:cNvCnPr>
                          <a:cxnSpLocks/>
                        </wps:cNvCnPr>
                        <wps:spPr>
                          <a:xfrm flipV="1">
                            <a:off x="446567" y="2083981"/>
                            <a:ext cx="45085" cy="1285875"/>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wps:wsp>
                        <wps:cNvPr id="51" name="Ruban courbé vers le bas 51"/>
                        <wps:cNvSpPr>
                          <a:spLocks/>
                        </wps:cNvSpPr>
                        <wps:spPr>
                          <a:xfrm>
                            <a:off x="4529470" y="903768"/>
                            <a:ext cx="1550670" cy="1551940"/>
                          </a:xfrm>
                          <a:prstGeom prst="ellipseRibbon">
                            <a:avLst>
                              <a:gd name="adj1" fmla="val 25000"/>
                              <a:gd name="adj2" fmla="val 75000"/>
                              <a:gd name="adj3" fmla="val 9681"/>
                            </a:avLst>
                          </a:prstGeom>
                        </wps:spPr>
                        <wps:style>
                          <a:lnRef idx="2">
                            <a:schemeClr val="accent3"/>
                          </a:lnRef>
                          <a:fillRef idx="1">
                            <a:schemeClr val="lt1"/>
                          </a:fillRef>
                          <a:effectRef idx="0">
                            <a:schemeClr val="accent3"/>
                          </a:effectRef>
                          <a:fontRef idx="minor">
                            <a:schemeClr val="dk1"/>
                          </a:fontRef>
                        </wps:style>
                        <wps:txbx>
                          <w:txbxContent>
                            <w:p w:rsidR="002861BB" w:rsidRPr="008A7E77" w:rsidRDefault="002861BB" w:rsidP="00212CEB">
                              <w:pPr>
                                <w:jc w:val="center"/>
                                <w:rPr>
                                  <w:b/>
                                  <w:sz w:val="20"/>
                                  <w:szCs w:val="20"/>
                                </w:rPr>
                              </w:pPr>
                              <w:r>
                                <w:rPr>
                                  <w:b/>
                                  <w:sz w:val="20"/>
                                  <w:szCs w:val="20"/>
                                </w:rPr>
                                <w:t>ISTEEBU</w:t>
                              </w:r>
                            </w:p>
                            <w:p w:rsidR="002861BB" w:rsidRPr="00483877" w:rsidRDefault="002861BB" w:rsidP="00212CEB">
                              <w:pPr>
                                <w:jc w:val="center"/>
                                <w:rPr>
                                  <w:rFonts w:asciiTheme="majorHAnsi" w:hAnsiTheme="majorHAnsi"/>
                                  <w:b/>
                                  <w:color w:val="31849B" w:themeColor="accent5" w:themeShade="BF"/>
                                  <w:sz w:val="20"/>
                                  <w:szCs w:val="20"/>
                                </w:rPr>
                              </w:pPr>
                              <w:r w:rsidRPr="00483877">
                                <w:rPr>
                                  <w:rFonts w:asciiTheme="majorHAnsi" w:hAnsiTheme="majorHAnsi"/>
                                  <w:b/>
                                  <w:color w:val="31849B" w:themeColor="accent5" w:themeShade="BF"/>
                                  <w:sz w:val="20"/>
                                  <w:szCs w:val="20"/>
                                </w:rPr>
                                <w:t xml:space="preserve">Mission : Evaluation </w:t>
                              </w:r>
                              <w:r>
                                <w:rPr>
                                  <w:rFonts w:asciiTheme="majorHAnsi" w:hAnsiTheme="majorHAnsi"/>
                                  <w:b/>
                                  <w:color w:val="31849B" w:themeColor="accent5" w:themeShade="BF"/>
                                  <w:sz w:val="20"/>
                                  <w:szCs w:val="20"/>
                                </w:rPr>
                                <w:t>de</w:t>
                              </w:r>
                              <w:r w:rsidRPr="00483877">
                                <w:rPr>
                                  <w:rFonts w:asciiTheme="majorHAnsi" w:hAnsiTheme="majorHAnsi"/>
                                  <w:b/>
                                  <w:color w:val="31849B" w:themeColor="accent5" w:themeShade="BF"/>
                                  <w:sz w:val="20"/>
                                  <w:szCs w:val="20"/>
                                </w:rPr>
                                <w:t>s indicateurs et cibles</w:t>
                              </w:r>
                            </w:p>
                            <w:p w:rsidR="002861BB" w:rsidRPr="00FE00D3" w:rsidRDefault="002861BB" w:rsidP="00212CEB">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onnecteur droit avec flèche 56"/>
                        <wps:cNvCnPr>
                          <a:cxnSpLocks/>
                        </wps:cNvCnPr>
                        <wps:spPr>
                          <a:xfrm flipH="1">
                            <a:off x="276447" y="2137144"/>
                            <a:ext cx="44450" cy="13055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7" name="Connecteur droit avec flèche 57"/>
                        <wps:cNvCnPr>
                          <a:cxnSpLocks/>
                        </wps:cNvCnPr>
                        <wps:spPr>
                          <a:xfrm>
                            <a:off x="967563" y="4433777"/>
                            <a:ext cx="1200150" cy="9715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8" name="Connecteur droit avec flèche 58"/>
                        <wps:cNvCnPr>
                          <a:cxnSpLocks/>
                        </wps:cNvCnPr>
                        <wps:spPr>
                          <a:xfrm>
                            <a:off x="2892056" y="6443330"/>
                            <a:ext cx="0" cy="3930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9" name="Connecteur droit avec flèche 59"/>
                        <wps:cNvCnPr>
                          <a:cxnSpLocks/>
                        </wps:cNvCnPr>
                        <wps:spPr>
                          <a:xfrm flipH="1">
                            <a:off x="4093535" y="1786270"/>
                            <a:ext cx="45720" cy="18091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0" name="Connecteur droit avec flèche 60"/>
                        <wps:cNvCnPr>
                          <a:cxnSpLocks/>
                        </wps:cNvCnPr>
                        <wps:spPr>
                          <a:xfrm flipV="1">
                            <a:off x="3944679" y="2083981"/>
                            <a:ext cx="45085" cy="1513840"/>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wps:wsp>
                        <wps:cNvPr id="61" name="Connecteur droit avec flèche 61"/>
                        <wps:cNvCnPr>
                          <a:cxnSpLocks/>
                        </wps:cNvCnPr>
                        <wps:spPr>
                          <a:xfrm flipV="1">
                            <a:off x="2328530" y="4019107"/>
                            <a:ext cx="819150" cy="7175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62" name="Connecteur droit avec flèche 62"/>
                        <wps:cNvCnPr>
                          <a:cxnSpLocks/>
                        </wps:cNvCnPr>
                        <wps:spPr>
                          <a:xfrm flipV="1">
                            <a:off x="4848447" y="4444409"/>
                            <a:ext cx="29210" cy="100012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64" name="Connecteur droit avec flèche 64"/>
                        <wps:cNvCnPr>
                          <a:cxnSpLocks/>
                        </wps:cNvCnPr>
                        <wps:spPr>
                          <a:xfrm>
                            <a:off x="3955312" y="1169581"/>
                            <a:ext cx="718820" cy="7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65" name="Connecteur droit avec flèche 65"/>
                        <wps:cNvCnPr>
                          <a:cxnSpLocks/>
                        </wps:cNvCnPr>
                        <wps:spPr>
                          <a:xfrm flipH="1" flipV="1">
                            <a:off x="3955312" y="1318437"/>
                            <a:ext cx="709295" cy="66675"/>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wps:wsp>
                        <wps:cNvPr id="68" name="Connecteur droit avec flèche 68"/>
                        <wps:cNvCnPr>
                          <a:cxnSpLocks/>
                        </wps:cNvCnPr>
                        <wps:spPr>
                          <a:xfrm flipV="1">
                            <a:off x="2339163" y="2137144"/>
                            <a:ext cx="2409825" cy="190944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42" name="Connecteur droit avec flèche 42"/>
                        <wps:cNvCnPr>
                          <a:cxnSpLocks/>
                        </wps:cNvCnPr>
                        <wps:spPr>
                          <a:xfrm flipV="1">
                            <a:off x="3030279" y="6539023"/>
                            <a:ext cx="0" cy="297815"/>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wps:wsp>
                        <wps:cNvPr id="35" name="Organigramme : Multidocument 35"/>
                        <wps:cNvSpPr>
                          <a:spLocks/>
                        </wps:cNvSpPr>
                        <wps:spPr>
                          <a:xfrm>
                            <a:off x="446567" y="5443870"/>
                            <a:ext cx="4772025" cy="1200150"/>
                          </a:xfrm>
                          <a:prstGeom prst="flowChartMultidocument">
                            <a:avLst/>
                          </a:prstGeom>
                          <a:ln/>
                        </wps:spPr>
                        <wps:style>
                          <a:lnRef idx="1">
                            <a:schemeClr val="accent5"/>
                          </a:lnRef>
                          <a:fillRef idx="2">
                            <a:schemeClr val="accent5"/>
                          </a:fillRef>
                          <a:effectRef idx="1">
                            <a:schemeClr val="accent5"/>
                          </a:effectRef>
                          <a:fontRef idx="minor">
                            <a:schemeClr val="dk1"/>
                          </a:fontRef>
                        </wps:style>
                        <wps:txbx>
                          <w:txbxContent>
                            <w:p w:rsidR="002861BB" w:rsidRPr="00483877" w:rsidRDefault="002861BB" w:rsidP="00212CEB">
                              <w:pPr>
                                <w:jc w:val="center"/>
                                <w:rPr>
                                  <w:rFonts w:asciiTheme="majorHAnsi" w:hAnsiTheme="majorHAnsi"/>
                                  <w:b/>
                                  <w:sz w:val="24"/>
                                  <w:szCs w:val="24"/>
                                </w:rPr>
                              </w:pPr>
                              <w:r w:rsidRPr="00483877">
                                <w:rPr>
                                  <w:rFonts w:asciiTheme="majorHAnsi" w:hAnsiTheme="majorHAnsi"/>
                                  <w:b/>
                                  <w:sz w:val="24"/>
                                  <w:szCs w:val="24"/>
                                </w:rPr>
                                <w:t>Comités Provinciaux</w:t>
                              </w:r>
                            </w:p>
                            <w:p w:rsidR="002861BB" w:rsidRPr="005A1666" w:rsidRDefault="002861BB" w:rsidP="00212CEB">
                              <w:pPr>
                                <w:jc w:val="center"/>
                                <w:rPr>
                                  <w:color w:val="31849B" w:themeColor="accent5" w:themeShade="BF"/>
                                </w:rPr>
                              </w:pPr>
                              <w:r w:rsidRPr="005A1666">
                                <w:rPr>
                                  <w:rFonts w:ascii="Book Antiqua" w:hAnsi="Book Antiqua" w:cs="Times New Roman"/>
                                  <w:color w:val="31849B" w:themeColor="accent5" w:themeShade="BF"/>
                                  <w:sz w:val="24"/>
                                  <w:szCs w:val="24"/>
                                </w:rPr>
                                <w:t>Mission : Suivi et établissement de l’état d’avancement de la mise en œuvre à travers les plans locaux</w:t>
                              </w:r>
                            </w:p>
                            <w:p w:rsidR="002861BB" w:rsidRDefault="002861BB" w:rsidP="00212C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onnecteur droit avec flèche 43"/>
                        <wps:cNvCnPr>
                          <a:cxnSpLocks/>
                        </wps:cNvCnPr>
                        <wps:spPr>
                          <a:xfrm flipH="1">
                            <a:off x="4869712" y="7325833"/>
                            <a:ext cx="803910"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50" name="Connecteur droit avec flèche 50"/>
                        <wps:cNvCnPr>
                          <a:cxnSpLocks/>
                        </wps:cNvCnPr>
                        <wps:spPr>
                          <a:xfrm flipV="1">
                            <a:off x="5677786" y="2456121"/>
                            <a:ext cx="0" cy="486727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53" name="Connecteur droit avec flèche 53"/>
                        <wps:cNvCnPr>
                          <a:cxnSpLocks/>
                        </wps:cNvCnPr>
                        <wps:spPr>
                          <a:xfrm flipH="1">
                            <a:off x="5167423" y="5816009"/>
                            <a:ext cx="417830" cy="508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69" name="Connecteur droit avec flèche 69"/>
                        <wps:cNvCnPr>
                          <a:cxnSpLocks/>
                        </wps:cNvCnPr>
                        <wps:spPr>
                          <a:xfrm flipH="1" flipV="1">
                            <a:off x="5592726" y="2456121"/>
                            <a:ext cx="1270" cy="341503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79" name="Connecteur droit avec flèche 79"/>
                        <wps:cNvCnPr>
                          <a:cxnSpLocks/>
                        </wps:cNvCnPr>
                        <wps:spPr>
                          <a:xfrm flipH="1" flipV="1">
                            <a:off x="1190847" y="4444409"/>
                            <a:ext cx="1132205" cy="971550"/>
                          </a:xfrm>
                          <a:prstGeom prst="straightConnector1">
                            <a:avLst/>
                          </a:prstGeom>
                          <a:ln>
                            <a:solidFill>
                              <a:schemeClr val="accent2"/>
                            </a:solidFill>
                            <a:prstDash val="dashDot"/>
                            <a:tailEnd type="arrow"/>
                          </a:ln>
                        </wps:spPr>
                        <wps:style>
                          <a:lnRef idx="2">
                            <a:schemeClr val="accent6"/>
                          </a:lnRef>
                          <a:fillRef idx="0">
                            <a:schemeClr val="accent6"/>
                          </a:fillRef>
                          <a:effectRef idx="1">
                            <a:schemeClr val="accent6"/>
                          </a:effectRef>
                          <a:fontRef idx="minor">
                            <a:schemeClr val="tx1"/>
                          </a:fontRef>
                        </wps:style>
                        <wps:bodyPr/>
                      </wps:wsp>
                      <wps:wsp>
                        <wps:cNvPr id="82" name="Connecteur droit avec flèche 82"/>
                        <wps:cNvCnPr>
                          <a:cxnSpLocks/>
                        </wps:cNvCnPr>
                        <wps:spPr>
                          <a:xfrm>
                            <a:off x="265814" y="7485321"/>
                            <a:ext cx="49911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83" name="Connecteur droit 83"/>
                        <wps:cNvCnPr>
                          <a:cxnSpLocks/>
                        </wps:cNvCnPr>
                        <wps:spPr>
                          <a:xfrm>
                            <a:off x="265814" y="4433777"/>
                            <a:ext cx="0" cy="3057525"/>
                          </a:xfrm>
                          <a:prstGeom prst="line">
                            <a:avLst/>
                          </a:prstGeom>
                          <a:ln/>
                        </wps:spPr>
                        <wps:style>
                          <a:lnRef idx="2">
                            <a:schemeClr val="accent1"/>
                          </a:lnRef>
                          <a:fillRef idx="0">
                            <a:schemeClr val="accent1"/>
                          </a:fillRef>
                          <a:effectRef idx="1">
                            <a:schemeClr val="accent1"/>
                          </a:effectRef>
                          <a:fontRef idx="minor">
                            <a:schemeClr val="tx1"/>
                          </a:fontRef>
                        </wps:style>
                        <wps:bodyPr/>
                      </wps:wsp>
                      <wps:wsp>
                        <wps:cNvPr id="52" name="Ellipse 52"/>
                        <wps:cNvSpPr>
                          <a:spLocks/>
                        </wps:cNvSpPr>
                        <wps:spPr>
                          <a:xfrm>
                            <a:off x="2030819" y="4518837"/>
                            <a:ext cx="1847850" cy="657225"/>
                          </a:xfrm>
                          <a:prstGeom prst="ellipse">
                            <a:avLst/>
                          </a:prstGeom>
                          <a:solidFill>
                            <a:schemeClr val="accent6">
                              <a:lumMod val="20000"/>
                              <a:lumOff val="80000"/>
                            </a:schemeClr>
                          </a:solidFill>
                        </wps:spPr>
                        <wps:style>
                          <a:lnRef idx="2">
                            <a:schemeClr val="accent5"/>
                          </a:lnRef>
                          <a:fillRef idx="1">
                            <a:schemeClr val="lt1"/>
                          </a:fillRef>
                          <a:effectRef idx="0">
                            <a:schemeClr val="accent5"/>
                          </a:effectRef>
                          <a:fontRef idx="minor">
                            <a:schemeClr val="dk1"/>
                          </a:fontRef>
                        </wps:style>
                        <wps:txbx>
                          <w:txbxContent>
                            <w:p w:rsidR="002861BB" w:rsidRPr="009F4173" w:rsidRDefault="002861BB" w:rsidP="00EB3E2C">
                              <w:pPr>
                                <w:jc w:val="center"/>
                                <w:rPr>
                                  <w:rFonts w:asciiTheme="majorHAnsi" w:hAnsiTheme="majorHAnsi"/>
                                  <w:sz w:val="20"/>
                                  <w:szCs w:val="20"/>
                                </w:rPr>
                              </w:pPr>
                              <w:r w:rsidRPr="009F4173">
                                <w:rPr>
                                  <w:rFonts w:asciiTheme="majorHAnsi" w:hAnsiTheme="majorHAnsi"/>
                                  <w:sz w:val="20"/>
                                  <w:szCs w:val="20"/>
                                </w:rPr>
                                <w:t>Partenaire au 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necteur droit avec flèche 54"/>
                        <wps:cNvCnPr>
                          <a:cxnSpLocks/>
                        </wps:cNvCnPr>
                        <wps:spPr>
                          <a:xfrm flipH="1" flipV="1">
                            <a:off x="2551814" y="1626781"/>
                            <a:ext cx="216535" cy="297116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55" name="Connecteur droit avec flèche 55"/>
                        <wps:cNvCnPr>
                          <a:cxnSpLocks/>
                        </wps:cNvCnPr>
                        <wps:spPr>
                          <a:xfrm flipV="1">
                            <a:off x="2881423" y="4338084"/>
                            <a:ext cx="266700" cy="24765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66" name="Connecteur droit avec flèche 66"/>
                        <wps:cNvCnPr>
                          <a:cxnSpLocks/>
                        </wps:cNvCnPr>
                        <wps:spPr>
                          <a:xfrm flipH="1" flipV="1">
                            <a:off x="2158409" y="4423144"/>
                            <a:ext cx="504825" cy="9525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72" name="Connecteur droit avec flèche 72"/>
                        <wps:cNvCnPr>
                          <a:cxnSpLocks/>
                        </wps:cNvCnPr>
                        <wps:spPr>
                          <a:xfrm flipH="1" flipV="1">
                            <a:off x="2892056" y="5167423"/>
                            <a:ext cx="635" cy="28765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wps:wsp>
                        <wps:cNvPr id="84" name="Connecteur droit 84"/>
                        <wps:cNvCnPr>
                          <a:cxnSpLocks/>
                        </wps:cNvCnPr>
                        <wps:spPr>
                          <a:xfrm flipV="1">
                            <a:off x="5475767" y="4890977"/>
                            <a:ext cx="0" cy="2323465"/>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85" name="Connecteur droit avec flèche 85"/>
                        <wps:cNvCnPr>
                          <a:cxnSpLocks/>
                        </wps:cNvCnPr>
                        <wps:spPr>
                          <a:xfrm flipH="1">
                            <a:off x="4869712" y="7145079"/>
                            <a:ext cx="600075"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87" name="Connecteur droit avec flèche 87"/>
                        <wps:cNvCnPr>
                          <a:cxnSpLocks/>
                        </wps:cNvCnPr>
                        <wps:spPr>
                          <a:xfrm flipH="1" flipV="1">
                            <a:off x="5475767" y="2456121"/>
                            <a:ext cx="1270" cy="2305685"/>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88" name="Connecteur droit avec flèche 88"/>
                        <wps:cNvCnPr>
                          <a:cxnSpLocks/>
                        </wps:cNvCnPr>
                        <wps:spPr>
                          <a:xfrm flipH="1">
                            <a:off x="3859619" y="4742121"/>
                            <a:ext cx="1608455" cy="571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89" name="Connecteur droit avec flèche 89"/>
                        <wps:cNvCnPr>
                          <a:cxnSpLocks/>
                        </wps:cNvCnPr>
                        <wps:spPr>
                          <a:xfrm flipH="1">
                            <a:off x="3859619" y="4880344"/>
                            <a:ext cx="1608455" cy="571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wps:wsp>
                        <wps:cNvPr id="125" name="Ruban courbé vers le haut 8"/>
                        <wps:cNvSpPr>
                          <a:spLocks/>
                        </wps:cNvSpPr>
                        <wps:spPr>
                          <a:xfrm>
                            <a:off x="85061" y="0"/>
                            <a:ext cx="4389755" cy="2133600"/>
                          </a:xfrm>
                          <a:prstGeom prst="ellipseRibbon2">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861BB" w:rsidRDefault="002861BB" w:rsidP="00ED609F">
                              <w:pPr>
                                <w:jc w:val="center"/>
                                <w:rPr>
                                  <w:rFonts w:ascii="Cambria" w:hAnsi="Cambria"/>
                                  <w:b/>
                                  <w:sz w:val="20"/>
                                  <w:szCs w:val="20"/>
                                </w:rPr>
                              </w:pPr>
                              <w:r>
                                <w:rPr>
                                  <w:rFonts w:ascii="Cambria" w:hAnsi="Cambria"/>
                                  <w:b/>
                                  <w:sz w:val="20"/>
                                  <w:szCs w:val="20"/>
                                </w:rPr>
                                <w:t>Autorité Nationale de la Coordination des Politiques et Programmes de Développement</w:t>
                              </w:r>
                            </w:p>
                            <w:p w:rsidR="002861BB" w:rsidRDefault="002861BB" w:rsidP="00ED609F">
                              <w:pPr>
                                <w:jc w:val="center"/>
                                <w:rPr>
                                  <w:rFonts w:ascii="Calibri" w:hAnsi="Calibri"/>
                                  <w:b/>
                                  <w:color w:val="0070C0"/>
                                </w:rPr>
                              </w:pPr>
                              <w:r>
                                <w:rPr>
                                  <w:rFonts w:ascii="Cambria" w:hAnsi="Cambria"/>
                                  <w:b/>
                                  <w:color w:val="0070C0"/>
                                  <w:sz w:val="20"/>
                                  <w:szCs w:val="20"/>
                                </w:rPr>
                                <w:t>Mission: Coordination de la mise en œuvre du PND et formulations des réformes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left:0;text-align:left;margin-left:-19.8pt;margin-top:31.3pt;width:478.75pt;height:637.1pt;z-index:251719680" coordsize="60801,8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">
                <v:rect id="Rectangle 28" o:spid="_x0000_s1027" style="position:absolute;width:60769;height:80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" fillcolor="white [3201]" strokecolor="#f79646 [3209]" strokeweight="2pt">
                  <v:path arrowok="t"/>
                </v:rect>
                <v:roundrect id="Rectangle à coins arrondis 30" o:spid="_x0000_s1028" style="position:absolute;left:31472;top:35725;width:22003;height:8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" fillcolor="#cdddac [1622]" strokecolor="#94b64e [3046]">
                  <v:fill color2="#f0f4e6 [502]" rotate="t" angle="180" colors="0 #dafda7;22938f #e4fdc2;1 #f5ffe6" focus="100%" type="gradient"/>
                  <v:shadow on="t" color="black" opacity="24903f" origin=",.5" offset="0,.55556mm"/>
                  <v:path arrowok="t"/>
                  <v:textbox>
                    <w:txbxContent>
                      <w:p w:rsidR="002861BB" w:rsidRPr="009F4173" w:rsidRDefault="002861BB" w:rsidP="00212CEB">
                        <w:pPr>
                          <w:jc w:val="center"/>
                          <w:rPr>
                            <w:rFonts w:asciiTheme="majorHAnsi" w:hAnsiTheme="majorHAnsi"/>
                            <w:b/>
                            <w:sz w:val="20"/>
                            <w:szCs w:val="20"/>
                          </w:rPr>
                        </w:pPr>
                        <w:r w:rsidRPr="009F4173">
                          <w:rPr>
                            <w:rFonts w:asciiTheme="majorHAnsi" w:hAnsiTheme="majorHAnsi"/>
                            <w:b/>
                            <w:sz w:val="20"/>
                            <w:szCs w:val="20"/>
                          </w:rPr>
                          <w:t xml:space="preserve">Autres ministères sectoriels  </w:t>
                        </w:r>
                      </w:p>
                      <w:p w:rsidR="002861BB" w:rsidRPr="009F4173" w:rsidRDefault="002861BB" w:rsidP="00212CEB">
                        <w:pPr>
                          <w:jc w:val="center"/>
                          <w:rPr>
                            <w:rFonts w:asciiTheme="majorHAnsi" w:hAnsiTheme="majorHAnsi"/>
                            <w:b/>
                            <w:color w:val="31849B" w:themeColor="accent5" w:themeShade="BF"/>
                            <w:sz w:val="20"/>
                            <w:szCs w:val="20"/>
                          </w:rPr>
                        </w:pPr>
                        <w:r w:rsidRPr="009F4173">
                          <w:rPr>
                            <w:rFonts w:asciiTheme="majorHAnsi" w:hAnsiTheme="majorHAnsi"/>
                            <w:b/>
                            <w:color w:val="31849B" w:themeColor="accent5" w:themeShade="BF"/>
                            <w:sz w:val="20"/>
                            <w:szCs w:val="20"/>
                          </w:rPr>
                          <w:t xml:space="preserve">Mission: </w:t>
                        </w:r>
                        <w:r w:rsidRPr="009F4173">
                          <w:rPr>
                            <w:rFonts w:asciiTheme="majorHAnsi" w:hAnsiTheme="majorHAnsi" w:cs="Times New Roman"/>
                            <w:b/>
                            <w:color w:val="31849B" w:themeColor="accent5" w:themeShade="BF"/>
                            <w:sz w:val="20"/>
                            <w:szCs w:val="20"/>
                          </w:rPr>
                          <w:t>Mise en œuvre et suivi sectoriel</w:t>
                        </w:r>
                      </w:p>
                    </w:txbxContent>
                  </v:textbox>
                </v:roundrect>
                <v:roundrect id="Rectangle à coins arrondis 33" o:spid="_x0000_s1029" style="position:absolute;left:850;top:34130;width:22466;height:103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path arrowok="t"/>
                  <v:textbox>
                    <w:txbxContent>
                      <w:p w:rsidR="002861BB" w:rsidRDefault="002861BB" w:rsidP="00D203B5">
                        <w:pPr>
                          <w:jc w:val="center"/>
                          <w:rPr>
                            <w:rFonts w:asciiTheme="majorHAnsi" w:hAnsiTheme="majorHAnsi"/>
                            <w:b/>
                            <w:sz w:val="20"/>
                            <w:szCs w:val="20"/>
                          </w:rPr>
                        </w:pPr>
                        <w:r w:rsidRPr="0037762E">
                          <w:rPr>
                            <w:rFonts w:asciiTheme="majorHAnsi" w:hAnsiTheme="majorHAnsi"/>
                            <w:b/>
                            <w:sz w:val="20"/>
                            <w:szCs w:val="20"/>
                          </w:rPr>
                          <w:t>Minis</w:t>
                        </w:r>
                        <w:r>
                          <w:rPr>
                            <w:rFonts w:asciiTheme="majorHAnsi" w:hAnsiTheme="majorHAnsi"/>
                            <w:b/>
                            <w:sz w:val="20"/>
                            <w:szCs w:val="20"/>
                          </w:rPr>
                          <w:t>tère  du développement Communal</w:t>
                        </w:r>
                      </w:p>
                      <w:p w:rsidR="002861BB" w:rsidRPr="00D203B5" w:rsidRDefault="002861BB" w:rsidP="00D203B5">
                        <w:pPr>
                          <w:jc w:val="center"/>
                          <w:rPr>
                            <w:rFonts w:asciiTheme="majorHAnsi" w:hAnsiTheme="majorHAnsi"/>
                            <w:b/>
                            <w:sz w:val="20"/>
                            <w:szCs w:val="20"/>
                          </w:rPr>
                        </w:pPr>
                        <w:r w:rsidRPr="0037762E">
                          <w:rPr>
                            <w:rFonts w:asciiTheme="majorHAnsi" w:hAnsiTheme="majorHAnsi"/>
                            <w:b/>
                            <w:color w:val="31849B" w:themeColor="accent5" w:themeShade="BF"/>
                            <w:sz w:val="20"/>
                            <w:szCs w:val="20"/>
                          </w:rPr>
                          <w:t>Mission : Suivi de mise en œuvre au niveau communautaire</w:t>
                        </w:r>
                      </w:p>
                    </w:txbxContent>
                  </v:textbox>
                </v:round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37" o:spid="_x0000_s1030" type="#_x0000_t115" style="position:absolute;left:7655;top:68261;width:41078;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" fillcolor="#4f81bd [3204]" strokecolor="#243f60 [1604]" strokeweight="2pt">
                  <v:path arrowok="t"/>
                  <v:textbox>
                    <w:txbxContent>
                      <w:p w:rsidR="002861BB" w:rsidRDefault="002861BB" w:rsidP="00ED609F">
                        <w:pPr>
                          <w:spacing w:after="0"/>
                          <w:jc w:val="center"/>
                        </w:pPr>
                        <w:r>
                          <w:t>Comités  communaux</w:t>
                        </w:r>
                      </w:p>
                      <w:p w:rsidR="002861BB" w:rsidRDefault="002861BB" w:rsidP="00212CEB">
                        <w:pPr>
                          <w:jc w:val="center"/>
                        </w:pPr>
                        <w:r>
                          <w:rPr>
                            <w:rFonts w:ascii="Book Antiqua" w:hAnsi="Book Antiqua" w:cs="Times New Roman"/>
                            <w:sz w:val="24"/>
                            <w:szCs w:val="24"/>
                          </w:rPr>
                          <w:t>Mission: M</w:t>
                        </w:r>
                        <w:r w:rsidRPr="00D72D25">
                          <w:rPr>
                            <w:rFonts w:ascii="Book Antiqua" w:hAnsi="Book Antiqua" w:cs="Times New Roman"/>
                            <w:sz w:val="24"/>
                            <w:szCs w:val="24"/>
                          </w:rPr>
                          <w:t>ise en œuvre du PND à travers les plans locaux</w:t>
                        </w:r>
                      </w:p>
                      <w:p w:rsidR="002861BB" w:rsidRDefault="002861BB" w:rsidP="00212CEB">
                        <w:pPr>
                          <w:jc w:val="center"/>
                        </w:pPr>
                      </w:p>
                    </w:txbxContent>
                  </v:textbox>
                </v:shape>
                <v:shapetype id="_x0000_t32" coordsize="21600,21600" o:spt="32" o:oned="t" path="m,l21600,21600e" filled="f">
                  <v:path arrowok="t" fillok="f" o:connecttype="none"/>
                  <o:lock v:ext="edit" shapetype="t"/>
                </v:shapetype>
                <v:shape id="Connecteur droit avec flèche 44" o:spid="_x0000_s1031" type="#_x0000_t32" style="position:absolute;left:3721;top:44337;width:95;height:28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" strokecolor="#c0504d [3205]" strokeweight="2pt">
                  <v:stroke dashstyle="dashDot" endarrow="open"/>
                  <v:shadow on="t" color="black" opacity="24903f" origin=",.5" offset="0,.55556mm"/>
                  <o:lock v:ext="edit" shapetype="f"/>
                </v:shape>
                <v:shape id="Connecteur droit avec flèche 46" o:spid="_x0000_s1032" type="#_x0000_t32" style="position:absolute;left:4465;top:20839;width:451;height:12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" strokecolor="red" strokeweight="2pt">
                  <v:stroke dashstyle="dashDot" endarrow="open"/>
                  <v:shadow on="t" color="black" opacity="24903f" origin=",.5" offset="0,.55556mm"/>
                  <o:lock v:ext="edit" shapetype="f"/>
                </v:shape>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uban courbé vers le bas 51" o:spid="_x0000_s1033" type="#_x0000_t107" style="position:absolute;left:45294;top:9037;width:15507;height:1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" adj="2700,,19509" fillcolor="white [3201]" strokecolor="#9bbb59 [3206]" strokeweight="2pt">
                  <v:path arrowok="t"/>
                  <v:textbox>
                    <w:txbxContent>
                      <w:p w:rsidR="002861BB" w:rsidRPr="008A7E77" w:rsidRDefault="002861BB" w:rsidP="00212CEB">
                        <w:pPr>
                          <w:jc w:val="center"/>
                          <w:rPr>
                            <w:b/>
                            <w:sz w:val="20"/>
                            <w:szCs w:val="20"/>
                          </w:rPr>
                        </w:pPr>
                        <w:r>
                          <w:rPr>
                            <w:b/>
                            <w:sz w:val="20"/>
                            <w:szCs w:val="20"/>
                          </w:rPr>
                          <w:t>ISTEEBU</w:t>
                        </w:r>
                      </w:p>
                      <w:p w:rsidR="002861BB" w:rsidRPr="00483877" w:rsidRDefault="002861BB" w:rsidP="00212CEB">
                        <w:pPr>
                          <w:jc w:val="center"/>
                          <w:rPr>
                            <w:rFonts w:asciiTheme="majorHAnsi" w:hAnsiTheme="majorHAnsi"/>
                            <w:b/>
                            <w:color w:val="31849B" w:themeColor="accent5" w:themeShade="BF"/>
                            <w:sz w:val="20"/>
                            <w:szCs w:val="20"/>
                          </w:rPr>
                        </w:pPr>
                        <w:r w:rsidRPr="00483877">
                          <w:rPr>
                            <w:rFonts w:asciiTheme="majorHAnsi" w:hAnsiTheme="majorHAnsi"/>
                            <w:b/>
                            <w:color w:val="31849B" w:themeColor="accent5" w:themeShade="BF"/>
                            <w:sz w:val="20"/>
                            <w:szCs w:val="20"/>
                          </w:rPr>
                          <w:t xml:space="preserve">Mission : Evaluation </w:t>
                        </w:r>
                        <w:r>
                          <w:rPr>
                            <w:rFonts w:asciiTheme="majorHAnsi" w:hAnsiTheme="majorHAnsi"/>
                            <w:b/>
                            <w:color w:val="31849B" w:themeColor="accent5" w:themeShade="BF"/>
                            <w:sz w:val="20"/>
                            <w:szCs w:val="20"/>
                          </w:rPr>
                          <w:t>de</w:t>
                        </w:r>
                        <w:r w:rsidRPr="00483877">
                          <w:rPr>
                            <w:rFonts w:asciiTheme="majorHAnsi" w:hAnsiTheme="majorHAnsi"/>
                            <w:b/>
                            <w:color w:val="31849B" w:themeColor="accent5" w:themeShade="BF"/>
                            <w:sz w:val="20"/>
                            <w:szCs w:val="20"/>
                          </w:rPr>
                          <w:t>s indicateurs et cibles</w:t>
                        </w:r>
                      </w:p>
                      <w:p w:rsidR="002861BB" w:rsidRPr="00FE00D3" w:rsidRDefault="002861BB" w:rsidP="00212CEB">
                        <w:pPr>
                          <w:jc w:val="center"/>
                          <w:rPr>
                            <w:sz w:val="20"/>
                            <w:szCs w:val="20"/>
                          </w:rPr>
                        </w:pPr>
                      </w:p>
                    </w:txbxContent>
                  </v:textbox>
                </v:shape>
                <v:shape id="Connecteur droit avec flèche 56" o:spid="_x0000_s1034" type="#_x0000_t32" style="position:absolute;left:2764;top:21371;width:444;height:130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" strokecolor="#4f81bd [3204]" strokeweight="2pt">
                  <v:stroke endarrow="open"/>
                  <v:shadow on="t" color="black" opacity="24903f" origin=",.5" offset="0,.55556mm"/>
                  <o:lock v:ext="edit" shapetype="f"/>
                </v:shape>
                <v:shape id="Connecteur droit avec flèche 57" o:spid="_x0000_s1035" type="#_x0000_t32" style="position:absolute;left:9675;top:44337;width:12002;height:9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" strokecolor="#4f81bd [3204]" strokeweight="2pt">
                  <v:stroke endarrow="open"/>
                  <v:shadow on="t" color="black" opacity="24903f" origin=",.5" offset="0,.55556mm"/>
                  <o:lock v:ext="edit" shapetype="f"/>
                </v:shape>
                <v:shape id="Connecteur droit avec flèche 58" o:spid="_x0000_s1036" type="#_x0000_t32" style="position:absolute;left:28920;top:64433;width:0;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" strokecolor="#4f81bd [3204]" strokeweight="2pt">
                  <v:stroke endarrow="open"/>
                  <v:shadow on="t" color="black" opacity="24903f" origin=",.5" offset="0,.55556mm"/>
                  <o:lock v:ext="edit" shapetype="f"/>
                </v:shape>
                <v:shape id="Connecteur droit avec flèche 59" o:spid="_x0000_s1037" type="#_x0000_t32" style="position:absolute;left:40935;top:17862;width:457;height:180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" strokecolor="#4f81bd [3204]" strokeweight="2pt">
                  <v:stroke endarrow="open"/>
                  <v:shadow on="t" color="black" opacity="24903f" origin=",.5" offset="0,.55556mm"/>
                  <o:lock v:ext="edit" shapetype="f"/>
                </v:shape>
                <v:shape id="Connecteur droit avec flèche 60" o:spid="_x0000_s1038" type="#_x0000_t32" style="position:absolute;left:39446;top:20839;width:451;height:151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" strokecolor="red" strokeweight="2pt">
                  <v:stroke dashstyle="dashDot" endarrow="open"/>
                  <v:shadow on="t" color="black" opacity="24903f" origin=",.5" offset="0,.55556mm"/>
                  <o:lock v:ext="edit" shapetype="f"/>
                </v:shape>
                <v:shape id="Connecteur droit avec flèche 61" o:spid="_x0000_s1039" type="#_x0000_t32" style="position:absolute;left:23285;top:40191;width:8191;height: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" strokecolor="#f79646 [3209]" strokeweight="2pt">
                  <v:stroke startarrow="open" endarrow="open"/>
                  <v:shadow on="t" color="black" opacity="24903f" origin=",.5" offset="0,.55556mm"/>
                  <o:lock v:ext="edit" shapetype="f"/>
                </v:shape>
                <v:shape id="Connecteur droit avec flèche 62" o:spid="_x0000_s1040" type="#_x0000_t32" style="position:absolute;left:48484;top:44444;width:292;height:10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" strokecolor="#f79646 [3209]" strokeweight="2pt">
                  <v:stroke startarrow="open" endarrow="open"/>
                  <v:shadow on="t" color="black" opacity="24903f" origin=",.5" offset="0,.55556mm"/>
                  <o:lock v:ext="edit" shapetype="f"/>
                </v:shape>
                <v:shape id="Connecteur droit avec flèche 64" o:spid="_x0000_s1041" type="#_x0000_t32" style="position:absolute;left:39553;top:11695;width:7188;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" strokecolor="#4f81bd [3204]" strokeweight="2pt">
                  <v:stroke endarrow="open"/>
                  <v:shadow on="t" color="black" opacity="24903f" origin=",.5" offset="0,.55556mm"/>
                  <o:lock v:ext="edit" shapetype="f"/>
                </v:shape>
                <v:shape id="Connecteur droit avec flèche 65" o:spid="_x0000_s1042" type="#_x0000_t32" style="position:absolute;left:39553;top:13184;width:7093;height: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" strokecolor="red" strokeweight="2pt">
                  <v:stroke dashstyle="dashDot" endarrow="open"/>
                  <v:shadow on="t" color="black" opacity="24903f" origin=",.5" offset="0,.55556mm"/>
                  <o:lock v:ext="edit" shapetype="f"/>
                </v:shape>
                <v:shape id="Connecteur droit avec flèche 68" o:spid="_x0000_s1043" type="#_x0000_t32" style="position:absolute;left:23391;top:21371;width:24098;height:190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" strokecolor="#f79646 [3209]" strokeweight="2pt">
                  <v:stroke startarrow="open" endarrow="open"/>
                  <v:shadow on="t" color="black" opacity="24903f" origin=",.5" offset="0,.55556mm"/>
                  <o:lock v:ext="edit" shapetype="f"/>
                </v:shape>
                <v:shape id="Connecteur droit avec flèche 42" o:spid="_x0000_s1044" type="#_x0000_t32" style="position:absolute;left:30302;top:65390;width:0;height:29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" strokecolor="red" strokeweight="2pt">
                  <v:stroke dashstyle="dashDot" endarrow="open"/>
                  <v:shadow on="t" color="black" opacity="24903f" origin=",.5" offset="0,.55556mm"/>
                  <o:lock v:ext="edit" shapetype="f"/>
                </v:shape>
                <v:shape id="Organigramme : Multidocument 35" o:spid="_x0000_s1045" type="#_x0000_t115" style="position:absolute;left:4465;top:54438;width:47720;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" fillcolor="#a5d5e2 [1624]" strokecolor="#40a7c2 [3048]">
                  <v:fill color2="#e4f2f6 [504]" rotate="t" angle="180" colors="0 #9eeaff;22938f #bbefff;1 #e4f9ff" focus="100%" type="gradient"/>
                  <v:shadow on="t" color="black" opacity="24903f" origin=",.5" offset="0,.55556mm"/>
                  <v:path arrowok="t"/>
                  <v:textbox>
                    <w:txbxContent>
                      <w:p w:rsidR="002861BB" w:rsidRPr="00483877" w:rsidRDefault="002861BB" w:rsidP="00212CEB">
                        <w:pPr>
                          <w:jc w:val="center"/>
                          <w:rPr>
                            <w:rFonts w:asciiTheme="majorHAnsi" w:hAnsiTheme="majorHAnsi"/>
                            <w:b/>
                            <w:sz w:val="24"/>
                            <w:szCs w:val="24"/>
                          </w:rPr>
                        </w:pPr>
                        <w:r w:rsidRPr="00483877">
                          <w:rPr>
                            <w:rFonts w:asciiTheme="majorHAnsi" w:hAnsiTheme="majorHAnsi"/>
                            <w:b/>
                            <w:sz w:val="24"/>
                            <w:szCs w:val="24"/>
                          </w:rPr>
                          <w:t>Comités Provinciaux</w:t>
                        </w:r>
                      </w:p>
                      <w:p w:rsidR="002861BB" w:rsidRPr="005A1666" w:rsidRDefault="002861BB" w:rsidP="00212CEB">
                        <w:pPr>
                          <w:jc w:val="center"/>
                          <w:rPr>
                            <w:color w:val="31849B" w:themeColor="accent5" w:themeShade="BF"/>
                          </w:rPr>
                        </w:pPr>
                        <w:r w:rsidRPr="005A1666">
                          <w:rPr>
                            <w:rFonts w:ascii="Book Antiqua" w:hAnsi="Book Antiqua" w:cs="Times New Roman"/>
                            <w:color w:val="31849B" w:themeColor="accent5" w:themeShade="BF"/>
                            <w:sz w:val="24"/>
                            <w:szCs w:val="24"/>
                          </w:rPr>
                          <w:t>Mission : Suivi et établissement de l’état d’avancement de la mise en œuvre à travers les plans locaux</w:t>
                        </w:r>
                      </w:p>
                      <w:p w:rsidR="002861BB" w:rsidRDefault="002861BB" w:rsidP="00212CEB">
                        <w:pPr>
                          <w:jc w:val="center"/>
                        </w:pPr>
                      </w:p>
                    </w:txbxContent>
                  </v:textbox>
                </v:shape>
                <v:shape id="Connecteur droit avec flèche 43" o:spid="_x0000_s1046" type="#_x0000_t32" style="position:absolute;left:48697;top:73258;width:80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" strokecolor="#f79646 [3209]" strokeweight="2pt">
                  <v:stroke endarrow="open"/>
                  <v:shadow on="t" color="black" opacity="24903f" origin=",.5" offset="0,.55556mm"/>
                  <o:lock v:ext="edit" shapetype="f"/>
                </v:shape>
                <v:shape id="Connecteur droit avec flèche 50" o:spid="_x0000_s1047" type="#_x0000_t32" style="position:absolute;left:56777;top:24561;width:0;height:486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" strokecolor="#f79646 [3209]" strokeweight="2pt">
                  <v:stroke endarrow="open"/>
                  <v:shadow on="t" color="black" opacity="24903f" origin=",.5" offset="0,.55556mm"/>
                  <o:lock v:ext="edit" shapetype="f"/>
                </v:shape>
                <v:shape id="Connecteur droit avec flèche 53" o:spid="_x0000_s1048" type="#_x0000_t32" style="position:absolute;left:51674;top:58160;width:4178;height: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" strokecolor="#f79646 [3209]" strokeweight="2pt">
                  <v:stroke endarrow="open"/>
                  <v:shadow on="t" color="black" opacity="24903f" origin=",.5" offset="0,.55556mm"/>
                  <o:lock v:ext="edit" shapetype="f"/>
                </v:shape>
                <v:shape id="Connecteur droit avec flèche 69" o:spid="_x0000_s1049" type="#_x0000_t32" style="position:absolute;left:55927;top:24561;width:12;height:34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" strokecolor="#f79646 [3209]" strokeweight="2pt">
                  <v:stroke endarrow="open"/>
                  <v:shadow on="t" color="black" opacity="24903f" origin=",.5" offset="0,.55556mm"/>
                  <o:lock v:ext="edit" shapetype="f"/>
                </v:shape>
                <v:shape id="Connecteur droit avec flèche 79" o:spid="_x0000_s1050" type="#_x0000_t32" style="position:absolute;left:11908;top:44444;width:11322;height:9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" strokecolor="#c0504d [3205]" strokeweight="2pt">
                  <v:stroke dashstyle="dashDot" endarrow="open"/>
                  <v:shadow on="t" color="black" opacity="24903f" origin=",.5" offset="0,.55556mm"/>
                  <o:lock v:ext="edit" shapetype="f"/>
                </v:shape>
                <v:shape id="Connecteur droit avec flèche 82" o:spid="_x0000_s1051" type="#_x0000_t32" style="position:absolute;left:2658;top:74853;width:4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" strokecolor="#4f81bd [3204]" strokeweight="2pt">
                  <v:stroke endarrow="open"/>
                  <v:shadow on="t" color="black" opacity="24903f" origin=",.5" offset="0,.55556mm"/>
                  <o:lock v:ext="edit" shapetype="f"/>
                </v:shape>
                <v:line id="Connecteur droit 83" o:spid="_x0000_s1052" style="position:absolute;visibility:visible;mso-wrap-style:square" from="2658,44337" to="2658,7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" strokecolor="#4f81bd [3204]" strokeweight="2pt">
                  <v:shadow on="t" color="black" opacity="24903f" origin=",.5" offset="0,.55556mm"/>
                  <o:lock v:ext="edit" shapetype="f"/>
                </v:line>
                <v:oval id="Ellipse 52" o:spid="_x0000_s1053" style="position:absolute;left:20308;top:45188;width:18478;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" fillcolor="#fde9d9 [665]" strokecolor="#4bacc6 [3208]" strokeweight="2pt">
                  <v:path arrowok="t"/>
                  <v:textbox>
                    <w:txbxContent>
                      <w:p w:rsidR="002861BB" w:rsidRPr="009F4173" w:rsidRDefault="002861BB" w:rsidP="00EB3E2C">
                        <w:pPr>
                          <w:jc w:val="center"/>
                          <w:rPr>
                            <w:rFonts w:asciiTheme="majorHAnsi" w:hAnsiTheme="majorHAnsi"/>
                            <w:sz w:val="20"/>
                            <w:szCs w:val="20"/>
                          </w:rPr>
                        </w:pPr>
                        <w:r w:rsidRPr="009F4173">
                          <w:rPr>
                            <w:rFonts w:asciiTheme="majorHAnsi" w:hAnsiTheme="majorHAnsi"/>
                            <w:sz w:val="20"/>
                            <w:szCs w:val="20"/>
                          </w:rPr>
                          <w:t>Partenaire au Développement</w:t>
                        </w:r>
                      </w:p>
                    </w:txbxContent>
                  </v:textbox>
                </v:oval>
                <v:shape id="Connecteur droit avec flèche 54" o:spid="_x0000_s1054" type="#_x0000_t32" style="position:absolute;left:25518;top:16267;width:2165;height:29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" strokecolor="#f79646 [3209]" strokeweight="2pt">
                  <v:stroke startarrow="open" endarrow="open"/>
                  <v:shadow on="t" color="black" opacity="24903f" origin=",.5" offset="0,.55556mm"/>
                  <o:lock v:ext="edit" shapetype="f"/>
                </v:shape>
                <v:shape id="Connecteur droit avec flèche 55" o:spid="_x0000_s1055" type="#_x0000_t32" style="position:absolute;left:28814;top:43380;width:2667;height: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" strokecolor="#f79646 [3209]" strokeweight="2pt">
                  <v:stroke startarrow="open" endarrow="open"/>
                  <v:shadow on="t" color="black" opacity="24903f" origin=",.5" offset="0,.55556mm"/>
                  <o:lock v:ext="edit" shapetype="f"/>
                </v:shape>
                <v:shape id="Connecteur droit avec flèche 66" o:spid="_x0000_s1056" type="#_x0000_t32" style="position:absolute;left:21584;top:44231;width:5048;height:9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" strokecolor="#f79646 [3209]" strokeweight="2pt">
                  <v:stroke startarrow="open" endarrow="open"/>
                  <v:shadow on="t" color="black" opacity="24903f" origin=",.5" offset="0,.55556mm"/>
                  <o:lock v:ext="edit" shapetype="f"/>
                </v:shape>
                <v:shape id="Connecteur droit avec flèche 72" o:spid="_x0000_s1057" type="#_x0000_t32" style="position:absolute;left:28920;top:51674;width:6;height:28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" strokecolor="#f79646 [3209]" strokeweight="2pt">
                  <v:stroke startarrow="open" endarrow="open"/>
                  <v:shadow on="t" color="black" opacity="24903f" origin=",.5" offset="0,.55556mm"/>
                  <o:lock v:ext="edit" shapetype="f"/>
                </v:shape>
                <v:line id="Connecteur droit 84" o:spid="_x0000_s1058" style="position:absolute;flip:y;visibility:visible;mso-wrap-style:square" from="54757,48909" to="54757,72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" strokecolor="#f79646 [3209]" strokeweight="2pt">
                  <v:shadow on="t" color="black" opacity="24903f" origin=",.5" offset="0,.55556mm"/>
                  <o:lock v:ext="edit" shapetype="f"/>
                </v:line>
                <v:shape id="Connecteur droit avec flèche 85" o:spid="_x0000_s1059" type="#_x0000_t32" style="position:absolute;left:48697;top:71450;width:6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" strokecolor="#f79646 [3209]" strokeweight="2pt">
                  <v:stroke endarrow="open"/>
                  <v:shadow on="t" color="black" opacity="24903f" origin=",.5" offset="0,.55556mm"/>
                  <o:lock v:ext="edit" shapetype="f"/>
                </v:shape>
                <v:shape id="Connecteur droit avec flèche 87" o:spid="_x0000_s1060" type="#_x0000_t32" style="position:absolute;left:54757;top:24561;width:13;height:230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" strokecolor="#f79646 [3209]" strokeweight="2pt">
                  <v:stroke endarrow="open"/>
                  <v:shadow on="t" color="black" opacity="24903f" origin=",.5" offset="0,.55556mm"/>
                  <o:lock v:ext="edit" shapetype="f"/>
                </v:shape>
                <v:shape id="Connecteur droit avec flèche 88" o:spid="_x0000_s1061" type="#_x0000_t32" style="position:absolute;left:38596;top:47421;width:16084;height: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" strokecolor="#f79646 [3209]" strokeweight="2pt">
                  <v:stroke endarrow="open"/>
                  <v:shadow on="t" color="black" opacity="24903f" origin=",.5" offset="0,.55556mm"/>
                  <o:lock v:ext="edit" shapetype="f"/>
                </v:shape>
                <v:shape id="Connecteur droit avec flèche 89" o:spid="_x0000_s1062" type="#_x0000_t32" style="position:absolute;left:38596;top:48803;width:16084;height: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" strokecolor="#f79646 [3209]" strokeweight="2pt">
                  <v:stroke endarrow="open"/>
                  <v:shadow on="t" color="black" opacity="24903f" origin=",.5" offset="0,.55556mm"/>
                  <o:lock v:ext="edit" shapetype="f"/>
                </v:shape>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Ruban courbé vers le haut 8" o:spid="_x0000_s1063" type="#_x0000_t108" style="position:absolute;left:850;width:43898;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" fillcolor="#9eeaff" strokecolor="#46aac5">
                  <v:fill color2="#e4f9ff" rotate="t" angle="180" colors="0 #9eeaff;22938f #bbefff;1 #e4f9ff" focus="100%" type="gradient"/>
                  <v:shadow on="t" color="black" opacity="24903f" origin=",.5" offset="0,.55556mm"/>
                  <v:path arrowok="t"/>
                  <v:textbox>
                    <w:txbxContent>
                      <w:p w:rsidR="002861BB" w:rsidRDefault="002861BB" w:rsidP="00ED609F">
                        <w:pPr>
                          <w:jc w:val="center"/>
                          <w:rPr>
                            <w:rFonts w:ascii="Cambria" w:hAnsi="Cambria"/>
                            <w:b/>
                            <w:sz w:val="20"/>
                            <w:szCs w:val="20"/>
                          </w:rPr>
                        </w:pPr>
                        <w:r>
                          <w:rPr>
                            <w:rFonts w:ascii="Cambria" w:hAnsi="Cambria"/>
                            <w:b/>
                            <w:sz w:val="20"/>
                            <w:szCs w:val="20"/>
                          </w:rPr>
                          <w:t>Autorité Nationale de la Coordination des Politiques et Programmes de Développement</w:t>
                        </w:r>
                      </w:p>
                      <w:p w:rsidR="002861BB" w:rsidRDefault="002861BB" w:rsidP="00ED609F">
                        <w:pPr>
                          <w:jc w:val="center"/>
                          <w:rPr>
                            <w:rFonts w:ascii="Calibri" w:hAnsi="Calibri"/>
                            <w:b/>
                            <w:color w:val="0070C0"/>
                          </w:rPr>
                        </w:pPr>
                        <w:r>
                          <w:rPr>
                            <w:rFonts w:ascii="Cambria" w:hAnsi="Cambria"/>
                            <w:b/>
                            <w:color w:val="0070C0"/>
                            <w:sz w:val="20"/>
                            <w:szCs w:val="20"/>
                          </w:rPr>
                          <w:t>Mission: Coordination de la mise en œuvre du PND et formulations des réformes</w:t>
                        </w:r>
                      </w:p>
                    </w:txbxContent>
                  </v:textbox>
                </v:shape>
              </v:group>
            </w:pict>
          </mc:Fallback>
        </mc:AlternateContent>
      </w:r>
      <w:r w:rsidR="00212CEB" w:rsidRPr="00CA196C">
        <w:rPr>
          <w:rFonts w:ascii="Bookman Old Style" w:hAnsi="Bookman Old Style" w:cs="Times New Roman"/>
          <w:b/>
          <w:sz w:val="24"/>
          <w:szCs w:val="24"/>
        </w:rPr>
        <w:t>Figure</w:t>
      </w:r>
      <w:r w:rsidR="00824779">
        <w:rPr>
          <w:rFonts w:ascii="Bookman Old Style" w:hAnsi="Bookman Old Style" w:cs="Times New Roman"/>
          <w:b/>
          <w:sz w:val="24"/>
          <w:szCs w:val="24"/>
        </w:rPr>
        <w:t xml:space="preserve"> 2</w:t>
      </w:r>
      <w:r w:rsidR="00212CEB" w:rsidRPr="00CA196C">
        <w:rPr>
          <w:rFonts w:ascii="Bookman Old Style" w:hAnsi="Bookman Old Style" w:cs="Times New Roman"/>
          <w:b/>
          <w:sz w:val="24"/>
          <w:szCs w:val="24"/>
        </w:rPr>
        <w:t> : Montage institutionnel de mise en œuvre et de suivi-évaluation du PND 2018-2027</w:t>
      </w: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b/>
          <w:sz w:val="24"/>
          <w:szCs w:val="24"/>
        </w:rPr>
      </w:pPr>
    </w:p>
    <w:p w:rsidR="00212CEB" w:rsidRPr="00CA196C" w:rsidRDefault="00212CEB" w:rsidP="00212CEB">
      <w:pPr>
        <w:pStyle w:val="Paragraphedeliste"/>
        <w:autoSpaceDE w:val="0"/>
        <w:autoSpaceDN w:val="0"/>
        <w:adjustRightInd w:val="0"/>
        <w:spacing w:before="160" w:after="120" w:line="240" w:lineRule="auto"/>
        <w:ind w:left="360"/>
        <w:jc w:val="both"/>
        <w:rPr>
          <w:rFonts w:ascii="Bookman Old Style" w:hAnsi="Bookman Old Style" w:cs="Times New Roman"/>
          <w:b/>
          <w:sz w:val="24"/>
          <w:szCs w:val="24"/>
        </w:rPr>
      </w:pPr>
    </w:p>
    <w:p w:rsidR="00212CEB" w:rsidRPr="00CA196C" w:rsidRDefault="00212CEB" w:rsidP="00212CEB">
      <w:pPr>
        <w:pStyle w:val="Paragraphedeliste"/>
        <w:autoSpaceDE w:val="0"/>
        <w:autoSpaceDN w:val="0"/>
        <w:adjustRightInd w:val="0"/>
        <w:spacing w:before="160" w:after="120" w:line="240" w:lineRule="auto"/>
        <w:ind w:left="360"/>
        <w:jc w:val="both"/>
        <w:rPr>
          <w:rFonts w:ascii="Bookman Old Style" w:hAnsi="Bookman Old Style" w:cs="Times New Roman"/>
          <w:b/>
          <w:sz w:val="24"/>
          <w:szCs w:val="24"/>
        </w:rPr>
      </w:pPr>
    </w:p>
    <w:p w:rsidR="00212CEB" w:rsidRPr="00CA196C" w:rsidRDefault="00212CEB" w:rsidP="00212CEB">
      <w:pPr>
        <w:pStyle w:val="Paragraphedeliste"/>
        <w:autoSpaceDE w:val="0"/>
        <w:autoSpaceDN w:val="0"/>
        <w:adjustRightInd w:val="0"/>
        <w:spacing w:before="160" w:after="120" w:line="240" w:lineRule="auto"/>
        <w:ind w:left="360"/>
        <w:jc w:val="both"/>
        <w:rPr>
          <w:rFonts w:ascii="Bookman Old Style" w:hAnsi="Bookman Old Style" w:cs="Times New Roman"/>
          <w:b/>
          <w:sz w:val="24"/>
          <w:szCs w:val="24"/>
        </w:rPr>
      </w:pPr>
    </w:p>
    <w:p w:rsidR="00212CEB" w:rsidRPr="00CA196C" w:rsidRDefault="00212CEB" w:rsidP="00212CEB">
      <w:pPr>
        <w:pStyle w:val="Paragraphedeliste"/>
        <w:autoSpaceDE w:val="0"/>
        <w:autoSpaceDN w:val="0"/>
        <w:adjustRightInd w:val="0"/>
        <w:spacing w:before="160" w:after="120" w:line="240" w:lineRule="auto"/>
        <w:ind w:left="360"/>
        <w:jc w:val="both"/>
        <w:rPr>
          <w:rFonts w:ascii="Bookman Old Style" w:hAnsi="Bookman Old Style" w:cs="Times New Roman"/>
          <w:b/>
          <w:sz w:val="24"/>
          <w:szCs w:val="24"/>
        </w:rPr>
      </w:pPr>
    </w:p>
    <w:p w:rsidR="00212CEB" w:rsidRPr="00CA196C" w:rsidRDefault="00212CEB" w:rsidP="00212CEB">
      <w:pPr>
        <w:pStyle w:val="Paragraphedeliste"/>
        <w:autoSpaceDE w:val="0"/>
        <w:autoSpaceDN w:val="0"/>
        <w:adjustRightInd w:val="0"/>
        <w:spacing w:before="160" w:after="120" w:line="240" w:lineRule="auto"/>
        <w:ind w:left="360"/>
        <w:jc w:val="both"/>
        <w:rPr>
          <w:rFonts w:ascii="Bookman Old Style" w:hAnsi="Bookman Old Style" w:cs="Times New Roman"/>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E72566" w:rsidP="00212CEB">
      <w:pPr>
        <w:autoSpaceDE w:val="0"/>
        <w:autoSpaceDN w:val="0"/>
        <w:adjustRightInd w:val="0"/>
        <w:spacing w:before="160" w:after="120" w:line="240" w:lineRule="auto"/>
        <w:jc w:val="both"/>
        <w:rPr>
          <w:rFonts w:ascii="Bookman Old Style" w:hAnsi="Bookman Old Style" w:cs="Times New Roman"/>
          <w:sz w:val="24"/>
          <w:szCs w:val="24"/>
        </w:rPr>
      </w:pPr>
      <w:r>
        <w:rPr>
          <w:rFonts w:ascii="Bookman Old Style" w:hAnsi="Bookman Old Style" w:cs="Times New Roman"/>
          <w:noProof/>
          <w:sz w:val="24"/>
          <w:szCs w:val="24"/>
          <w:lang w:eastAsia="fr-FR"/>
        </w:rPr>
        <mc:AlternateContent>
          <mc:Choice Requires="wps">
            <w:drawing>
              <wp:anchor distT="4294967294" distB="4294967294" distL="114300" distR="114300" simplePos="0" relativeHeight="251695104" behindDoc="0" locked="0" layoutInCell="1" allowOverlap="1">
                <wp:simplePos x="0" y="0"/>
                <wp:positionH relativeFrom="column">
                  <wp:posOffset>141605</wp:posOffset>
                </wp:positionH>
                <wp:positionV relativeFrom="paragraph">
                  <wp:posOffset>48259</wp:posOffset>
                </wp:positionV>
                <wp:extent cx="372110" cy="0"/>
                <wp:effectExtent l="38100" t="38100" r="46990" b="76200"/>
                <wp:wrapNone/>
                <wp:docPr id="81" name="Connecteur droit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110" cy="0"/>
                        </a:xfrm>
                        <a:prstGeom prst="line">
                          <a:avLst/>
                        </a:prstGeom>
                        <a:ln>
                          <a:prstDash val="dashDot"/>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DAAC1" id="Connecteur droit 81"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15pt,3.8pt" to="40.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" strokecolor="#c0504d [3205]" strokeweight="2pt">
                <v:stroke dashstyle="dashDot"/>
                <v:shadow on="t" color="black" opacity="24903f" origin=",.5" offset="0,.55556mm"/>
                <o:lock v:ext="edit" shapetype="f"/>
              </v:line>
            </w:pict>
          </mc:Fallback>
        </mc:AlternateContent>
      </w:r>
    </w:p>
    <w:p w:rsidR="00212CEB" w:rsidRPr="00CA196C" w:rsidRDefault="00212CEB" w:rsidP="00212CEB">
      <w:pPr>
        <w:autoSpaceDE w:val="0"/>
        <w:autoSpaceDN w:val="0"/>
        <w:adjustRightInd w:val="0"/>
        <w:spacing w:before="160" w:after="120" w:line="240" w:lineRule="auto"/>
        <w:jc w:val="both"/>
        <w:rPr>
          <w:rFonts w:ascii="Bookman Old Style" w:hAnsi="Bookman Old Style" w:cs="Times New Roman"/>
          <w:sz w:val="24"/>
          <w:szCs w:val="24"/>
        </w:rPr>
      </w:pPr>
    </w:p>
    <w:p w:rsidR="00212CEB" w:rsidRPr="00CA196C" w:rsidRDefault="00E72566" w:rsidP="00212CEB">
      <w:pPr>
        <w:autoSpaceDE w:val="0"/>
        <w:autoSpaceDN w:val="0"/>
        <w:adjustRightInd w:val="0"/>
        <w:spacing w:before="160" w:after="120" w:line="240" w:lineRule="auto"/>
        <w:jc w:val="both"/>
        <w:rPr>
          <w:rFonts w:ascii="Bookman Old Style" w:hAnsi="Bookman Old Style" w:cs="Times New Roman"/>
          <w:sz w:val="24"/>
          <w:szCs w:val="24"/>
        </w:rPr>
      </w:pPr>
      <w:r>
        <w:rPr>
          <w:rFonts w:ascii="Bookman Old Style" w:hAnsi="Bookman Old Style" w:cs="Times New Roman"/>
          <w:b/>
          <w:noProof/>
          <w:sz w:val="24"/>
          <w:szCs w:val="24"/>
          <w:lang w:eastAsia="fr-FR"/>
        </w:rPr>
        <mc:AlternateContent>
          <mc:Choice Requires="wps">
            <w:drawing>
              <wp:anchor distT="0" distB="0" distL="114300" distR="114300" simplePos="0" relativeHeight="251683840" behindDoc="0" locked="0" layoutInCell="1" allowOverlap="1">
                <wp:simplePos x="0" y="0"/>
                <wp:positionH relativeFrom="column">
                  <wp:posOffset>-3651885</wp:posOffset>
                </wp:positionH>
                <wp:positionV relativeFrom="paragraph">
                  <wp:posOffset>38100</wp:posOffset>
                </wp:positionV>
                <wp:extent cx="11430" cy="1009015"/>
                <wp:effectExtent l="95250" t="19050" r="83820" b="76835"/>
                <wp:wrapNone/>
                <wp:docPr id="70"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10090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AD387B" id="Connecteur droit avec flèche 70" o:spid="_x0000_s1026" type="#_x0000_t32" style="position:absolute;margin-left:-287.55pt;margin-top:3pt;width:.9pt;height:79.4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" strokecolor="#4f81bd [3204]" strokeweight="2pt">
                <v:stroke endarrow="open"/>
                <v:shadow on="t" color="black" opacity="24903f" origin=",.5" offset="0,.55556mm"/>
                <o:lock v:ext="edit" shapetype="f"/>
              </v:shape>
            </w:pict>
          </mc:Fallback>
        </mc:AlternateContent>
      </w:r>
    </w:p>
    <w:p w:rsidR="00212CEB" w:rsidRPr="00CA196C" w:rsidRDefault="00E72566" w:rsidP="00212CEB">
      <w:pPr>
        <w:autoSpaceDE w:val="0"/>
        <w:autoSpaceDN w:val="0"/>
        <w:adjustRightInd w:val="0"/>
        <w:spacing w:before="160" w:after="120" w:line="240" w:lineRule="auto"/>
        <w:jc w:val="both"/>
        <w:rPr>
          <w:rFonts w:ascii="Bookman Old Style" w:hAnsi="Bookman Old Style" w:cs="Times New Roman"/>
          <w:sz w:val="24"/>
          <w:szCs w:val="24"/>
        </w:rPr>
      </w:pPr>
      <w:r>
        <w:rPr>
          <w:rFonts w:ascii="Bookman Old Style" w:hAnsi="Bookman Old Style" w:cs="Times New Roman"/>
          <w:b/>
          <w:noProof/>
          <w:sz w:val="24"/>
          <w:szCs w:val="24"/>
          <w:lang w:eastAsia="fr-FR"/>
        </w:rPr>
        <mc:AlternateContent>
          <mc:Choice Requires="wps">
            <w:drawing>
              <wp:anchor distT="0" distB="0" distL="114300" distR="114300" simplePos="0" relativeHeight="251682816" behindDoc="0" locked="0" layoutInCell="1" allowOverlap="1">
                <wp:simplePos x="0" y="0"/>
                <wp:positionH relativeFrom="column">
                  <wp:posOffset>2357120</wp:posOffset>
                </wp:positionH>
                <wp:positionV relativeFrom="paragraph">
                  <wp:posOffset>150495</wp:posOffset>
                </wp:positionV>
                <wp:extent cx="742950" cy="635"/>
                <wp:effectExtent l="0" t="76200" r="0" b="132715"/>
                <wp:wrapNone/>
                <wp:docPr id="67" name="Connecteur droit avec flèch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635"/>
                        </a:xfrm>
                        <a:prstGeom prst="straightConnector1">
                          <a:avLst/>
                        </a:prstGeom>
                        <a:ln>
                          <a:solidFill>
                            <a:srgbClr val="FF0000"/>
                          </a:solidFill>
                          <a:prstDash val="dashDot"/>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26E95D" id="Connecteur droit avec flèche 67" o:spid="_x0000_s1026" type="#_x0000_t32" style="position:absolute;margin-left:185.6pt;margin-top:11.85pt;width:58.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" strokecolor="red" strokeweight="2pt">
                <v:stroke dashstyle="dashDot" endarrow="open"/>
                <v:shadow on="t" color="black" opacity="24903f" origin=",.5" offset="0,.55556mm"/>
                <o:lock v:ext="edit" shapetype="f"/>
              </v:shape>
            </w:pict>
          </mc:Fallback>
        </mc:AlternateContent>
      </w:r>
      <w:r>
        <w:rPr>
          <w:rFonts w:ascii="Bookman Old Style" w:hAnsi="Bookman Old Style" w:cs="Times New Roman"/>
          <w:b/>
          <w:noProof/>
          <w:sz w:val="24"/>
          <w:szCs w:val="24"/>
          <w:lang w:eastAsia="fr-FR"/>
        </w:rPr>
        <mc:AlternateContent>
          <mc:Choice Requires="wps">
            <w:drawing>
              <wp:anchor distT="0" distB="0" distL="114300" distR="114300" simplePos="0" relativeHeight="251693056" behindDoc="0" locked="0" layoutInCell="1" allowOverlap="1">
                <wp:simplePos x="0" y="0"/>
                <wp:positionH relativeFrom="column">
                  <wp:posOffset>3939540</wp:posOffset>
                </wp:positionH>
                <wp:positionV relativeFrom="paragraph">
                  <wp:posOffset>139700</wp:posOffset>
                </wp:positionV>
                <wp:extent cx="659130" cy="10160"/>
                <wp:effectExtent l="57150" t="76200" r="7620" b="123190"/>
                <wp:wrapNone/>
                <wp:docPr id="78" name="Connecteur droit avec flèch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9130" cy="1016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F27A8" id="Connecteur droit avec flèche 78" o:spid="_x0000_s1026" type="#_x0000_t32" style="position:absolute;margin-left:310.2pt;margin-top:11pt;width:51.9pt;height:.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" strokecolor="#f79646 [3209]" strokeweight="2pt">
                <v:stroke startarrow="open" endarrow="open"/>
                <v:shadow on="t" color="black" opacity="24903f" origin=",.5" offset="0,.55556mm"/>
                <o:lock v:ext="edit" shapetype="f"/>
              </v:shape>
            </w:pict>
          </mc:Fallback>
        </mc:AlternateContent>
      </w:r>
      <w:r>
        <w:rPr>
          <w:rFonts w:ascii="Bookman Old Style" w:hAnsi="Bookman Old Style" w:cs="Times New Roman"/>
          <w:b/>
          <w:noProof/>
          <w:sz w:val="24"/>
          <w:szCs w:val="24"/>
          <w:lang w:eastAsia="fr-FR"/>
        </w:rPr>
        <mc:AlternateContent>
          <mc:Choice Requires="wps">
            <w:drawing>
              <wp:anchor distT="4294967294" distB="4294967294" distL="114300" distR="114300" simplePos="0" relativeHeight="251692032" behindDoc="0" locked="0" layoutInCell="1" allowOverlap="1">
                <wp:simplePos x="0" y="0"/>
                <wp:positionH relativeFrom="column">
                  <wp:posOffset>695325</wp:posOffset>
                </wp:positionH>
                <wp:positionV relativeFrom="paragraph">
                  <wp:posOffset>142874</wp:posOffset>
                </wp:positionV>
                <wp:extent cx="308610" cy="0"/>
                <wp:effectExtent l="0" t="76200" r="15240" b="13335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861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324E2" id="Connecteur droit avec flèche 73" o:spid="_x0000_s1026" type="#_x0000_t32" style="position:absolute;margin-left:54.75pt;margin-top:11.25pt;width:24.3pt;height:0;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" strokecolor="#4f81bd [3204]" strokeweight="2pt">
                <v:stroke endarrow="open"/>
                <v:shadow on="t" color="black" opacity="24903f" origin=",.5" offset="0,.55556mm"/>
                <o:lock v:ext="edit" shapetype="f"/>
              </v:shape>
            </w:pict>
          </mc:Fallback>
        </mc:AlternateContent>
      </w:r>
      <w:r w:rsidR="00212CEB" w:rsidRPr="00CA196C">
        <w:rPr>
          <w:rFonts w:ascii="Bookman Old Style" w:hAnsi="Bookman Old Style" w:cs="Times New Roman"/>
          <w:sz w:val="24"/>
          <w:szCs w:val="24"/>
        </w:rPr>
        <w:t xml:space="preserve">Légende : </w:t>
      </w:r>
      <w:r>
        <w:rPr>
          <w:rFonts w:ascii="Bookman Old Style" w:hAnsi="Bookman Old Style" w:cs="Times New Roman"/>
          <w:b/>
          <w:noProof/>
          <w:sz w:val="24"/>
          <w:szCs w:val="24"/>
          <w:lang w:eastAsia="fr-FR"/>
        </w:rPr>
        <mc:AlternateContent>
          <mc:Choice Requires="wps">
            <w:drawing>
              <wp:anchor distT="0" distB="0" distL="114300" distR="114300" simplePos="0" relativeHeight="251691008" behindDoc="0" locked="0" layoutInCell="1" allowOverlap="1">
                <wp:simplePos x="0" y="0"/>
                <wp:positionH relativeFrom="column">
                  <wp:posOffset>205740</wp:posOffset>
                </wp:positionH>
                <wp:positionV relativeFrom="paragraph">
                  <wp:posOffset>2967990</wp:posOffset>
                </wp:positionV>
                <wp:extent cx="11430" cy="1009015"/>
                <wp:effectExtent l="95250" t="19050" r="83820" b="76835"/>
                <wp:wrapNone/>
                <wp:docPr id="77" name="Connecteur droit avec flèch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10090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05C89" id="Connecteur droit avec flèche 77" o:spid="_x0000_s1026" type="#_x0000_t32" style="position:absolute;margin-left:16.2pt;margin-top:233.7pt;width:.9pt;height:79.4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" strokecolor="#4f81bd [3204]" strokeweight="2pt">
                <v:stroke endarrow="open"/>
                <v:shadow on="t" color="black" opacity="24903f" origin=",.5" offset="0,.55556mm"/>
                <o:lock v:ext="edit" shapetype="f"/>
              </v:shape>
            </w:pict>
          </mc:Fallback>
        </mc:AlternateContent>
      </w:r>
      <w:r w:rsidR="00212CEB" w:rsidRPr="00CA196C">
        <w:rPr>
          <w:rFonts w:ascii="Bookman Old Style" w:hAnsi="Bookman Old Style" w:cs="Times New Roman"/>
          <w:sz w:val="24"/>
          <w:szCs w:val="24"/>
        </w:rPr>
        <w:t xml:space="preserve">        Coordination,</w:t>
      </w:r>
      <w:r w:rsidR="006B1F7D">
        <w:rPr>
          <w:rFonts w:ascii="Bookman Old Style" w:hAnsi="Bookman Old Style" w:cs="Times New Roman"/>
          <w:sz w:val="24"/>
          <w:szCs w:val="24"/>
        </w:rPr>
        <w:t xml:space="preserve">          </w:t>
      </w:r>
      <w:r w:rsidR="00AB5343" w:rsidRPr="00CA196C">
        <w:rPr>
          <w:rFonts w:ascii="Bookman Old Style" w:hAnsi="Bookman Old Style" w:cs="Times New Roman"/>
          <w:sz w:val="24"/>
          <w:szCs w:val="24"/>
        </w:rPr>
        <w:t xml:space="preserve"> </w:t>
      </w:r>
      <w:r w:rsidR="00D203B5" w:rsidRPr="00CA196C">
        <w:rPr>
          <w:rFonts w:ascii="Bookman Old Style" w:hAnsi="Bookman Old Style" w:cs="Times New Roman"/>
          <w:sz w:val="24"/>
          <w:szCs w:val="24"/>
        </w:rPr>
        <w:t>Redevabilité</w:t>
      </w:r>
      <w:r w:rsidR="005A1409" w:rsidRPr="00CA196C">
        <w:rPr>
          <w:rFonts w:ascii="Bookman Old Style" w:hAnsi="Bookman Old Style" w:cs="Times New Roman"/>
          <w:sz w:val="24"/>
          <w:szCs w:val="24"/>
        </w:rPr>
        <w:t>,</w:t>
      </w:r>
      <w:r>
        <w:rPr>
          <w:rFonts w:ascii="Bookman Old Style" w:hAnsi="Bookman Old Style" w:cs="Times New Roman"/>
          <w:b/>
          <w:noProof/>
          <w:sz w:val="24"/>
          <w:szCs w:val="24"/>
          <w:lang w:eastAsia="fr-FR"/>
        </w:rPr>
        <mc:AlternateContent>
          <mc:Choice Requires="wps">
            <w:drawing>
              <wp:anchor distT="0" distB="0" distL="114300" distR="114300" simplePos="0" relativeHeight="251684864" behindDoc="0" locked="0" layoutInCell="1" allowOverlap="1">
                <wp:simplePos x="0" y="0"/>
                <wp:positionH relativeFrom="column">
                  <wp:posOffset>205740</wp:posOffset>
                </wp:positionH>
                <wp:positionV relativeFrom="paragraph">
                  <wp:posOffset>2967990</wp:posOffset>
                </wp:positionV>
                <wp:extent cx="11430" cy="1009015"/>
                <wp:effectExtent l="95250" t="19050" r="83820" b="76835"/>
                <wp:wrapNone/>
                <wp:docPr id="71" name="Connecteur droit avec flèch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100901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24511" id="Connecteur droit avec flèche 71" o:spid="_x0000_s1026" type="#_x0000_t32" style="position:absolute;margin-left:16.2pt;margin-top:233.7pt;width:.9pt;height:79.4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" strokecolor="#4f81bd [3204]" strokeweight="2pt">
                <v:stroke endarrow="open"/>
                <v:shadow on="t" color="black" opacity="24903f" origin=",.5" offset="0,.55556mm"/>
                <o:lock v:ext="edit" shapetype="f"/>
              </v:shape>
            </w:pict>
          </mc:Fallback>
        </mc:AlternateContent>
      </w:r>
      <w:r w:rsidR="00212CEB" w:rsidRPr="00CA196C">
        <w:rPr>
          <w:rFonts w:ascii="Bookman Old Style" w:hAnsi="Bookman Old Style" w:cs="Times New Roman"/>
          <w:sz w:val="24"/>
          <w:szCs w:val="24"/>
        </w:rPr>
        <w:t xml:space="preserve">                 </w:t>
      </w:r>
      <w:r w:rsidR="005A1409" w:rsidRPr="00CA196C">
        <w:rPr>
          <w:rFonts w:ascii="Bookman Old Style" w:hAnsi="Bookman Old Style" w:cs="Times New Roman"/>
          <w:sz w:val="24"/>
          <w:szCs w:val="24"/>
        </w:rPr>
        <w:t xml:space="preserve">  :</w:t>
      </w:r>
      <w:r w:rsidR="005544A2" w:rsidRPr="00CA196C">
        <w:rPr>
          <w:rFonts w:ascii="Bookman Old Style" w:hAnsi="Bookman Old Style" w:cs="Times New Roman"/>
          <w:sz w:val="24"/>
          <w:szCs w:val="24"/>
        </w:rPr>
        <w:t xml:space="preserve"> </w:t>
      </w:r>
      <w:r w:rsidR="00212CEB" w:rsidRPr="00CA196C">
        <w:rPr>
          <w:rFonts w:ascii="Bookman Old Style" w:hAnsi="Bookman Old Style" w:cs="Times New Roman"/>
          <w:sz w:val="24"/>
          <w:szCs w:val="24"/>
        </w:rPr>
        <w:t>Collaboration</w:t>
      </w:r>
    </w:p>
    <w:p w:rsidR="00DE3A23" w:rsidRPr="00CA196C" w:rsidRDefault="00DE3A23" w:rsidP="005D43FC">
      <w:pPr>
        <w:pStyle w:val="Titre1"/>
      </w:pPr>
      <w:bookmarkStart w:id="349" w:name="_Toc500667061"/>
      <w:bookmarkStart w:id="350" w:name="_Toc511080968"/>
      <w:bookmarkStart w:id="351" w:name="_Toc511081644"/>
      <w:r w:rsidRPr="00CA196C">
        <w:lastRenderedPageBreak/>
        <w:t>VII. CONCLUSION</w:t>
      </w:r>
      <w:bookmarkEnd w:id="349"/>
      <w:bookmarkEnd w:id="350"/>
      <w:bookmarkEnd w:id="351"/>
    </w:p>
    <w:p w:rsidR="00A850C6" w:rsidRPr="00CA196C" w:rsidRDefault="00A850C6" w:rsidP="00E92676">
      <w:pPr>
        <w:keepNext/>
        <w:keepLines/>
        <w:spacing w:before="160" w:after="120" w:line="240" w:lineRule="auto"/>
        <w:ind w:left="284" w:hanging="284"/>
        <w:jc w:val="both"/>
        <w:outlineLvl w:val="0"/>
        <w:rPr>
          <w:rFonts w:ascii="Bookman Old Style" w:eastAsiaTheme="majorEastAsia" w:hAnsi="Bookman Old Style" w:cs="Times New Roman"/>
          <w:b/>
          <w:bCs/>
          <w:sz w:val="24"/>
          <w:szCs w:val="24"/>
        </w:rPr>
      </w:pPr>
    </w:p>
    <w:p w:rsidR="00D65803" w:rsidRPr="00CA196C" w:rsidRDefault="00DE3A23" w:rsidP="00D65803">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Le </w:t>
      </w:r>
      <w:r w:rsidR="004F78ED" w:rsidRPr="00CA196C">
        <w:rPr>
          <w:rFonts w:ascii="Bookman Old Style" w:hAnsi="Bookman Old Style" w:cs="Times New Roman"/>
          <w:sz w:val="24"/>
          <w:szCs w:val="24"/>
        </w:rPr>
        <w:t>Plan National de D</w:t>
      </w:r>
      <w:r w:rsidRPr="00CA196C">
        <w:rPr>
          <w:rFonts w:ascii="Bookman Old Style" w:hAnsi="Bookman Old Style" w:cs="Times New Roman"/>
          <w:sz w:val="24"/>
          <w:szCs w:val="24"/>
        </w:rPr>
        <w:t>éveloppement Burundi</w:t>
      </w:r>
      <w:r w:rsidR="004F78ED" w:rsidRPr="00CA196C">
        <w:rPr>
          <w:rFonts w:ascii="Bookman Old Style" w:hAnsi="Bookman Old Style" w:cs="Times New Roman"/>
          <w:sz w:val="24"/>
          <w:szCs w:val="24"/>
        </w:rPr>
        <w:t xml:space="preserve"> (</w:t>
      </w:r>
      <w:r w:rsidR="000920EC" w:rsidRPr="00CA196C">
        <w:rPr>
          <w:rFonts w:ascii="Bookman Old Style" w:hAnsi="Bookman Old Style" w:cs="Times New Roman"/>
          <w:sz w:val="24"/>
          <w:szCs w:val="24"/>
        </w:rPr>
        <w:t>PND BURUNDI 2018-2027</w:t>
      </w:r>
      <w:r w:rsidR="004F78ED"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est un instrument d’orientation stratégique dont l’objectif est d’asseoir les programmes prioritaires de développement économique</w:t>
      </w:r>
      <w:r w:rsidR="004F78ED" w:rsidRPr="00CA196C">
        <w:rPr>
          <w:rFonts w:ascii="Bookman Old Style" w:hAnsi="Bookman Old Style" w:cs="Times New Roman"/>
          <w:sz w:val="24"/>
          <w:szCs w:val="24"/>
        </w:rPr>
        <w:t xml:space="preserve"> et social</w:t>
      </w:r>
      <w:r w:rsidRPr="00CA196C">
        <w:rPr>
          <w:rFonts w:ascii="Bookman Old Style" w:hAnsi="Bookman Old Style" w:cs="Times New Roman"/>
          <w:sz w:val="24"/>
          <w:szCs w:val="24"/>
        </w:rPr>
        <w:t xml:space="preserve"> du pays. Le processus d’élabo</w:t>
      </w:r>
      <w:r w:rsidR="004B54EB" w:rsidRPr="00CA196C">
        <w:rPr>
          <w:rFonts w:ascii="Bookman Old Style" w:hAnsi="Bookman Old Style" w:cs="Times New Roman"/>
          <w:sz w:val="24"/>
          <w:szCs w:val="24"/>
        </w:rPr>
        <w:t xml:space="preserve">ration du PND Burundi 2018-2027 </w:t>
      </w:r>
      <w:r w:rsidRPr="00CA196C">
        <w:rPr>
          <w:rFonts w:ascii="Bookman Old Style" w:hAnsi="Bookman Old Style" w:cs="Times New Roman"/>
          <w:sz w:val="24"/>
          <w:szCs w:val="24"/>
        </w:rPr>
        <w:t>a été participatif et inclusif. Il tient compte des aspirations des Ministères sectoriels</w:t>
      </w:r>
      <w:r w:rsidR="004B54EB" w:rsidRPr="00CA196C">
        <w:rPr>
          <w:rFonts w:ascii="Bookman Old Style" w:hAnsi="Bookman Old Style" w:cs="Times New Roman"/>
          <w:sz w:val="24"/>
          <w:szCs w:val="24"/>
        </w:rPr>
        <w:t xml:space="preserve"> et de la population</w:t>
      </w:r>
      <w:r w:rsidRPr="00CA196C">
        <w:rPr>
          <w:rFonts w:ascii="Bookman Old Style" w:hAnsi="Bookman Old Style" w:cs="Times New Roman"/>
          <w:sz w:val="24"/>
          <w:szCs w:val="24"/>
        </w:rPr>
        <w:t xml:space="preserve">. </w:t>
      </w:r>
      <w:r w:rsidR="004B54EB" w:rsidRPr="00CA196C">
        <w:rPr>
          <w:rFonts w:ascii="Bookman Old Style" w:hAnsi="Bookman Old Style" w:cs="Times New Roman"/>
          <w:sz w:val="24"/>
          <w:szCs w:val="24"/>
        </w:rPr>
        <w:t xml:space="preserve">Le </w:t>
      </w:r>
      <w:r w:rsidR="000920EC" w:rsidRPr="00CA196C">
        <w:rPr>
          <w:rFonts w:ascii="Bookman Old Style" w:hAnsi="Bookman Old Style" w:cs="Times New Roman"/>
          <w:sz w:val="24"/>
          <w:szCs w:val="24"/>
        </w:rPr>
        <w:t>PND BURUNDI 2018-2027</w:t>
      </w:r>
      <w:r w:rsidR="004B54EB"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s’inscrit dans une dynamique de croissance économique transversale à tous les secteurs de la vie économique du Burundi.</w:t>
      </w:r>
      <w:r w:rsidR="00C71802" w:rsidRPr="00CA196C">
        <w:rPr>
          <w:rFonts w:ascii="Bookman Old Style" w:hAnsi="Bookman Old Style" w:cs="Times New Roman"/>
          <w:sz w:val="24"/>
          <w:szCs w:val="24"/>
        </w:rPr>
        <w:t xml:space="preserve"> </w:t>
      </w:r>
      <w:r w:rsidR="007C08E5" w:rsidRPr="00CA196C">
        <w:rPr>
          <w:rFonts w:ascii="Bookman Old Style" w:hAnsi="Bookman Old Style" w:cs="Times New Roman"/>
          <w:sz w:val="24"/>
          <w:szCs w:val="24"/>
        </w:rPr>
        <w:t>Avec un scénario optimiste, l</w:t>
      </w:r>
      <w:r w:rsidR="00C71802" w:rsidRPr="00CA196C">
        <w:rPr>
          <w:rFonts w:ascii="Bookman Old Style" w:hAnsi="Bookman Old Style" w:cs="Times New Roman"/>
          <w:sz w:val="24"/>
          <w:szCs w:val="24"/>
        </w:rPr>
        <w:t xml:space="preserve">es prévisions du cadrage macroéconomiques montrent </w:t>
      </w:r>
      <w:r w:rsidR="007C08E5" w:rsidRPr="00CA196C">
        <w:rPr>
          <w:rFonts w:ascii="Bookman Old Style" w:hAnsi="Bookman Old Style" w:cs="Times New Roman"/>
          <w:sz w:val="24"/>
          <w:szCs w:val="24"/>
        </w:rPr>
        <w:t>que le taux de croissance économique</w:t>
      </w:r>
      <w:r w:rsidR="00C71802" w:rsidRPr="00CA196C">
        <w:rPr>
          <w:rFonts w:ascii="Bookman Old Style" w:hAnsi="Bookman Old Style" w:cs="Times New Roman"/>
          <w:sz w:val="24"/>
          <w:szCs w:val="24"/>
        </w:rPr>
        <w:t xml:space="preserve"> </w:t>
      </w:r>
      <w:r w:rsidR="007C08E5" w:rsidRPr="00CA196C">
        <w:rPr>
          <w:rFonts w:ascii="Bookman Old Style" w:hAnsi="Bookman Old Style" w:cs="Times New Roman"/>
          <w:sz w:val="24"/>
          <w:szCs w:val="24"/>
        </w:rPr>
        <w:t>sera à 2 chiffres à partir de 2022 et qu’en 2027, le taux moyen de croissance sera 10,7%.</w:t>
      </w:r>
    </w:p>
    <w:p w:rsidR="00D65803" w:rsidRPr="00CA196C" w:rsidRDefault="007C08E5" w:rsidP="007C08E5">
      <w:pPr>
        <w:pStyle w:val="Paragraphedeliste"/>
        <w:tabs>
          <w:tab w:val="left" w:pos="5670"/>
        </w:tabs>
        <w:autoSpaceDE w:val="0"/>
        <w:autoSpaceDN w:val="0"/>
        <w:adjustRightInd w:val="0"/>
        <w:spacing w:before="160" w:after="120" w:line="240" w:lineRule="auto"/>
        <w:ind w:left="360"/>
        <w:jc w:val="both"/>
        <w:rPr>
          <w:rFonts w:ascii="Bookman Old Style" w:hAnsi="Bookman Old Style" w:cs="Times New Roman"/>
          <w:sz w:val="24"/>
          <w:szCs w:val="24"/>
        </w:rPr>
      </w:pPr>
      <w:r w:rsidRPr="00CA196C">
        <w:rPr>
          <w:rFonts w:ascii="Bookman Old Style" w:hAnsi="Bookman Old Style" w:cs="Times New Roman"/>
          <w:sz w:val="24"/>
          <w:szCs w:val="24"/>
        </w:rPr>
        <w:tab/>
      </w:r>
    </w:p>
    <w:p w:rsidR="00FD0739" w:rsidRDefault="00DE3A23" w:rsidP="00E92676">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Cette dynamique de la croissance économique du Burundi repos</w:t>
      </w:r>
      <w:r w:rsidR="00D65803" w:rsidRPr="00CA196C">
        <w:rPr>
          <w:rFonts w:ascii="Bookman Old Style" w:hAnsi="Bookman Old Style" w:cs="Times New Roman"/>
          <w:sz w:val="24"/>
          <w:szCs w:val="24"/>
        </w:rPr>
        <w:t>era</w:t>
      </w:r>
      <w:r w:rsidRPr="00CA196C">
        <w:rPr>
          <w:rFonts w:ascii="Bookman Old Style" w:hAnsi="Bookman Old Style" w:cs="Times New Roman"/>
          <w:sz w:val="24"/>
          <w:szCs w:val="24"/>
        </w:rPr>
        <w:t xml:space="preserve"> essentiellement sur la consolidation des acquis de la démocratie, de la gouvernance et de l’Etat de droit, l’intensification et</w:t>
      </w:r>
      <w:r w:rsidR="00457EC0" w:rsidRPr="00CA196C">
        <w:rPr>
          <w:rFonts w:ascii="Bookman Old Style" w:hAnsi="Bookman Old Style" w:cs="Times New Roman"/>
          <w:sz w:val="24"/>
          <w:szCs w:val="24"/>
        </w:rPr>
        <w:t xml:space="preserve"> la transformation structurelle de l’économie. </w:t>
      </w:r>
    </w:p>
    <w:p w:rsidR="00FD0739" w:rsidRPr="00FD0739" w:rsidRDefault="00FD0739" w:rsidP="00FD0739">
      <w:pPr>
        <w:pStyle w:val="Paragraphedeliste"/>
        <w:rPr>
          <w:rFonts w:ascii="Bookman Old Style" w:hAnsi="Bookman Old Style" w:cs="Times New Roman"/>
          <w:sz w:val="24"/>
          <w:szCs w:val="24"/>
          <w:highlight w:val="yellow"/>
        </w:rPr>
      </w:pPr>
    </w:p>
    <w:p w:rsidR="00F41932" w:rsidRPr="00A273EC" w:rsidRDefault="00457EC0" w:rsidP="00E92676">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A273EC">
        <w:rPr>
          <w:rFonts w:ascii="Bookman Old Style" w:hAnsi="Bookman Old Style" w:cs="Times New Roman"/>
          <w:sz w:val="24"/>
          <w:szCs w:val="24"/>
        </w:rPr>
        <w:t xml:space="preserve">En tant que processus du développement, la transformation structurelle de l’économie burundaise conduira à une économie articulée grâce à plusieurs interventions: </w:t>
      </w:r>
      <w:r w:rsidR="00DE3A23" w:rsidRPr="00A273EC">
        <w:rPr>
          <w:rFonts w:ascii="Bookman Old Style" w:hAnsi="Bookman Old Style" w:cs="Times New Roman"/>
          <w:sz w:val="24"/>
          <w:szCs w:val="24"/>
        </w:rPr>
        <w:t>l’améli</w:t>
      </w:r>
      <w:r w:rsidR="00D65803" w:rsidRPr="00A273EC">
        <w:rPr>
          <w:rFonts w:ascii="Bookman Old Style" w:hAnsi="Bookman Old Style" w:cs="Times New Roman"/>
          <w:sz w:val="24"/>
          <w:szCs w:val="24"/>
        </w:rPr>
        <w:t xml:space="preserve">oration des pratiques agricoles </w:t>
      </w:r>
      <w:r w:rsidR="00DE3A23" w:rsidRPr="00A273EC">
        <w:rPr>
          <w:rFonts w:ascii="Bookman Old Style" w:hAnsi="Bookman Old Style" w:cs="Times New Roman"/>
          <w:sz w:val="24"/>
          <w:szCs w:val="24"/>
        </w:rPr>
        <w:t>et d’élevage par leur modernisation, le développement du secteur minier par la mise en valeur des gisements potentiels des minerais et l’encadrement des artisans miniers, le développement des infrastructures d’appui à la production à travers le renforcement et la diversification des capacités de production de l’énergie, l’entretien et la construction des routes i</w:t>
      </w:r>
      <w:r w:rsidRPr="00A273EC">
        <w:rPr>
          <w:rFonts w:ascii="Bookman Old Style" w:hAnsi="Bookman Old Style" w:cs="Times New Roman"/>
          <w:sz w:val="24"/>
          <w:szCs w:val="24"/>
        </w:rPr>
        <w:t>nterprovinciales et communales,</w:t>
      </w:r>
      <w:r w:rsidR="00DE3A23" w:rsidRPr="00A273EC">
        <w:rPr>
          <w:rFonts w:ascii="Bookman Old Style" w:hAnsi="Bookman Old Style" w:cs="Times New Roman"/>
          <w:sz w:val="24"/>
          <w:szCs w:val="24"/>
        </w:rPr>
        <w:t xml:space="preserve"> la promotion des entreprises privées par la mise en place des conditions favorables à la protection de l’entreprenariat privé pour ac</w:t>
      </w:r>
      <w:r w:rsidRPr="00A273EC">
        <w:rPr>
          <w:rFonts w:ascii="Bookman Old Style" w:hAnsi="Bookman Old Style" w:cs="Times New Roman"/>
          <w:sz w:val="24"/>
          <w:szCs w:val="24"/>
        </w:rPr>
        <w:t>croître les emplois des jeunes,</w:t>
      </w:r>
      <w:r w:rsidR="00DE3A23" w:rsidRPr="00A273EC">
        <w:rPr>
          <w:rFonts w:ascii="Bookman Old Style" w:hAnsi="Bookman Old Style" w:cs="Times New Roman"/>
          <w:sz w:val="24"/>
          <w:szCs w:val="24"/>
        </w:rPr>
        <w:t xml:space="preserve"> l’impulsion du système éducatif en assurant l’accès à la formation de qualité, l’équité, l’ enseignement d’excellence et l’ini</w:t>
      </w:r>
      <w:r w:rsidRPr="00A273EC">
        <w:rPr>
          <w:rFonts w:ascii="Bookman Old Style" w:hAnsi="Bookman Old Style" w:cs="Times New Roman"/>
          <w:sz w:val="24"/>
          <w:szCs w:val="24"/>
        </w:rPr>
        <w:t>tiative de recherche appliquée,</w:t>
      </w:r>
      <w:r w:rsidR="00DE3A23" w:rsidRPr="00A273EC">
        <w:rPr>
          <w:rFonts w:ascii="Bookman Old Style" w:hAnsi="Bookman Old Style" w:cs="Times New Roman"/>
          <w:sz w:val="24"/>
          <w:szCs w:val="24"/>
        </w:rPr>
        <w:t xml:space="preserve"> la promotion de la santé par le renforcement des capacités de lutte contre les maladies transmissibles, non transmissibles et des maladies tropicales négligées, la vaccination et la malnutrition.</w:t>
      </w:r>
    </w:p>
    <w:p w:rsidR="00F41932" w:rsidRPr="00CA196C" w:rsidRDefault="00F41932" w:rsidP="00F41932">
      <w:pPr>
        <w:pStyle w:val="Paragraphedeliste"/>
        <w:autoSpaceDE w:val="0"/>
        <w:autoSpaceDN w:val="0"/>
        <w:adjustRightInd w:val="0"/>
        <w:spacing w:before="160" w:after="120" w:line="240" w:lineRule="auto"/>
        <w:ind w:left="360"/>
        <w:jc w:val="both"/>
        <w:rPr>
          <w:rFonts w:ascii="Bookman Old Style" w:hAnsi="Bookman Old Style" w:cs="Times New Roman"/>
          <w:sz w:val="24"/>
          <w:szCs w:val="24"/>
        </w:rPr>
      </w:pPr>
    </w:p>
    <w:p w:rsidR="00F41932" w:rsidRPr="00CA196C" w:rsidRDefault="00DE3A23" w:rsidP="00E92676">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La dynamique de la croissance économique inclut d’autres piliers de développement dont la sécurité sociale à travers le renforcement des structures existantes de protection sociale et la promotion des mécanismes de financement notamment le développement de l’assurance communautaire et privé</w:t>
      </w:r>
      <w:r w:rsidR="00F41932" w:rsidRPr="00CA196C">
        <w:rPr>
          <w:rFonts w:ascii="Bookman Old Style" w:hAnsi="Bookman Old Style" w:cs="Times New Roman"/>
          <w:sz w:val="24"/>
          <w:szCs w:val="24"/>
        </w:rPr>
        <w:t>e</w:t>
      </w:r>
      <w:r w:rsidRPr="00CA196C">
        <w:rPr>
          <w:rFonts w:ascii="Bookman Old Style" w:hAnsi="Bookman Old Style" w:cs="Times New Roman"/>
          <w:sz w:val="24"/>
          <w:szCs w:val="24"/>
        </w:rPr>
        <w:t xml:space="preserve"> axée particulièrement sur la protection de la population vulnérable e</w:t>
      </w:r>
      <w:r w:rsidR="00F41932" w:rsidRPr="00CA196C">
        <w:rPr>
          <w:rFonts w:ascii="Bookman Old Style" w:hAnsi="Bookman Old Style" w:cs="Times New Roman"/>
          <w:sz w:val="24"/>
          <w:szCs w:val="24"/>
        </w:rPr>
        <w:t xml:space="preserve">t surtout les personnes âgées, </w:t>
      </w:r>
      <w:r w:rsidRPr="00CA196C">
        <w:rPr>
          <w:rFonts w:ascii="Bookman Old Style" w:hAnsi="Bookman Old Style" w:cs="Times New Roman"/>
          <w:sz w:val="24"/>
          <w:szCs w:val="24"/>
        </w:rPr>
        <w:t>la prise en charge des sans emploi et des personnes vivant avec le handicap ainsi que la création d’ un fonds d’emploi des jeunes et la redynamisation du fonds de soutien à l’investissement privé.</w:t>
      </w:r>
    </w:p>
    <w:p w:rsidR="00F41932" w:rsidRPr="00CA196C" w:rsidRDefault="00F41932" w:rsidP="00F41932">
      <w:pPr>
        <w:pStyle w:val="Paragraphedeliste"/>
        <w:rPr>
          <w:rFonts w:ascii="Bookman Old Style" w:hAnsi="Bookman Old Style" w:cs="Times New Roman"/>
          <w:sz w:val="24"/>
          <w:szCs w:val="24"/>
        </w:rPr>
      </w:pPr>
    </w:p>
    <w:p w:rsidR="00F41932" w:rsidRPr="00CA196C" w:rsidRDefault="00DE3A23" w:rsidP="00E92676">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lastRenderedPageBreak/>
        <w:t>Dans le contexte mondial d’intégration économique pour une croissance soutenue, le Burundi est appelé à tisser un partenariat solide avec le secteur privé, les pays limitrophes, les pays du continent africain et ceux du reste du monde.</w:t>
      </w:r>
      <w:r w:rsidR="00F41932" w:rsidRPr="00CA196C">
        <w:rPr>
          <w:rFonts w:ascii="Bookman Old Style" w:hAnsi="Bookman Old Style" w:cs="Times New Roman"/>
          <w:sz w:val="24"/>
          <w:szCs w:val="24"/>
        </w:rPr>
        <w:t xml:space="preserve"> </w:t>
      </w:r>
      <w:r w:rsidRPr="00CA196C">
        <w:rPr>
          <w:rFonts w:ascii="Bookman Old Style" w:hAnsi="Bookman Old Style" w:cs="Times New Roman"/>
          <w:sz w:val="24"/>
          <w:szCs w:val="24"/>
        </w:rPr>
        <w:t xml:space="preserve">Pour financer le Plan d’Actions Prioritaires du PND, le </w:t>
      </w:r>
      <w:r w:rsidR="00D71F7F" w:rsidRPr="00CA196C">
        <w:rPr>
          <w:rFonts w:ascii="Bookman Old Style" w:hAnsi="Bookman Old Style" w:cs="Times New Roman"/>
          <w:sz w:val="24"/>
          <w:szCs w:val="24"/>
        </w:rPr>
        <w:t>Gouvernement</w:t>
      </w:r>
      <w:r w:rsidRPr="00CA196C">
        <w:rPr>
          <w:rFonts w:ascii="Bookman Old Style" w:hAnsi="Bookman Old Style" w:cs="Times New Roman"/>
          <w:sz w:val="24"/>
          <w:szCs w:val="24"/>
        </w:rPr>
        <w:t xml:space="preserve"> envisage un mécanisme de mobilisation des ressources internes à travers le renforcement de l’OBR afin d’accroître l’assiette fiscale. En parallèle, il devra établir une stratégie de mobilisation des ressources externes en tenant compte de l’équilibre des agrégats macroéconomiques pour contenir ou réduire sensiblement l’inflation.</w:t>
      </w:r>
    </w:p>
    <w:p w:rsidR="00F41932" w:rsidRPr="00CA196C" w:rsidRDefault="00F41932" w:rsidP="00F41932">
      <w:pPr>
        <w:pStyle w:val="Paragraphedeliste"/>
        <w:rPr>
          <w:rFonts w:ascii="Bookman Old Style" w:hAnsi="Bookman Old Style" w:cs="Times New Roman"/>
          <w:sz w:val="24"/>
          <w:szCs w:val="24"/>
        </w:rPr>
      </w:pPr>
    </w:p>
    <w:p w:rsidR="00DE3A23" w:rsidRPr="00CA196C" w:rsidRDefault="00DE3A23" w:rsidP="00E92676">
      <w:pPr>
        <w:pStyle w:val="Paragraphedeliste"/>
        <w:numPr>
          <w:ilvl w:val="0"/>
          <w:numId w:val="5"/>
        </w:numPr>
        <w:autoSpaceDE w:val="0"/>
        <w:autoSpaceDN w:val="0"/>
        <w:adjustRightInd w:val="0"/>
        <w:spacing w:before="160" w:after="120" w:line="240" w:lineRule="auto"/>
        <w:jc w:val="both"/>
        <w:rPr>
          <w:rFonts w:ascii="Bookman Old Style" w:hAnsi="Bookman Old Style" w:cs="Times New Roman"/>
          <w:sz w:val="24"/>
          <w:szCs w:val="24"/>
        </w:rPr>
      </w:pPr>
      <w:r w:rsidRPr="00CA196C">
        <w:rPr>
          <w:rFonts w:ascii="Bookman Old Style" w:hAnsi="Bookman Old Style" w:cs="Times New Roman"/>
          <w:sz w:val="24"/>
          <w:szCs w:val="24"/>
        </w:rPr>
        <w:t xml:space="preserve">Pour la mise en œuvre du PND Burundi 2018-2027, </w:t>
      </w:r>
      <w:r w:rsidR="00F03449" w:rsidRPr="00CA196C">
        <w:rPr>
          <w:rFonts w:ascii="Bookman Old Style" w:hAnsi="Bookman Old Style" w:cs="Times New Roman"/>
          <w:sz w:val="24"/>
          <w:szCs w:val="24"/>
        </w:rPr>
        <w:t xml:space="preserve">elle sera coordonnée par </w:t>
      </w:r>
      <w:r w:rsidR="00F41932" w:rsidRPr="00CA196C">
        <w:rPr>
          <w:rFonts w:ascii="Bookman Old Style" w:hAnsi="Bookman Old Style" w:cs="Times New Roman"/>
          <w:sz w:val="24"/>
          <w:szCs w:val="24"/>
        </w:rPr>
        <w:t xml:space="preserve">le Ministère en charge de la planification </w:t>
      </w:r>
      <w:r w:rsidR="004864CE" w:rsidRPr="00CA196C">
        <w:rPr>
          <w:rFonts w:ascii="Bookman Old Style" w:hAnsi="Bookman Old Style" w:cs="Times New Roman"/>
          <w:sz w:val="24"/>
          <w:szCs w:val="24"/>
        </w:rPr>
        <w:t xml:space="preserve">en collaboration avec les Ministères et structures techniques opérationnels de mise en œuvre et de suivi sectoriel et local. </w:t>
      </w:r>
      <w:r w:rsidR="006561AC" w:rsidRPr="00CA196C">
        <w:rPr>
          <w:rFonts w:ascii="Bookman Old Style" w:hAnsi="Bookman Old Style" w:cs="Times New Roman"/>
          <w:sz w:val="24"/>
          <w:szCs w:val="24"/>
        </w:rPr>
        <w:t>L</w:t>
      </w:r>
      <w:r w:rsidR="006561AC" w:rsidRPr="00CA196C">
        <w:rPr>
          <w:rFonts w:ascii="Bookman Old Style" w:hAnsi="Bookman Old Style" w:cs="Times New Roman"/>
          <w:b/>
          <w:bCs/>
          <w:iCs/>
          <w:sz w:val="24"/>
          <w:szCs w:val="24"/>
        </w:rPr>
        <w:t>a Direction Générale ayant le Plan dans ses attributions</w:t>
      </w:r>
      <w:r w:rsidR="006561AC" w:rsidRPr="00CA196C">
        <w:rPr>
          <w:rFonts w:ascii="Bookman Old Style" w:hAnsi="Bookman Old Style" w:cs="Times New Roman"/>
          <w:b/>
          <w:bCs/>
          <w:i/>
          <w:iCs/>
          <w:sz w:val="24"/>
          <w:szCs w:val="24"/>
        </w:rPr>
        <w:t xml:space="preserve"> </w:t>
      </w:r>
      <w:r w:rsidR="006561AC" w:rsidRPr="00CA196C">
        <w:rPr>
          <w:rFonts w:ascii="Bookman Old Style" w:hAnsi="Bookman Old Style" w:cs="Times New Roman"/>
          <w:sz w:val="24"/>
          <w:szCs w:val="24"/>
        </w:rPr>
        <w:t xml:space="preserve">est chargée de l’élaboration du cadre macroéconomique, de la programmation et du suivi-évaluation de la mise en œuvre des programmes et projets phares et mesures clés du PND Burundi 2018-2027. </w:t>
      </w:r>
      <w:r w:rsidRPr="00CA196C">
        <w:rPr>
          <w:rFonts w:ascii="Bookman Old Style" w:hAnsi="Bookman Old Style" w:cs="Times New Roman"/>
          <w:bCs/>
          <w:sz w:val="24"/>
          <w:szCs w:val="24"/>
        </w:rPr>
        <w:t xml:space="preserve">Lors de la mise en œuvre du </w:t>
      </w:r>
      <w:r w:rsidR="000920EC" w:rsidRPr="00CA196C">
        <w:rPr>
          <w:rFonts w:ascii="Bookman Old Style" w:hAnsi="Bookman Old Style" w:cs="Times New Roman"/>
          <w:bCs/>
          <w:sz w:val="24"/>
          <w:szCs w:val="24"/>
        </w:rPr>
        <w:t>PND BURUNDI 2018-2027</w:t>
      </w:r>
      <w:r w:rsidRPr="00CA196C">
        <w:rPr>
          <w:rFonts w:ascii="Bookman Old Style" w:hAnsi="Bookman Old Style" w:cs="Times New Roman"/>
          <w:bCs/>
          <w:sz w:val="24"/>
          <w:szCs w:val="24"/>
        </w:rPr>
        <w:t xml:space="preserve">, le </w:t>
      </w:r>
      <w:r w:rsidR="00D71F7F" w:rsidRPr="00CA196C">
        <w:rPr>
          <w:rFonts w:ascii="Bookman Old Style" w:hAnsi="Bookman Old Style" w:cs="Times New Roman"/>
          <w:bCs/>
          <w:sz w:val="24"/>
          <w:szCs w:val="24"/>
        </w:rPr>
        <w:t>Gouvernement</w:t>
      </w:r>
      <w:r w:rsidRPr="00CA196C">
        <w:rPr>
          <w:rFonts w:ascii="Bookman Old Style" w:hAnsi="Bookman Old Style" w:cs="Times New Roman"/>
          <w:bCs/>
          <w:sz w:val="24"/>
          <w:szCs w:val="24"/>
        </w:rPr>
        <w:t xml:space="preserve"> devra renforcer</w:t>
      </w:r>
      <w:r w:rsidR="00975947" w:rsidRPr="00CA196C">
        <w:rPr>
          <w:rFonts w:ascii="Bookman Old Style" w:hAnsi="Bookman Old Style" w:cs="Times New Roman"/>
          <w:bCs/>
          <w:sz w:val="24"/>
          <w:szCs w:val="24"/>
        </w:rPr>
        <w:t xml:space="preserve"> l’équipe en charge de suivi-évaluation,</w:t>
      </w:r>
      <w:r w:rsidRPr="00CA196C">
        <w:rPr>
          <w:rFonts w:ascii="Bookman Old Style" w:hAnsi="Bookman Old Style" w:cs="Times New Roman"/>
          <w:bCs/>
          <w:sz w:val="24"/>
          <w:szCs w:val="24"/>
        </w:rPr>
        <w:t xml:space="preserve"> le système d’information statistique notamment l’ISTEEBU et les services satellites de production des données statistiques</w:t>
      </w:r>
      <w:r w:rsidR="00E61C44" w:rsidRPr="00CA196C">
        <w:rPr>
          <w:rFonts w:ascii="Bookman Old Style" w:hAnsi="Bookman Old Style" w:cs="Times New Roman"/>
          <w:bCs/>
          <w:sz w:val="24"/>
          <w:szCs w:val="24"/>
        </w:rPr>
        <w:t xml:space="preserve"> au niveau sectoriel et local</w:t>
      </w:r>
      <w:r w:rsidRPr="00CA196C">
        <w:rPr>
          <w:rFonts w:ascii="Bookman Old Style" w:hAnsi="Bookman Old Style" w:cs="Times New Roman"/>
          <w:b/>
          <w:bCs/>
          <w:sz w:val="24"/>
          <w:szCs w:val="24"/>
        </w:rPr>
        <w:t>.</w:t>
      </w:r>
    </w:p>
    <w:p w:rsidR="000320D1" w:rsidRPr="00CA196C" w:rsidRDefault="00DE3A23" w:rsidP="00E92676">
      <w:pPr>
        <w:spacing w:before="160" w:after="120" w:line="240" w:lineRule="auto"/>
        <w:jc w:val="both"/>
        <w:rPr>
          <w:rFonts w:ascii="Bookman Old Style" w:hAnsi="Bookman Old Style" w:cs="Times New Roman"/>
          <w:b/>
          <w:bCs/>
          <w:sz w:val="24"/>
          <w:szCs w:val="24"/>
        </w:rPr>
        <w:sectPr w:rsidR="000320D1" w:rsidRPr="00CA196C" w:rsidSect="00852923">
          <w:pgSz w:w="11906" w:h="16838"/>
          <w:pgMar w:top="1417" w:right="1417" w:bottom="1417" w:left="1417" w:header="708" w:footer="708" w:gutter="0"/>
          <w:pgNumType w:start="1"/>
          <w:cols w:space="708"/>
          <w:titlePg/>
          <w:docGrid w:linePitch="360"/>
        </w:sectPr>
      </w:pPr>
      <w:r w:rsidRPr="00CA196C">
        <w:rPr>
          <w:rFonts w:ascii="Bookman Old Style" w:hAnsi="Bookman Old Style" w:cs="Times New Roman"/>
          <w:b/>
          <w:bCs/>
          <w:sz w:val="24"/>
          <w:szCs w:val="24"/>
        </w:rPr>
        <w:br w:type="page"/>
      </w:r>
    </w:p>
    <w:p w:rsidR="00DE3A23" w:rsidRPr="00CA196C" w:rsidRDefault="00DE3A23" w:rsidP="005D43FC">
      <w:pPr>
        <w:pStyle w:val="Titre1"/>
      </w:pPr>
      <w:bookmarkStart w:id="352" w:name="_Toc500667062"/>
      <w:bookmarkStart w:id="353" w:name="_Toc511080969"/>
      <w:bookmarkStart w:id="354" w:name="_Toc511081645"/>
      <w:r w:rsidRPr="00CA196C">
        <w:lastRenderedPageBreak/>
        <w:t>ANNEXES</w:t>
      </w:r>
      <w:bookmarkEnd w:id="352"/>
      <w:bookmarkEnd w:id="353"/>
      <w:bookmarkEnd w:id="354"/>
      <w:r w:rsidRPr="00CA196C">
        <w:t xml:space="preserve"> </w:t>
      </w:r>
    </w:p>
    <w:p w:rsidR="00DE3A23" w:rsidRPr="00CA196C" w:rsidRDefault="00DE3A23" w:rsidP="00E92676">
      <w:pPr>
        <w:autoSpaceDE w:val="0"/>
        <w:autoSpaceDN w:val="0"/>
        <w:adjustRightInd w:val="0"/>
        <w:spacing w:before="160" w:after="120" w:line="240" w:lineRule="auto"/>
        <w:jc w:val="both"/>
        <w:outlineLvl w:val="0"/>
        <w:rPr>
          <w:rFonts w:ascii="Bookman Old Style" w:hAnsi="Bookman Old Style" w:cs="Times New Roman"/>
          <w:b/>
          <w:bCs/>
          <w:sz w:val="24"/>
          <w:szCs w:val="24"/>
        </w:rPr>
      </w:pPr>
    </w:p>
    <w:p w:rsidR="00DE3A23" w:rsidRPr="00CA196C" w:rsidRDefault="00DE3A23" w:rsidP="00E92676">
      <w:pPr>
        <w:autoSpaceDE w:val="0"/>
        <w:autoSpaceDN w:val="0"/>
        <w:adjustRightInd w:val="0"/>
        <w:spacing w:before="160" w:after="120" w:line="240" w:lineRule="auto"/>
        <w:jc w:val="both"/>
        <w:outlineLvl w:val="0"/>
        <w:rPr>
          <w:rFonts w:ascii="Bookman Old Style" w:hAnsi="Bookman Old Style" w:cs="Times New Roman"/>
          <w:b/>
          <w:bCs/>
          <w:sz w:val="24"/>
          <w:szCs w:val="24"/>
        </w:rPr>
      </w:pPr>
      <w:bookmarkStart w:id="355" w:name="_Toc511080970"/>
      <w:bookmarkStart w:id="356" w:name="_Toc511081646"/>
      <w:r w:rsidRPr="00CA196C">
        <w:rPr>
          <w:rFonts w:ascii="Bookman Old Style" w:hAnsi="Bookman Old Style" w:cs="Times New Roman"/>
          <w:b/>
          <w:bCs/>
          <w:sz w:val="24"/>
          <w:szCs w:val="24"/>
        </w:rPr>
        <w:t>ANNEXE 1 : PLAN D’ACTIONS PRIORITAIRES</w:t>
      </w:r>
      <w:bookmarkEnd w:id="355"/>
      <w:bookmarkEnd w:id="356"/>
    </w:p>
    <w:p w:rsidR="00DE3A23" w:rsidRPr="00CA196C" w:rsidRDefault="00DE3A23" w:rsidP="00E92676">
      <w:pPr>
        <w:spacing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br w:type="page"/>
      </w:r>
    </w:p>
    <w:p w:rsidR="00EA6409" w:rsidRDefault="00EA6409" w:rsidP="00CE3AE8">
      <w:pPr>
        <w:autoSpaceDE w:val="0"/>
        <w:autoSpaceDN w:val="0"/>
        <w:adjustRightInd w:val="0"/>
        <w:spacing w:after="120" w:line="240" w:lineRule="auto"/>
        <w:jc w:val="both"/>
        <w:outlineLvl w:val="0"/>
        <w:rPr>
          <w:rFonts w:ascii="Bookman Old Style" w:hAnsi="Bookman Old Style" w:cs="Times New Roman"/>
          <w:b/>
          <w:bCs/>
          <w:sz w:val="24"/>
          <w:szCs w:val="24"/>
        </w:rPr>
      </w:pPr>
      <w:bookmarkStart w:id="357" w:name="_Toc511080971"/>
      <w:bookmarkStart w:id="358" w:name="_Toc511081647"/>
      <w:r>
        <w:rPr>
          <w:rFonts w:ascii="Bookman Old Style" w:hAnsi="Bookman Old Style" w:cs="Times New Roman"/>
          <w:b/>
          <w:bCs/>
          <w:sz w:val="24"/>
          <w:szCs w:val="24"/>
        </w:rPr>
        <w:lastRenderedPageBreak/>
        <w:t>ANNEXE 2 : CADRE LOGIQUE ET TABLEAU SYNOPTIQUE</w:t>
      </w:r>
      <w:bookmarkEnd w:id="357"/>
      <w:bookmarkEnd w:id="358"/>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tbl>
      <w:tblPr>
        <w:tblW w:w="1630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8"/>
        <w:gridCol w:w="2052"/>
        <w:gridCol w:w="1985"/>
        <w:gridCol w:w="1843"/>
        <w:gridCol w:w="8507"/>
      </w:tblGrid>
      <w:tr w:rsidR="00CE3AE8" w:rsidTr="00CE3AE8">
        <w:trPr>
          <w:trHeight w:val="645"/>
          <w:tblHeader/>
        </w:trPr>
        <w:tc>
          <w:tcPr>
            <w:tcW w:w="1917" w:type="dxa"/>
            <w:tcBorders>
              <w:top w:val="single" w:sz="4" w:space="0" w:color="auto"/>
              <w:left w:val="single" w:sz="4" w:space="0" w:color="auto"/>
              <w:bottom w:val="single" w:sz="4" w:space="0" w:color="auto"/>
              <w:right w:val="single" w:sz="4" w:space="0" w:color="auto"/>
            </w:tcBorders>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ORIENTATIONS STRATEGIQUES</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PROGRAMMES</w:t>
            </w:r>
          </w:p>
        </w:tc>
        <w:tc>
          <w:tcPr>
            <w:tcW w:w="850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PROJETS</w:t>
            </w:r>
          </w:p>
        </w:tc>
      </w:tr>
      <w:tr w:rsidR="00CE3AE8" w:rsidTr="00CE3AE8">
        <w:trPr>
          <w:trHeight w:val="330"/>
        </w:trPr>
        <w:tc>
          <w:tcPr>
            <w:tcW w:w="16302" w:type="dxa"/>
            <w:gridSpan w:val="5"/>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4"/>
                <w:szCs w:val="24"/>
                <w:lang w:eastAsia="fr-FR"/>
              </w:rPr>
            </w:pPr>
            <w:r>
              <w:rPr>
                <w:rFonts w:ascii="Bookman Old Style" w:eastAsia="Times New Roman" w:hAnsi="Bookman Old Style" w:cs="Times New Roman"/>
                <w:b/>
                <w:bCs/>
                <w:color w:val="000000"/>
                <w:sz w:val="20"/>
                <w:szCs w:val="20"/>
                <w:lang w:eastAsia="fr-FR"/>
              </w:rPr>
              <w:t>ENJEU 1 : UNE CROISSANCE SOUTENUE ET INCLUSIVE POUR UNE RESILIENCE ECONOMIQUE ET UN DEVELOPPEMENT DURABLE</w:t>
            </w:r>
          </w:p>
        </w:tc>
      </w:tr>
      <w:tr w:rsidR="00CE3AE8" w:rsidTr="00CE3AE8">
        <w:trPr>
          <w:trHeight w:val="300"/>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1. Développer les secteurs porteurs de croissance</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Axe 1. Développement de l'Agriculture, élevage et renforcement de la sécurité alimentaire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Renforcer les capacités institutionnelles et organisationnelles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Réforme organisationnelle  et fonctionnelle du secteur</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des structures  institutionnelles au niveau central et local </w:t>
            </w:r>
          </w:p>
        </w:tc>
      </w:tr>
      <w:tr w:rsidR="00CE3AE8" w:rsidTr="00CE3AE8">
        <w:trPr>
          <w:trHeight w:val="37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Professionnalisation des producteurs et développement des initiatives privées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Appui aux financements des crédits agricoles et  à l'assurance des productions agricoles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Accroître de façon durable la production agricole, animale et halieutique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Protection et  amélioration du capital productif</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Exploitation rationnelle et optimale des ressources naturelles en particulier la terre et les ressources en eau</w:t>
            </w:r>
          </w:p>
        </w:tc>
      </w:tr>
      <w:tr w:rsidR="00CE3AE8" w:rsidTr="00CE3AE8">
        <w:trPr>
          <w:trHeight w:val="55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Amélioration du système d’approvisionnement en intrants et amendements agricoles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Redynamisation du système d’intégration agro-sylvo-pastorale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4. Promotion de la mécanisation agricole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Promotion de la spécialisation/ régionalisation des cultures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6. Développement de la résilience au  changement climatique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Développement de la recherche et de l’innovation</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la recherche agronomique  et zootechnique  fondamentale</w:t>
            </w:r>
          </w:p>
        </w:tc>
      </w:tr>
      <w:tr w:rsidR="00CE3AE8" w:rsidTr="00CE3AE8">
        <w:trPr>
          <w:trHeight w:val="64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Promotion  et adaptation de  l’agriculture de conservation et l’approche IPM ‘’Integrated Pest Management"</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color w:val="000000"/>
                <w:sz w:val="20"/>
                <w:szCs w:val="20"/>
                <w:lang w:eastAsia="fr-FR"/>
              </w:rPr>
              <w:t>3. Promouvoir une agriculture de marché</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Diversification et accroissement de la production </w:t>
            </w:r>
            <w:r>
              <w:rPr>
                <w:rFonts w:ascii="Bookman Old Style" w:eastAsia="Times New Roman" w:hAnsi="Bookman Old Style" w:cs="Times New Roman"/>
                <w:sz w:val="20"/>
                <w:szCs w:val="20"/>
                <w:lang w:eastAsia="fr-FR"/>
              </w:rPr>
              <w:lastRenderedPageBreak/>
              <w:t>des cultures et des animaux</w:t>
            </w: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bCs/>
                <w:sz w:val="20"/>
                <w:szCs w:val="20"/>
                <w:lang w:eastAsia="fr-FR"/>
              </w:rPr>
              <w:lastRenderedPageBreak/>
              <w:t>1.</w:t>
            </w:r>
            <w:r>
              <w:rPr>
                <w:rFonts w:ascii="Bookman Old Style" w:eastAsia="Times New Roman" w:hAnsi="Bookman Old Style" w:cs="Times New Roman"/>
                <w:bCs/>
                <w:sz w:val="20"/>
                <w:szCs w:val="20"/>
                <w:lang w:val="fr-BE" w:eastAsia="fr-FR"/>
              </w:rPr>
              <w:t xml:space="preserve"> A</w:t>
            </w:r>
            <w:r>
              <w:rPr>
                <w:rFonts w:ascii="Bookman Old Style" w:eastAsia="Times New Roman" w:hAnsi="Bookman Old Style" w:cs="Times New Roman"/>
                <w:bCs/>
                <w:sz w:val="20"/>
                <w:szCs w:val="20"/>
                <w:lang w:eastAsia="fr-FR"/>
              </w:rPr>
              <w:t xml:space="preserve">ccroissement de la production des cultures vivrières (maïs, riz, haricot, pomme de terre, banane, fruits et légumes)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bCs/>
                <w:sz w:val="20"/>
                <w:szCs w:val="20"/>
                <w:lang w:eastAsia="fr-FR"/>
              </w:rPr>
              <w:t>2. Accroissement des productions animales et halieutiques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Augmentation  de la production par extension et intensification des cultures industrielles existantes (café, thé, coton, canne à sucre, huile de palme)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Promotion de nouvelles cultures d'exportation (avocat, légumes, fleurs, quinquina, stevia, moringa, tournesol, umuvyi, macadamia, cacao, vigne, pomme,...)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Valorisation des produits agricoles, pastoraux et halieutiques</w:t>
            </w: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Transformation et conservation des produits vivriers pastoraux et halieutique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Désenclavement des zones de production/ Facilitation de l’accès au marché</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Promotion, renforcement et structuration des organisations des acteurs de la valorisation agricole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2. Développement des Infrastructures d’appui à la production (Energie, Eau potable, Transport, TIC.)</w:t>
            </w: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 l'Energie</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tcPr>
          <w:p w:rsidR="00CE3AE8" w:rsidRDefault="00CE3AE8">
            <w:pPr>
              <w:rPr>
                <w:rFonts w:ascii="Bookman Old Style" w:hAnsi="Bookman Old Style"/>
                <w:sz w:val="24"/>
                <w:szCs w:val="24"/>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1. Valoriser  les potentiels hydroélectrique, solaire, la tourbe, déchets municipaux et les ressources géothermique 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Réhabilitation des microcentrales, lignes et postes électrique et  extension du réseau électrique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Réhabilitation des microcentrales et électrification des centres de l'intérieur du pays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Modernisation et Réhabilitation du réseau Electrique de la ville de Bujumbura</w:t>
            </w:r>
          </w:p>
        </w:tc>
      </w:tr>
      <w:tr w:rsidR="00CE3AE8" w:rsidTr="00CE3AE8">
        <w:trPr>
          <w:trHeight w:val="79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Modernisation et Réhabilitation du réseau électrique  (MT) et  (BT) de la Ville de Gitega  et du réseau  MT 30 kV Bujumbura-Ijenda-Tora et extension pour l’alimentation en électricité des centres de Buhonga, Nyabiraba et Matara</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Electrification des nouveaux quartiers de la ville de Bujumbura et des centres urbains de l'Intérieur du Pays</w:t>
            </w:r>
          </w:p>
        </w:tc>
      </w:tr>
      <w:tr w:rsidR="00CE3AE8" w:rsidTr="00CE3AE8">
        <w:trPr>
          <w:trHeight w:val="58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Réhabilitation des centrales hydroélectriques et du réseau de transmission (postes  et  lignes Electriques MT/BT) de la REGIDESO</w:t>
            </w:r>
          </w:p>
        </w:tc>
      </w:tr>
      <w:tr w:rsidR="00CE3AE8" w:rsidTr="00CE3AE8">
        <w:trPr>
          <w:trHeight w:val="58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6. Protection des centrales hydroélectriques contre les risques catastrophiques (inondation).</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Aménagement des centrales électriques nationales et régionales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de la centrale Hydroélectrique MPANDA (10,4 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2. Aménagement de la centrale hydroélectrique de Kabu 16 (20 MW)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3. Aménagement de la centrale hydroélectrique Jiji et Mulembwe (PHJIMU) (49.5MW)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4. Aménagement de la centrale régionale de Rusumo Falls (26,7MW)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5. Aménagement de la Centrale régionale RuziziIII (49 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6. Interconnexions régionales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7. Aménagement de la centrale de RUZIBAZI (15MW)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8. Aménagement de la centrale hydroélectrique de KAGUNUZI 06 (12MW) avec hydro 4MW et solaire 8MW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9. Aménagement de la centrale hydroélectrique KIRASA-KARONGE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10. Aménagement d’une centrale hydroélectrique de Masango (KITE 020 ; 7,9MW )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11. Aménagement d’une centrale hydroélectrique  de Dama (8,8 MW) en trois cascades Dama032, Dama028et Dama015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12. Aménagement d’une centrale hydroélectrique  de Muyovozi (7 MW) en deux cascades (Muyo029 et Muyo033)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13. Aménagement d’une centrale hydroélectrique  de Nyengwe en trois cascades (8MW)  (Nyen006, Nyen010  et Nyen028)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14.  ménagement d’une Centrale hydroélectrique  sur la rivière Kaburantwa KABU 23 (15.75 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 xml:space="preserve">15. Aménagement de la MCHE de NYAMWONDO (150 kW) et électrification du centre de MWAKIRO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16. Aménagement de la MCHE de MUSASA ( ???? 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 xml:space="preserve">17. Aménagement de sept (7) microcentrales sur les sites: Dama (500kW) ; WAGA </w:t>
            </w:r>
            <w:r>
              <w:rPr>
                <w:rFonts w:ascii="Bookman Old Style" w:eastAsia="Times New Roman" w:hAnsi="Bookman Old Style" w:cs="Times New Roman"/>
                <w:sz w:val="20"/>
                <w:szCs w:val="20"/>
                <w:lang w:eastAsia="fr-FR"/>
              </w:rPr>
              <w:lastRenderedPageBreak/>
              <w:t>(2000kW), RUZIBAZI (600kW), MWOGERE (700kW), NYAMAGANA (600kW), GIKUKA (800kW) et Nyamirenda (30kW)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18. Microcentrale hydroélectrique de Giheta (220 KW)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Aménagement des centrales solaires</w:t>
            </w:r>
            <w:r>
              <w:rPr>
                <w:rFonts w:ascii="Bookman Old Style" w:eastAsia="Times New Roman" w:hAnsi="Bookman Old Style" w:cs="Times New Roman"/>
                <w:b/>
                <w:bCs/>
                <w:sz w:val="20"/>
                <w:szCs w:val="20"/>
                <w:lang w:eastAsia="fr-FR"/>
              </w:rPr>
              <w:t>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Aménagement de la Centrale solaire de Mubuga/Gitega de 7,5 MW (PPP)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2. Aménagement de la Centrale solaire de Rubira/Bubanza de 11 MW (PPP)</w:t>
            </w:r>
          </w:p>
        </w:tc>
      </w:tr>
      <w:tr w:rsidR="00CE3AE8" w:rsidTr="00CE3AE8">
        <w:trPr>
          <w:trHeight w:val="54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3. Aménagement des centrales solaires de Bubanza (10 MW) et Gitega (10 MW) (PPP)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4. Aménagement des micros réseaux solaires : centres de Ndava/Ryansoro (25 KWp), Gatereni/Gitanga (50 KWp), Buheka ( 25 KWp) et Kazirabageni/Nyanza-Lac (50 KWp).</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Aménagement des centrales thermiques à base de la tourbe ou des  déchets municipaux</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Aménagement d'une centrale  thermique à base de la tourbe (20MW)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2. Centrale thermique à base de tourbe (PPP) (15 MW)</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3. Aménagement d’une centrale thermique à base des déchets municipaux (30MW) (PPP)</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Améliorer la filière biomasse (bois-énergie, charbon de bois, tourbe, déchets municipaux)  tout en sauvegardant l’environnement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des techniques de carbonisation améliorées du bois et les foyers améliorés à charbon de bois, de la tourbe et des déchets municipaux</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des capacités sur les  techniques de carbonisation améliorée du bois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Appui à la production et à la vulgarisation des foyers améliorés</w:t>
            </w:r>
          </w:p>
        </w:tc>
      </w:tr>
      <w:tr w:rsidR="00CE3AE8" w:rsidTr="00CE3AE8">
        <w:trPr>
          <w:trHeight w:val="9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Promotion de l'utilisation de la tourbe carbonisée et de briquettes combustibles fabriquées à partir de la tourbe ou des déchets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3. Promouvoir des énergies </w:t>
            </w:r>
            <w:r>
              <w:rPr>
                <w:rFonts w:ascii="Bookman Old Style" w:eastAsia="Times New Roman" w:hAnsi="Bookman Old Style" w:cs="Times New Roman"/>
                <w:color w:val="000000"/>
                <w:sz w:val="20"/>
                <w:szCs w:val="20"/>
                <w:lang w:eastAsia="fr-FR"/>
              </w:rPr>
              <w:lastRenderedPageBreak/>
              <w:t>renouvelables et alternatives</w:t>
            </w:r>
            <w:r>
              <w:rPr>
                <w:rFonts w:ascii="Bookman Old Style" w:eastAsia="Times New Roman" w:hAnsi="Bookman Old Style" w:cs="Times New Roman"/>
                <w:i/>
                <w:iCs/>
                <w:color w:val="000000"/>
                <w:sz w:val="20"/>
                <w:szCs w:val="20"/>
                <w:lang w:eastAsia="fr-FR"/>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1. Appui à la recherche-</w:t>
            </w:r>
            <w:r>
              <w:rPr>
                <w:rFonts w:ascii="Bookman Old Style" w:eastAsia="Times New Roman" w:hAnsi="Bookman Old Style" w:cs="Times New Roman"/>
                <w:sz w:val="20"/>
                <w:szCs w:val="20"/>
                <w:lang w:eastAsia="fr-FR"/>
              </w:rPr>
              <w:lastRenderedPageBreak/>
              <w:t>développement dans le domaine des énergies alternatives et renouvelables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1. Aménagement des digesteurs à biogaz  dans les maisons de détention, les écoles à internat, les casernes, etc.</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Electrification des établissements publics hors du réseau électrique par l’énergie solaire photovoltaïque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des capacités dans le domaine d’économie d’énergie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des capacités sur la technologie de l’énergie solaire photovoltaïque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Recherche sur le potentiel éolien et géothermique.</w:t>
            </w:r>
          </w:p>
        </w:tc>
      </w:tr>
      <w:tr w:rsidR="00CE3AE8" w:rsidTr="00CE3AE8">
        <w:trPr>
          <w:trHeight w:val="9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4. Améliorer les capacités de gestion du secteur de l’Energie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du secteur de l’Energie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Restructuration des services en charge de l’énergie notamment par l’amélioration du cadre légal, la réforme de la REGIDESO et de l’ABER</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jc w:val="both"/>
              <w:rPr>
                <w:rFonts w:ascii="Bookman Old Style" w:hAnsi="Bookman Old Style" w:cs="Times New Roman"/>
                <w:sz w:val="24"/>
                <w:szCs w:val="24"/>
              </w:rPr>
            </w:pPr>
            <w:r>
              <w:rPr>
                <w:rFonts w:ascii="Bookman Old Style" w:eastAsia="Times New Roman" w:hAnsi="Bookman Old Style" w:cs="Times New Roman"/>
                <w:sz w:val="20"/>
                <w:szCs w:val="20"/>
                <w:lang w:eastAsia="fr-FR"/>
              </w:rPr>
              <w:t>7. Renforcement des capacités techniques des services.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5. Assurer la sécurité de la chaîne d’approvisionnement en produits pétroliers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de la gestion du carburant</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des entrepôts régionaux des produits pétroliers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Contrôle de la qualité des produits pétroliers consommés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 l’utilisation du gaz de pétrole liquéfié (GPL) comme combustible domestique </w:t>
            </w:r>
          </w:p>
        </w:tc>
      </w:tr>
      <w:tr w:rsidR="00CE3AE8" w:rsidTr="00CE3AE8">
        <w:trPr>
          <w:trHeight w:val="3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Constitution et entretien du stock stratégique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 l’Eau Potable et Assainissement de Base</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Améliorer l’accès aux services d’eau potable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Approvisionnement régulier en eau potable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taux de couverture en eau potable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Aménagement, réhabilitation/extension des adductions d'eau potable et aménagement des sources d'eau</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Aménagement des  puits/forages d’eau dans le cas d’insuffisance de ressources en eau de surface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Développement et vulgarisation des techniques de collecte d’eau de pluie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Améliorer l’accès aux services d’assainissement de base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 l’assainissement de base en milieux urbain et rural</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Extension, réhabilitation et mise en valeur du réseau eaux usées de la ville de Bujumbura</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des capacités  des services d’assainissement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Aménagement des réseaux d’assainissement dans les villes et centres à vocation urbaine</w:t>
            </w:r>
          </w:p>
        </w:tc>
      </w:tr>
      <w:tr w:rsidR="00CE3AE8" w:rsidTr="00CE3AE8">
        <w:trPr>
          <w:trHeight w:val="67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Appui à l’auto-construction des latrines familiales et leur bonne utilisation.</w:t>
            </w:r>
          </w:p>
        </w:tc>
      </w:tr>
      <w:tr w:rsidR="00CE3AE8" w:rsidTr="00CE3AE8">
        <w:trPr>
          <w:trHeight w:val="56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Améliorer la gestion des sous- secteurs en eau potable et assainissement de base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capacités institutionnelles des services d’eau potable  et d’assainissement de base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cadre légal des secteurs d’eau potable et d’assainissement de base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Réforme de la REGIDESO pour le développement des services d’eau potable en milieu urbain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de la planification et de coordination des sous-secteurs d’eau Potable et d’assainissement de base </w:t>
            </w:r>
          </w:p>
        </w:tc>
      </w:tr>
      <w:tr w:rsidR="00CE3AE8" w:rsidTr="00CE3AE8">
        <w:trPr>
          <w:trHeight w:val="6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 maîtrise d'ouvrage communal en matière de planification, développement et gestion professionnelle des infrastructures d’AEPA </w:t>
            </w:r>
          </w:p>
        </w:tc>
      </w:tr>
      <w:tr w:rsidR="00CE3AE8" w:rsidTr="00CE3AE8">
        <w:trPr>
          <w:trHeight w:val="84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Réorganisation et déconcentration des services de l’Agence burundaise de l’Hydraulique et de l’Assainissement en Milieu Rural (AHAMR) afin d’être plus proche des structures communales </w:t>
            </w:r>
          </w:p>
        </w:tc>
      </w:tr>
      <w:tr w:rsidR="00CE3AE8" w:rsidTr="00CE3AE8">
        <w:trPr>
          <w:trHeight w:val="55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Renforcement du rôle du maître d'ouvrage de la commune dans la gestion et maintenance des AEP</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Secteur du transport </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3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1. Assurer la mobilité des personnes et la fluidité des biens et  marchandises </w:t>
            </w:r>
            <w:r>
              <w:rPr>
                <w:rFonts w:ascii="Bookman Old Style" w:eastAsia="Times New Roman" w:hAnsi="Bookman Old Style" w:cs="Times New Roman"/>
                <w:color w:val="000000"/>
                <w:sz w:val="20"/>
                <w:szCs w:val="20"/>
                <w:lang w:eastAsia="fr-FR"/>
              </w:rPr>
              <w:lastRenderedPageBreak/>
              <w:t>au niveau national, sous régional et régional  par voie routière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1. Extension et protection  des réseaux bitumineux et non bitumineux</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Construction de nouveaux réseaux bitumineux (330km) </w:t>
            </w:r>
          </w:p>
        </w:tc>
      </w:tr>
      <w:tr w:rsidR="00CE3AE8" w:rsidTr="00CE3AE8">
        <w:trPr>
          <w:trHeight w:val="30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Entretien manuel et mécanisé du réseau routier bitumineux (1646 km)</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Réhabilitation des routes en terre (2500 km)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4. Pavage de la voirie urbaine et périurbaine (200km)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Diversification des routes multinationales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Construction des nouvelles routes multinationales (km)</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Réhabilitation des routes nationales selon les normes de l’EAC (360 km)</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de la sécurité des usagers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infrastructures de sécurité routière et aménagement des arrêts bus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Aménagement des gares de voyageurs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et augmentation du parc automobile de transport en commun</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Développement des  infrastructures pour le transport non motorisé</w:t>
            </w:r>
          </w:p>
          <w:p w:rsidR="00CE3AE8" w:rsidRDefault="00CE3AE8">
            <w:pPr>
              <w:spacing w:after="0" w:line="240" w:lineRule="auto"/>
              <w:jc w:val="both"/>
              <w:rPr>
                <w:rFonts w:ascii="Bookman Old Style" w:eastAsia="Times New Roman" w:hAnsi="Bookman Old Style" w:cs="Times New Roman"/>
                <w:sz w:val="20"/>
                <w:szCs w:val="20"/>
                <w:lang w:eastAsia="fr-FR"/>
              </w:rPr>
            </w:pPr>
          </w:p>
          <w:p w:rsidR="00CE3AE8" w:rsidRDefault="00CE3AE8">
            <w:pPr>
              <w:spacing w:after="0" w:line="240" w:lineRule="auto"/>
              <w:jc w:val="both"/>
              <w:rPr>
                <w:rFonts w:ascii="Bookman Old Style" w:eastAsia="Times New Roman" w:hAnsi="Bookman Old Style" w:cs="Times New Roman"/>
                <w:sz w:val="20"/>
                <w:szCs w:val="20"/>
                <w:lang w:eastAsia="fr-FR"/>
              </w:rPr>
            </w:pPr>
          </w:p>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Développer le transport  lacustre  et  les autres voies navigables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de nouveaux ports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Développement du corridor de transport sur le Lac Tanganyika </w:t>
            </w:r>
          </w:p>
        </w:tc>
      </w:tr>
      <w:tr w:rsidR="00CE3AE8" w:rsidTr="00CE3AE8">
        <w:trPr>
          <w:trHeight w:val="38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Modernisation et Réhabilitation des infrastructures et équipements portuaires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Développement de la navigation sur les rivières Rusizi et  Ruvubu.</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Améliorer le transport  aérien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Promotion du transport aérien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Modernisation et extension de l’aéroport international de Bujumbura </w:t>
            </w:r>
          </w:p>
        </w:tc>
      </w:tr>
      <w:tr w:rsidR="00CE3AE8" w:rsidTr="00CE3AE8">
        <w:trPr>
          <w:trHeight w:val="40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Aménagement  d’un nouvel aéroport et amélioration des aérodromes </w:t>
            </w:r>
          </w:p>
        </w:tc>
      </w:tr>
      <w:tr w:rsidR="00CE3AE8" w:rsidTr="00CE3AE8">
        <w:trPr>
          <w:trHeight w:val="32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Rénovation de  la compagnie Air Burundi pour le transport aérien.</w:t>
            </w:r>
          </w:p>
        </w:tc>
      </w:tr>
      <w:tr w:rsidR="00CE3AE8" w:rsidTr="00CE3AE8">
        <w:trPr>
          <w:trHeight w:val="57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4. Désenclaver  le pays par la voie ferrée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du  transport ferroviaire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Aménagement du  chemin de fer Uvinza-Musongati </w:t>
            </w:r>
          </w:p>
        </w:tc>
      </w:tr>
      <w:tr w:rsidR="00CE3AE8" w:rsidTr="00CE3AE8">
        <w:trPr>
          <w:trHeight w:val="42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Aménagement du chemin de fer Musongati-Gitega–Bujumbura </w:t>
            </w:r>
          </w:p>
        </w:tc>
      </w:tr>
      <w:tr w:rsidR="00CE3AE8" w:rsidTr="00CE3AE8">
        <w:trPr>
          <w:trHeight w:val="55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Aménagement du chemin de fer Dar es Salam-Isaka-Kigali/Keza-Gitega-Musongati</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5. Améliorer la gouvernance du secteur de transport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de la gestion du secteur de transport</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Amélioration du cadre légal et réglementaire </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de tous les intervenants dans ce secteur</w:t>
            </w:r>
          </w:p>
        </w:tc>
      </w:tr>
      <w:tr w:rsidR="00CE3AE8" w:rsidTr="00CE3AE8">
        <w:trPr>
          <w:trHeight w:val="42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Renforcement de la plateforme des travaux affectant l’état des infrastructures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des Bâtiments et Travaux Publics</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2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Recaser les services publics et les ayants droits dans des immeubles  de l’Etat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Développement  des infrastructures immobilières publiques et socio-économiques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institutionnelles </w:t>
            </w:r>
          </w:p>
        </w:tc>
      </w:tr>
      <w:tr w:rsidR="00CE3AE8" w:rsidTr="00CE3AE8">
        <w:trPr>
          <w:trHeight w:val="26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Réhabilitation et entretien des infrastructures immobilières de l’Etat </w:t>
            </w:r>
          </w:p>
        </w:tc>
      </w:tr>
      <w:tr w:rsidR="00CE3AE8" w:rsidTr="00CE3AE8">
        <w:trPr>
          <w:trHeight w:val="26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Aménagement de nouvelles infrastructures immobilières de l’Etat</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Amélioration de la gestion du patrimoine immobilier et mobilier de l’Etat</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Appui aux promoteurs privés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des Technologies de l’Information et de la Communication, Postes et Média</w:t>
            </w:r>
          </w:p>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72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Promouvoir les Technologies de l’Information et de la Communication, la poste et les Médias au service du développement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Accès universel aux TIC pour accélérer la croissance économique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la culture et promotion de la recherche appliquée et de l’innovation en TIC </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la mise en place d’un système d’utilisation des TIC à travers différents projets d’appui institutionnel</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Modernisation et extension des infrastructures du réseau de la téléphonie fixe, mobile et le WIFI public</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Développement du secteur de l’internet large bande et de transmission des </w:t>
            </w:r>
            <w:r>
              <w:rPr>
                <w:rFonts w:ascii="Bookman Old Style" w:eastAsia="Times New Roman" w:hAnsi="Bookman Old Style" w:cs="Times New Roman"/>
                <w:sz w:val="20"/>
                <w:szCs w:val="20"/>
                <w:lang w:eastAsia="fr-FR"/>
              </w:rPr>
              <w:lastRenderedPageBreak/>
              <w:t>données via les réseaux à fibre optique dans les ménages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4. Promotion de la connectivité large bande en milieu rural et mise en service des équipements des réseaux GSM adaptés</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Appui à la mise en place d’un centre national BIG DATA</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Diversification des activités de la poste pour être compétitive, innovante, performante et pérenne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Renforcement des capacités de la Régie Nationale des Postes</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Extension et modernisation des infrastructures et équipements postaux</w:t>
            </w:r>
          </w:p>
        </w:tc>
      </w:tr>
      <w:tr w:rsidR="00CE3AE8" w:rsidTr="00CE3AE8">
        <w:trPr>
          <w:trHeight w:val="2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Améliorer la disponibilité et la diversification des services média à travers tout le pays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Modernisation des équipements et programmes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institutionnelles des médias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Autonomisation en énergie des centres de réémissions </w:t>
            </w:r>
          </w:p>
        </w:tc>
      </w:tr>
      <w:tr w:rsidR="00CE3AE8" w:rsidTr="00CE3AE8">
        <w:trPr>
          <w:trHeight w:val="39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Modernisation de  la radio-Télé diffusion </w:t>
            </w:r>
          </w:p>
        </w:tc>
      </w:tr>
      <w:tr w:rsidR="00CE3AE8" w:rsidTr="00CE3AE8">
        <w:trPr>
          <w:trHeight w:val="5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4. </w:t>
            </w:r>
            <w:r>
              <w:rPr>
                <w:rFonts w:ascii="Bookman Old Style" w:eastAsia="Times New Roman" w:hAnsi="Bookman Old Style" w:cs="Times New Roman"/>
                <w:color w:val="000000" w:themeColor="text1"/>
                <w:sz w:val="20"/>
                <w:szCs w:val="20"/>
                <w:lang w:eastAsia="fr-FR"/>
              </w:rPr>
              <w:t>Promotion de la communication pour le développement</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3. Développement des secteurs Minier, Industriel et Artisanal</w:t>
            </w: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Minier</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81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Promouvoir le secteur minier, carrier et pétrolier pour optimiser sa contribution à la croissance et au développement socio-économique du  pays</w:t>
            </w:r>
          </w:p>
        </w:tc>
        <w:tc>
          <w:tcPr>
            <w:tcW w:w="1843" w:type="dxa"/>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Réforme institutionnelle dans le secteur minier et géologique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Adaptation du cadre légal et institutionnel aux réalités du moment</w:t>
            </w:r>
          </w:p>
        </w:tc>
      </w:tr>
      <w:tr w:rsidR="00CE3AE8" w:rsidTr="00CE3AE8">
        <w:trPr>
          <w:trHeight w:val="7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Adoption d’une politique minière nationale fondée sur le principe d’équité « gagnant-gagnant » dans le partage des revenus du </w:t>
            </w:r>
            <w:r>
              <w:rPr>
                <w:rFonts w:ascii="Bookman Old Style" w:eastAsia="Times New Roman" w:hAnsi="Bookman Old Style" w:cs="Times New Roman"/>
                <w:sz w:val="20"/>
                <w:szCs w:val="20"/>
                <w:lang w:eastAsia="fr-FR"/>
              </w:rPr>
              <w:lastRenderedPageBreak/>
              <w:t xml:space="preserve">secteur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 xml:space="preserve">6. Promotion de la bonne gouvernance et la transparence dans le secteur minier </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7. Traçabilité et certification des minerais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8. Formalisation et encadrement des activités d’exploitation artisanale des substances minérales et des matériaux de construction</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Intensification  des activités de recherche géologique et minière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techniques des services de recherche géologique et minière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Prospection et exploration des substances minérales non encore identifiées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Exploration et évaluation des gîtes d'or, de cassitérite et d’autres minerais associés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Exploration et évaluation des gîtes de terres rares et autres minéraux lourds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Exploration et évaluation des gisements de  calcaire et autres</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Développement du partenariat technique et financier dans le domaine de la prospection, de l’exploitation et de la transformation</w:t>
            </w:r>
          </w:p>
        </w:tc>
      </w:tr>
      <w:tr w:rsidR="00CE3AE8" w:rsidTr="00CE3AE8">
        <w:trPr>
          <w:trHeight w:val="41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Intégrer les questions environnementales dans le secteur minier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et protection de l’environnement minier</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7. Renforcement  des capacités nationales en matière de suivi environnemental </w:t>
            </w:r>
          </w:p>
        </w:tc>
      </w:tr>
      <w:tr w:rsidR="00CE3AE8" w:rsidTr="00CE3AE8">
        <w:trPr>
          <w:trHeight w:val="56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8. Prévention des risques environnementaux liés aux activités du secteur minier, carrier et pétrolier</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industriel</w:t>
            </w:r>
          </w:p>
        </w:tc>
        <w:tc>
          <w:tcPr>
            <w:tcW w:w="184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Développer une industrie dynamique, diversifiée et compétitive au niveau régional et international</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Redynamisation des industries existantes et appui aux industries naissantes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des secteurs disposant des avantages comparatifs</w:t>
            </w:r>
          </w:p>
        </w:tc>
      </w:tr>
      <w:tr w:rsidR="00CE3AE8" w:rsidTr="00CE3AE8">
        <w:trPr>
          <w:trHeight w:val="32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Promotion de la qualité managériale de l’entreprise basée sur les résultats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sz w:val="20"/>
                <w:szCs w:val="20"/>
                <w:lang w:eastAsia="fr-FR"/>
              </w:rPr>
              <w:t>3. Développement de  la recherche et l’innovation dans le secteur industriel Promotion  des exportations</w:t>
            </w:r>
          </w:p>
        </w:tc>
      </w:tr>
      <w:tr w:rsidR="00CE3AE8" w:rsidTr="00CE3AE8">
        <w:trPr>
          <w:trHeight w:val="36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4. Renforcement de la protection des titres de propriété industrielle et lutte contre la contrefaçon et le piratage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Développement des zones industrielles, des zones économiques spéciales ainsi que des parcs industriels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Aménagement des zones industrielles,  zones économiques spéciales et des parcs industriels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Promotion des exportations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artisanal</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i/>
                <w:iCs/>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Améliorer et valoriser la contribution du secteur artisanal à la croissance économique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Développement et  promotion de l’artisanat</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la production et à la commercialisation des produits artisanaux</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du commerce et climat des affaires</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Redynamiser le secteur du commerce.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Appui à la promotion des exportations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institutionnelles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du cadre légal</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des capacités des exportateurs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Promotion des produits manufacturés et à haute valeur ajoutée destinés à l’exportation</w:t>
            </w:r>
          </w:p>
        </w:tc>
      </w:tr>
      <w:tr w:rsidR="00CE3AE8" w:rsidTr="00CE3AE8">
        <w:trPr>
          <w:trHeight w:val="25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5. Amélioration des infrastructures d’exportation </w:t>
            </w:r>
          </w:p>
        </w:tc>
      </w:tr>
      <w:tr w:rsidR="00CE3AE8" w:rsidTr="00CE3AE8">
        <w:trPr>
          <w:trHeight w:val="41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Redynamisation des échanges commerciaux inter-provinces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cadre légal</w:t>
            </w:r>
          </w:p>
        </w:tc>
      </w:tr>
      <w:tr w:rsidR="00CE3AE8" w:rsidTr="00CE3AE8">
        <w:trPr>
          <w:trHeight w:val="42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Elimination des obstacles aux échanges commerciaux inter-provinces</w:t>
            </w:r>
          </w:p>
        </w:tc>
      </w:tr>
      <w:tr w:rsidR="00CE3AE8" w:rsidTr="00CE3AE8">
        <w:trPr>
          <w:trHeight w:val="38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Poursuite des </w:t>
            </w:r>
            <w:r>
              <w:rPr>
                <w:rFonts w:ascii="Bookman Old Style" w:eastAsia="Times New Roman" w:hAnsi="Bookman Old Style" w:cs="Times New Roman"/>
                <w:sz w:val="20"/>
                <w:szCs w:val="20"/>
                <w:lang w:eastAsia="fr-FR"/>
              </w:rPr>
              <w:lastRenderedPageBreak/>
              <w:t>réformes dans le cadre de "Doing Business".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1. Attraction des investissements étrangers</w:t>
            </w:r>
          </w:p>
        </w:tc>
      </w:tr>
      <w:tr w:rsidR="00CE3AE8" w:rsidTr="00CE3AE8">
        <w:trPr>
          <w:trHeight w:val="43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du climat des affaires et de la communication entre les acteurs</w:t>
            </w:r>
          </w:p>
        </w:tc>
      </w:tr>
      <w:tr w:rsidR="00CE3AE8" w:rsidTr="00CE3AE8">
        <w:trPr>
          <w:trHeight w:val="4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Modernisation du guichet unique de création des sociétés</w:t>
            </w:r>
          </w:p>
        </w:tc>
      </w:tr>
      <w:tr w:rsidR="00CE3AE8" w:rsidTr="00CE3AE8">
        <w:trPr>
          <w:trHeight w:val="56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Développement des capacités d’identification des investisseurs nationaux existants ou potentiels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Appuyer le secteur privé et public pour la promotion des exportations, la rationalisation des importations et la protection des consommateurs.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opérationnelles des services du BBN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des capacités du personnel technique pour le Développement/adoption/adaptation et harmonisation des normes              </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à la mise en place  et équipement d’un centre de normalisation au BBN</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Appui à la mise en place des antennes du BBN au niveau provincial et/ou régional</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au processus d’accréditation des services du BBN et de ses laboratoires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Secteur de la Promotion des Investissements, Culture et Tourisme</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i/>
                <w:iCs/>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Investissement</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i/>
                <w:iCs/>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Renforcer les mécanismes d’attractivité des investisseurs  et  du PPP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climat des affaires incitatif et garantissant une mobilité accrue des acteurs économiques pour le développement du business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Adoption d’une fiscalité compétitive pour éviter la fuite des capitaux (nationaux et étrangers)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la décentralisation de l’API et au Tribunal de commerce</w:t>
            </w:r>
          </w:p>
        </w:tc>
      </w:tr>
      <w:tr w:rsidR="00CE3AE8" w:rsidTr="00CE3AE8">
        <w:trPr>
          <w:trHeight w:val="3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Libéralisation de la gestion du </w:t>
            </w:r>
            <w:r>
              <w:rPr>
                <w:rFonts w:ascii="Bookman Old Style" w:eastAsia="Times New Roman" w:hAnsi="Bookman Old Style" w:cs="Times New Roman"/>
                <w:sz w:val="20"/>
                <w:szCs w:val="20"/>
                <w:lang w:eastAsia="fr-FR"/>
              </w:rPr>
              <w:lastRenderedPageBreak/>
              <w:t>temps de travail par les acteurs économiques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3. Renforcement du dispositif sécuritaire afin de permettre une mobilité des acteurs/opérateurs et le déroulement des activités économiques 24/24 heures</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Adaptation des textes réglementaires en matière de temps de travail à celui de la sous-région (24heures/24).</w:t>
            </w:r>
          </w:p>
        </w:tc>
      </w:tr>
      <w:tr w:rsidR="00CE3AE8" w:rsidTr="00CE3AE8">
        <w:trPr>
          <w:trHeight w:val="42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b/>
                <w:bCs/>
                <w:color w:val="000000"/>
                <w:sz w:val="20"/>
                <w:szCs w:val="20"/>
                <w:lang w:eastAsia="fr-FR"/>
              </w:rPr>
              <w:t>Culture</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tcPr>
          <w:p w:rsidR="00CE3AE8" w:rsidRDefault="00CE3AE8">
            <w:pPr>
              <w:spacing w:after="0" w:line="240" w:lineRule="auto"/>
              <w:jc w:val="both"/>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E3AE8" w:rsidRDefault="00CE3AE8">
            <w:pPr>
              <w:spacing w:after="0" w:line="240" w:lineRule="auto"/>
              <w:contextualSpacing/>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Promouvoir et protéger le patrimoine culturel et naturel</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CE3AE8" w:rsidRDefault="00CE3AE8">
            <w:pPr>
              <w:tabs>
                <w:tab w:val="left" w:pos="213"/>
                <w:tab w:val="left" w:pos="435"/>
              </w:tabs>
              <w:spacing w:after="0" w:line="240" w:lineRule="auto"/>
              <w:ind w:left="284"/>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Rétablissement, revalorisation et sauvegarde du patrimoine culturel et naturel et développement de l'industrie culturelle et créative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ind w:left="71"/>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Redynamisation des valeurs culturelles burundaises au  service de la cohésion sociale, au développement et au changement des mentalités</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tabs>
                <w:tab w:val="left" w:pos="452"/>
              </w:tabs>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Aménagement des infrastructures culturelles, réhabilitation et restauration des musées, des sites historiques et des monuments</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tabs>
                <w:tab w:val="left" w:pos="542"/>
              </w:tabs>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Appui à la créativité artistique et littéraire, les spectacles et les loisirs, promotion et protection du droit d’auteur</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contextualSpacing/>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Promotion des archives et revalorisation de la bibliothèque nationale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Tourisme</w:t>
            </w:r>
          </w:p>
        </w:tc>
        <w:tc>
          <w:tcPr>
            <w:tcW w:w="1843" w:type="dxa"/>
            <w:tcBorders>
              <w:top w:val="single" w:sz="4" w:space="0" w:color="auto"/>
              <w:left w:val="single" w:sz="4" w:space="0" w:color="auto"/>
              <w:bottom w:val="single" w:sz="4" w:space="0" w:color="auto"/>
              <w:right w:val="single" w:sz="4" w:space="0" w:color="auto"/>
            </w:tcBorders>
            <w:shd w:val="clear" w:color="auto" w:fill="FFFF00"/>
          </w:tcPr>
          <w:p w:rsidR="00CE3AE8" w:rsidRDefault="00CE3AE8">
            <w:pPr>
              <w:spacing w:after="0" w:line="240" w:lineRule="auto"/>
              <w:jc w:val="both"/>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1. Dynamiser l’Ecotourisme à partir de l’amélioration de l’offre et la stimulation de la demande des produits touristiques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Réforme du secteur du tourisme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des acteurs du tourisme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2. Amélioration du cadre d’orientation de développement du secteur du tourisme/écotourisme </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Développement des infrastructures adaptées aux conférences internationales et autres grands événements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Appui à la mise en place d’un complexe touristique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Classification des établissements touristiques.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des</w:t>
            </w:r>
            <w:r>
              <w:rPr>
                <w:rFonts w:ascii="Bookman Old Style" w:eastAsia="Times New Roman" w:hAnsi="Bookman Old Style" w:cs="Times New Roman"/>
                <w:b/>
                <w:bCs/>
                <w:sz w:val="20"/>
                <w:szCs w:val="20"/>
                <w:lang w:eastAsia="fr-FR"/>
              </w:rPr>
              <w:t xml:space="preserve"> </w:t>
            </w:r>
            <w:r>
              <w:rPr>
                <w:rFonts w:ascii="Bookman Old Style" w:eastAsia="Times New Roman" w:hAnsi="Bookman Old Style" w:cs="Times New Roman"/>
                <w:sz w:val="20"/>
                <w:szCs w:val="20"/>
                <w:lang w:eastAsia="fr-FR"/>
              </w:rPr>
              <w:lastRenderedPageBreak/>
              <w:t>infrastructures d’accueil adaptées dans les zones touristiques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1. Aménagement et réhabilitation des sites touristiques </w:t>
            </w:r>
          </w:p>
        </w:tc>
      </w:tr>
      <w:tr w:rsidR="00CE3AE8" w:rsidTr="00CE3AE8">
        <w:trPr>
          <w:trHeight w:val="6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Développement des infrastructures d’accueil adaptées aux normes internationales.</w:t>
            </w:r>
          </w:p>
        </w:tc>
      </w:tr>
      <w:tr w:rsidR="00CE3AE8" w:rsidTr="00CE3AE8">
        <w:trPr>
          <w:trHeight w:val="645"/>
        </w:trPr>
        <w:tc>
          <w:tcPr>
            <w:tcW w:w="1917" w:type="dxa"/>
            <w:tcBorders>
              <w:top w:val="single" w:sz="4" w:space="0" w:color="auto"/>
              <w:left w:val="single" w:sz="4" w:space="0" w:color="auto"/>
              <w:bottom w:val="single" w:sz="4" w:space="0" w:color="auto"/>
              <w:right w:val="single" w:sz="4" w:space="0" w:color="auto"/>
            </w:tcBorders>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ORIENTATIONS STRATEGIQUES</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r>
      <w:tr w:rsidR="00CE3AE8" w:rsidTr="00CE3AE8">
        <w:trPr>
          <w:trHeight w:val="398"/>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2. Développer le capital humain</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4. Amélioration des performances et de la collaboration dans le domaine de la santé</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contextualSpacing/>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Améliorer l’accès aux soins et le niveau de santé de la population à travers un système de santé performant, fort et résilient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 1. Contribution à la réduction de l’ampleur et de la gravité des maladies et des problèmes de santé prioritaires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Contrôle et/ou élimination des maladies transmissibles prioritaires (y compris les maladies a potentiels épidémiques, les maladies tropicales négligées ; les maladies émergentes et réémergences)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 la  lutte contre les maladies non transmissibles</w:t>
            </w:r>
          </w:p>
        </w:tc>
      </w:tr>
      <w:tr w:rsidR="00CE3AE8" w:rsidTr="00CE3AE8">
        <w:trPr>
          <w:trHeight w:val="39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Amélioration  de la  santé maternelle, du nouveau-né,  de l’enfant d’âge préscolaire, de l’enfant d’âge scolaire,  de  l’adolescent(e)  et de la personne âgée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Lutte contre la malnutrition</w:t>
            </w:r>
          </w:p>
        </w:tc>
      </w:tr>
      <w:tr w:rsidR="00CE3AE8" w:rsidTr="00CE3AE8">
        <w:trPr>
          <w:trHeight w:val="3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Préparation et réponse aux urgences et catastrophes naturelles ou d’origine anthropique</w:t>
            </w:r>
          </w:p>
        </w:tc>
      </w:tr>
      <w:tr w:rsidR="00CE3AE8" w:rsidTr="00CE3AE8">
        <w:trPr>
          <w:trHeight w:val="28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des performances du système national de santé et du système communautaire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des performances du système national de santé et de soins  à travers le renforcement des six piliers du système de sante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2. Amélioration du système de santé communautaire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 la collaboration intersectorielle pour une meilleure santé</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de la demande de soins et services de santé</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Renforcement de la complémentarité et des synergies intersectorielles</w:t>
            </w:r>
          </w:p>
        </w:tc>
      </w:tr>
      <w:tr w:rsidR="00CE3AE8" w:rsidTr="00CE3AE8">
        <w:trPr>
          <w:trHeight w:val="46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5. Renforcement du système éducatif et amélioration de l'offre de formation</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Développer un système éducatif performant, conforme aux besoins nationaux et aux normes internationales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Développement d'un système d’informations et de gestion de l’éducation et de la formation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 l’usage des TIC dans le processus d’enseignement et la gestion des apprentissages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Modernisation du système d’information pour la gestion de l’éducation et de la formation</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3. Appui à la mise en œuvre de la politique de gestion équitable des ressources humaines </w:t>
            </w:r>
          </w:p>
        </w:tc>
      </w:tr>
      <w:tr w:rsidR="00CE3AE8" w:rsidTr="00CE3AE8">
        <w:trPr>
          <w:trHeight w:val="39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Accroissement  de  l’offre, égalité d’accès et amélioration de la qualité de l’éducation à tous les niveaux d’enseignement et de formation professionnelle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au renforcement de l’enseignement des sciences et de la technologie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à la consolidation de la réforme de l’enseignement fondamental et post fondamental</w:t>
            </w:r>
          </w:p>
        </w:tc>
      </w:tr>
      <w:tr w:rsidR="00CE3AE8" w:rsidTr="00CE3AE8">
        <w:trPr>
          <w:trHeight w:val="3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Appui à la promotion d’un  système éducatif équitable et efficace </w:t>
            </w:r>
          </w:p>
        </w:tc>
      </w:tr>
      <w:tr w:rsidR="00CE3AE8" w:rsidTr="00CE3AE8">
        <w:trPr>
          <w:trHeight w:val="3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l’accompagnement des mesures de l’accès pour tous à l’éducation</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et valorisation de l’enseignement et de la Formation Technique et Professionnelle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Expansion quantitative de l’offre (infrastructures et équipements)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2. Amélioration de la qualité de l’offre de formation (Elaboration des programmes de formation et renforcement des capacités des formateurs)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Amélioration du fonctionnement et de la gestion des structures de formation)</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Insertion socio-professionnelle des lauréats à travers la cn fonds de financement de l »enseignement et de la formation technique et professionnelle et la promotion de la vente de leurs productions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4. Promotion d'une formation universitaire répondant aux normes, aux besoins et </w:t>
            </w:r>
            <w:r>
              <w:rPr>
                <w:rFonts w:ascii="Bookman Old Style" w:eastAsia="Times New Roman" w:hAnsi="Bookman Old Style" w:cs="Times New Roman"/>
                <w:sz w:val="20"/>
                <w:szCs w:val="20"/>
                <w:lang w:eastAsia="fr-FR"/>
              </w:rPr>
              <w:lastRenderedPageBreak/>
              <w:t xml:space="preserve">l’assurance qualité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5. Appui au renforcement des capacités technologiques  dans le domaine de la recherche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b/>
                <w:sz w:val="24"/>
                <w:szCs w:val="24"/>
                <w:lang w:eastAsia="fr-FR"/>
              </w:rPr>
            </w:pPr>
            <w:r>
              <w:rPr>
                <w:rFonts w:ascii="Bookman Old Style" w:eastAsia="Times New Roman" w:hAnsi="Bookman Old Style" w:cs="Times New Roman"/>
                <w:sz w:val="20"/>
                <w:szCs w:val="20"/>
                <w:lang w:eastAsia="fr-FR"/>
              </w:rPr>
              <w:t xml:space="preserve">6. Appui à la mise en œuvre de la politique de bourses et de prêt- bourses. </w:t>
            </w:r>
          </w:p>
        </w:tc>
      </w:tr>
      <w:tr w:rsidR="00CE3AE8" w:rsidTr="00CE3AE8">
        <w:trPr>
          <w:trHeight w:val="40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 xml:space="preserve"> 7. Appui à la construction et équipement de 4 instituts régionaux d’enseignement supérieur professionnel (Cankuzo, Cibitoke, Muyinga et Rutana)</w:t>
            </w:r>
          </w:p>
        </w:tc>
      </w:tr>
      <w:tr w:rsidR="00CE3AE8" w:rsidTr="00CE3AE8">
        <w:trPr>
          <w:trHeight w:val="51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8. Appui à l’accompagnement du système BMD</w:t>
            </w:r>
          </w:p>
        </w:tc>
      </w:tr>
      <w:tr w:rsidR="00CE3AE8" w:rsidTr="00CE3AE8">
        <w:trPr>
          <w:trHeight w:val="55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Amélioration de l’efficacité du système de gestion de l’éducation par le renforcement du pilotage du système éducatif</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Appui au renforcement des capacités des structures centrales, déconcentrées et décentralisées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au renforcement des capacités techniques des gestionnaires de l’administration centrale</w:t>
            </w:r>
          </w:p>
        </w:tc>
      </w:tr>
      <w:tr w:rsidR="00CE3AE8" w:rsidTr="00CE3AE8">
        <w:trPr>
          <w:trHeight w:val="63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des capacités de gestion, d’analyse et de planification du système éducatif</w:t>
            </w:r>
          </w:p>
        </w:tc>
      </w:tr>
      <w:tr w:rsidR="00CE3AE8" w:rsidTr="00CE3AE8">
        <w:trPr>
          <w:trHeight w:val="40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l’amélioration de la gouvernance et pilotage du système éducatif</w:t>
            </w:r>
          </w:p>
        </w:tc>
      </w:tr>
      <w:tr w:rsidR="00CE3AE8" w:rsidTr="00CE3AE8">
        <w:trPr>
          <w:trHeight w:val="46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6. Développement du secteur de la protection sociale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Améliorer les conditions de vie socio-économique des personnes vulnérables et des sinistrés dans le cadre de la résilience communautaire renforcée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  la bonne gouvernance des solutions durables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institutionnel pour la mise en œuvre des solutions durables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Aménagement des sites d’accueil temporaire et de réinstallation des sinistrés</w:t>
            </w:r>
          </w:p>
        </w:tc>
      </w:tr>
      <w:tr w:rsidR="00CE3AE8" w:rsidTr="00CE3AE8">
        <w:trPr>
          <w:trHeight w:val="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3. Appui aux groupes vulnérables et sinistrés  particulièrement aux AGR </w:t>
            </w:r>
          </w:p>
        </w:tc>
      </w:tr>
      <w:tr w:rsidR="00CE3AE8" w:rsidTr="00CE3AE8">
        <w:trPr>
          <w:trHeight w:val="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du cadre légal en référence à la charte internationale des personnes handicapées</w:t>
            </w:r>
          </w:p>
        </w:tc>
      </w:tr>
      <w:tr w:rsidR="00CE3AE8" w:rsidTr="00CE3AE8">
        <w:trPr>
          <w:trHeight w:val="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Appui aux handicaps en AGR</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des droits et libertés civiques des personnes sinistrées et renforcement de la sécurité dans les zones de retour</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Adaptation du cadre légal et réglementaire en rapport avec les libertés des personnes vulnérables et sinistrées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 la sécurité dans les zones de retour</w:t>
            </w:r>
          </w:p>
        </w:tc>
      </w:tr>
      <w:tr w:rsidR="00CE3AE8" w:rsidTr="00CE3AE8">
        <w:trPr>
          <w:trHeight w:val="5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Renforcement et mise à </w:t>
            </w:r>
            <w:r>
              <w:rPr>
                <w:rFonts w:ascii="Bookman Old Style" w:eastAsia="Times New Roman" w:hAnsi="Bookman Old Style" w:cs="Times New Roman"/>
                <w:sz w:val="20"/>
                <w:szCs w:val="20"/>
                <w:lang w:eastAsia="fr-FR"/>
              </w:rPr>
              <w:lastRenderedPageBreak/>
              <w:t>l’échelle des filets sociaux de base visant à réduire les vulnérabilités structurelles des ménages et à promouvoir leurs moyens d’existence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3. Renforcement des programmes publics de transfert monétaire</w:t>
            </w:r>
          </w:p>
        </w:tc>
      </w:tr>
      <w:tr w:rsidR="00CE3AE8" w:rsidTr="00CE3AE8">
        <w:trPr>
          <w:trHeight w:val="5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des programmes de travaux publics à HIMO</w:t>
            </w:r>
          </w:p>
        </w:tc>
      </w:tr>
      <w:tr w:rsidR="00CE3AE8" w:rsidTr="00CE3AE8">
        <w:trPr>
          <w:trHeight w:val="5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Conception et mise en œuvre de nouveaux types de programmes de travaux publics centrés sur le secteur des services et sur les travaux d’entretien</w:t>
            </w:r>
          </w:p>
        </w:tc>
      </w:tr>
      <w:tr w:rsidR="00CE3AE8" w:rsidTr="00CE3AE8">
        <w:trPr>
          <w:trHeight w:val="41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Renforcement des organisations de l’économie solidaire</w:t>
            </w:r>
          </w:p>
        </w:tc>
      </w:tr>
      <w:tr w:rsidR="00CE3AE8" w:rsidTr="00CE3AE8">
        <w:trPr>
          <w:trHeight w:val="5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Renforcement du secteur de l’assurance sociale</w:t>
            </w:r>
          </w:p>
        </w:tc>
      </w:tr>
      <w:tr w:rsidR="00CE3AE8" w:rsidTr="00CE3AE8">
        <w:trPr>
          <w:trHeight w:val="41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4"/>
                <w:szCs w:val="24"/>
                <w:lang w:eastAsia="fr-FR"/>
              </w:rPr>
            </w:pPr>
            <w:r>
              <w:rPr>
                <w:rFonts w:ascii="Bookman Old Style" w:eastAsia="Times New Roman" w:hAnsi="Bookman Old Style" w:cs="Times New Roman"/>
                <w:b/>
                <w:bCs/>
                <w:color w:val="000000"/>
                <w:sz w:val="24"/>
                <w:szCs w:val="24"/>
                <w:lang w:eastAsia="fr-FR"/>
              </w:rPr>
              <w:t>Axe 7. Emploi décent et jeunesse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  1. Placer l’emploi au cœur des politiques macroéconomiques et sectorielles pour influer sur la demande de l’emploi.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Promotion de l'emploi décent</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des services publics de l’emploi</w:t>
            </w:r>
          </w:p>
        </w:tc>
      </w:tr>
      <w:tr w:rsidR="00CE3AE8" w:rsidTr="00CE3AE8">
        <w:trPr>
          <w:trHeight w:val="55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Développement de l’employabilité par l’approche de la formation axée sur les compétences </w:t>
            </w:r>
          </w:p>
        </w:tc>
      </w:tr>
      <w:tr w:rsidR="00CE3AE8" w:rsidTr="00CE3AE8">
        <w:trPr>
          <w:trHeight w:val="33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Renforcement de l’accessibilité de l’information portant sur le marché de l’emploi</w:t>
            </w:r>
          </w:p>
        </w:tc>
      </w:tr>
      <w:tr w:rsidR="00CE3AE8" w:rsidTr="00CE3AE8">
        <w:trPr>
          <w:trHeight w:val="69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4. Appui à la promotion du secteur privé, de la protection sociale et du développement des entreprises pour la création d’emplois décents </w:t>
            </w:r>
          </w:p>
        </w:tc>
      </w:tr>
      <w:tr w:rsidR="00CE3AE8" w:rsidTr="00CE3AE8">
        <w:trPr>
          <w:trHeight w:val="56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Renforcement du service de perfectionnement et  reconversion professionnelle</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Promotion de l’emploi des jeunes</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l’encadrement et de l’insertion socio-économique de la jeunesse</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à la mise en place de la banque des jeunes</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Appui au stage de 1</w:t>
            </w:r>
            <w:r>
              <w:rPr>
                <w:rFonts w:ascii="Bookman Old Style" w:eastAsia="Times New Roman" w:hAnsi="Bookman Old Style" w:cs="Times New Roman"/>
                <w:sz w:val="20"/>
                <w:szCs w:val="20"/>
                <w:vertAlign w:val="superscript"/>
                <w:lang w:eastAsia="fr-FR"/>
              </w:rPr>
              <w:t>er</w:t>
            </w:r>
            <w:r>
              <w:rPr>
                <w:rFonts w:ascii="Bookman Old Style" w:eastAsia="Times New Roman" w:hAnsi="Bookman Old Style" w:cs="Times New Roman"/>
                <w:sz w:val="20"/>
                <w:szCs w:val="20"/>
                <w:lang w:eastAsia="fr-FR"/>
              </w:rPr>
              <w:t xml:space="preserve"> emploi des jeunes diplômés et au volontariat des jeunes</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Redynamisation et promotion des centres pour jeunes</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Renforcement des capacités sur les compétences à la vie courante (Santé  reproductive des jeunes, citoyenneté, éducation à la paix et à l’entreprenariat)</w:t>
            </w:r>
          </w:p>
        </w:tc>
      </w:tr>
      <w:tr w:rsidR="00CE3AE8" w:rsidTr="00CE3AE8">
        <w:trPr>
          <w:trHeight w:val="3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6. Renforcement des capacités techniques et institutionnelles de l’Agence Burundaise </w:t>
            </w:r>
            <w:r>
              <w:rPr>
                <w:rFonts w:ascii="Bookman Old Style" w:eastAsia="Times New Roman" w:hAnsi="Bookman Old Style" w:cs="Times New Roman"/>
                <w:sz w:val="20"/>
                <w:szCs w:val="20"/>
                <w:lang w:eastAsia="fr-FR"/>
              </w:rPr>
              <w:lastRenderedPageBreak/>
              <w:t>pour l’Emploi des jeunes</w:t>
            </w:r>
          </w:p>
        </w:tc>
      </w:tr>
      <w:tr w:rsidR="00CE3AE8" w:rsidTr="00CE3AE8">
        <w:trPr>
          <w:trHeight w:val="66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Promouvoir le sport professionnel et de compétition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Développement des infrastructures sportives             </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et modernisation des infrastructures adaptées pour chaque discipline sportive</w:t>
            </w:r>
          </w:p>
        </w:tc>
      </w:tr>
      <w:tr w:rsidR="00CE3AE8" w:rsidTr="00CE3AE8">
        <w:trPr>
          <w:trHeight w:val="7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aux entreprises de fabrication du matériel et équipement sportifs</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Appui à la mise en  place du cadre légal du sponsoring sportif</w:t>
            </w:r>
          </w:p>
        </w:tc>
      </w:tr>
      <w:tr w:rsidR="00CE3AE8" w:rsidTr="00CE3AE8">
        <w:trPr>
          <w:trHeight w:val="5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Redynamisation de la pratique sportive à l’école et dans les fédérations sportives.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4"/>
                <w:szCs w:val="24"/>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Renforcement du sport de masse et d’élite</w:t>
            </w:r>
          </w:p>
        </w:tc>
      </w:tr>
      <w:tr w:rsidR="00CE3AE8" w:rsidTr="00CE3AE8">
        <w:trPr>
          <w:trHeight w:val="6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8. Dividende démographique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Renforcer le cadre juridico-organisationnel et institutionnel pour la maîtrise de la croissance démographique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du cadre juridico-organisationnel de la population</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Appui à la création, la mise en place  et l’opérationnalisation de l’Office National de Population (ONP) </w:t>
            </w:r>
          </w:p>
        </w:tc>
      </w:tr>
      <w:tr w:rsidR="00CE3AE8" w:rsidTr="00CE3AE8">
        <w:trPr>
          <w:trHeight w:val="6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la mise en place d'une politique Nationale de Population (PNP)</w:t>
            </w:r>
          </w:p>
        </w:tc>
      </w:tr>
      <w:tr w:rsidR="00CE3AE8" w:rsidTr="00CE3AE8">
        <w:trPr>
          <w:trHeight w:val="645"/>
        </w:trPr>
        <w:tc>
          <w:tcPr>
            <w:tcW w:w="1917" w:type="dxa"/>
            <w:tcBorders>
              <w:top w:val="single" w:sz="4" w:space="0" w:color="auto"/>
              <w:left w:val="single" w:sz="4" w:space="0" w:color="auto"/>
              <w:bottom w:val="single" w:sz="4" w:space="0" w:color="auto"/>
              <w:right w:val="single" w:sz="4" w:space="0" w:color="auto"/>
            </w:tcBorders>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ORIENTATIONS STRATEGIQUES</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r>
      <w:tr w:rsidR="00CE3AE8" w:rsidTr="00CE3AE8">
        <w:trPr>
          <w:trHeight w:val="402"/>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3. Assurer la gestion durable de l'environnement, atténuer les changements climatiques et améliorer l’aménagement </w:t>
            </w:r>
            <w:r>
              <w:rPr>
                <w:rFonts w:ascii="Bookman Old Style" w:eastAsia="Times New Roman" w:hAnsi="Bookman Old Style" w:cs="Times New Roman"/>
                <w:b/>
                <w:bCs/>
                <w:color w:val="000000"/>
                <w:sz w:val="20"/>
                <w:szCs w:val="20"/>
                <w:lang w:eastAsia="fr-FR"/>
              </w:rPr>
              <w:lastRenderedPageBreak/>
              <w:t xml:space="preserve">du territoire </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lastRenderedPageBreak/>
              <w:t>Axe 9. Gestion durable de l'environnement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Préserver et restaurer les écosystèmes terrestres, lutter contre la désertification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des ressources naturelles, de l’environnement  à travers  la restauration des paysages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Réhabilitation des terres dégradées</w:t>
            </w:r>
          </w:p>
        </w:tc>
      </w:tr>
      <w:tr w:rsidR="00CE3AE8" w:rsidTr="00CE3AE8">
        <w:trPr>
          <w:trHeight w:val="40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Réhabilitation des sites des carrières</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Appui aux investissements forestiers</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Aménagement des marais et protection des rivières</w:t>
            </w:r>
          </w:p>
        </w:tc>
      </w:tr>
      <w:tr w:rsidR="00CE3AE8" w:rsidTr="00CE3AE8">
        <w:trPr>
          <w:trHeight w:val="3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Aménagement des bassins versants</w:t>
            </w:r>
          </w:p>
        </w:tc>
      </w:tr>
      <w:tr w:rsidR="00CE3AE8" w:rsidTr="00CE3AE8">
        <w:trPr>
          <w:trHeight w:val="51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Gestion du patrimoine forestier, sauvegarde et valorisation des aires protégées et la biodiversité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et aménagement transfrontaliers des aires protégées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en matière de diversité biologique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Amélioration de la gestion du patrimoine forestier et parcs naturels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Gestion écologiquement rationnelle des produits chimiques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Développement et renforcement de la réglementation nationale en matière de gestion des produits chimiques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Gestion et contrôle des Polluants Organiques Persistants (POPs).</w:t>
            </w:r>
          </w:p>
          <w:p w:rsidR="00CE3AE8" w:rsidRDefault="00CE3AE8">
            <w:pPr>
              <w:spacing w:after="0" w:line="240" w:lineRule="auto"/>
              <w:ind w:left="720"/>
              <w:contextualSpacing/>
              <w:jc w:val="both"/>
              <w:rPr>
                <w:rFonts w:ascii="Bookman Old Style" w:eastAsia="Times New Roman" w:hAnsi="Bookman Old Style" w:cs="Times New Roman"/>
                <w:sz w:val="20"/>
                <w:szCs w:val="20"/>
                <w:lang w:eastAsia="fr-FR"/>
              </w:rPr>
            </w:pP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63.  Réhabilitation, densification et modernisation des réseaux d’observation hydrométéorologique (hydrologique, hydrogéologique et climatologique)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Alerte précoce de la variabilité climatique</w:t>
            </w:r>
          </w:p>
        </w:tc>
      </w:tr>
      <w:tr w:rsidR="00CE3AE8" w:rsidTr="00CE3AE8">
        <w:trPr>
          <w:trHeight w:val="3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Développement des réseaux météorologiques et hydrologiques nationaux</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du système d'observation et de collecte des données hydrométéorologiques.</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10.  Ressources  en  eau et assainissement global</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Disposer de l’eau en quantité et en qualité suffisantes pour une utilisation  efficiente et équitable  et sans compromettre l’environnement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rationnelle des ressources en eau à tous les niveaux  du cycle de l’eau</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à  la  protection et gestion intégrée de la zone tampon  des lacs et des rivières au niveau national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sur la gestion  intégrée de la ressource eau</w:t>
            </w:r>
          </w:p>
        </w:tc>
      </w:tr>
      <w:tr w:rsidR="00CE3AE8" w:rsidTr="00CE3AE8">
        <w:trPr>
          <w:trHeight w:val="42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Protection des sources d’eau  selon le concept GIRE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 maitrise et stabilisation de la dynamique fluviale des rivières de la région de  MUMIRWA</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Amélioration de la planification et de coordination des secteurs Eau  et Assainissement</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Appui à la  restauration et à la protection des zones humides au Burundi.</w:t>
            </w:r>
          </w:p>
        </w:tc>
      </w:tr>
      <w:tr w:rsidR="00CE3AE8" w:rsidTr="00CE3AE8">
        <w:trPr>
          <w:trHeight w:val="56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Promotion de la gestion et de la valorisation des eaux de pluie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Promotion de  la conservation et de la gestion des eaux pluviales à des fins multiples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Promotion de la collecte et la valorisation des eaux de pluie des toits des maisons à des fins domestiques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Protection et restauration de la nappe phréatique.</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Promouvoir la lutte contre la pollution et l’assainissement du milieu</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de la gestion  des déchets solides et dangereux</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en matière d’assainissement global</w:t>
            </w:r>
          </w:p>
        </w:tc>
      </w:tr>
      <w:tr w:rsidR="00CE3AE8" w:rsidTr="00CE3AE8">
        <w:trPr>
          <w:trHeight w:val="31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Gestion des déchets des produits dangereux </w:t>
            </w:r>
          </w:p>
        </w:tc>
      </w:tr>
      <w:tr w:rsidR="00CE3AE8" w:rsidTr="00CE3AE8">
        <w:trPr>
          <w:trHeight w:val="54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Gestion des déchets solides dans la ville de Bujumbura et dans les autres  principales villes et centres urbains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Lutte biologique de la pollution  des eaux des lacs et des rivières;</w:t>
            </w:r>
          </w:p>
        </w:tc>
      </w:tr>
      <w:tr w:rsidR="00CE3AE8" w:rsidTr="00CE3AE8">
        <w:trPr>
          <w:trHeight w:val="56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Amélioration de la gestion des déchets liquides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&amp;. Gestion des déchets  liquides et des boues de vidanges dans les principaux centres urbains</w:t>
            </w:r>
          </w:p>
        </w:tc>
      </w:tr>
      <w:tr w:rsidR="00CE3AE8" w:rsidTr="00CE3AE8">
        <w:trPr>
          <w:trHeight w:val="4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Réhabilitation de la station d’épuration de Buterere et extension du réseau existant  et la mise  en place d’une station d’épuration dans le sud de Bujumbura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Gestion du réseau de la collecte des eaux pluviales</w:t>
            </w:r>
          </w:p>
        </w:tc>
      </w:tr>
      <w:tr w:rsidR="00CE3AE8" w:rsidTr="00CE3AE8">
        <w:trPr>
          <w:trHeight w:val="40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Contrôle de la qualité de l’eau à tous les niveaux.</w:t>
            </w:r>
          </w:p>
        </w:tc>
      </w:tr>
      <w:tr w:rsidR="00CE3AE8" w:rsidTr="00CE3AE8">
        <w:trPr>
          <w:trHeight w:val="70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Axe 11. </w:t>
            </w:r>
            <w:r>
              <w:rPr>
                <w:rFonts w:ascii="Bookman Old Style" w:eastAsia="Times New Roman" w:hAnsi="Bookman Old Style" w:cs="Times New Roman"/>
                <w:b/>
                <w:bCs/>
                <w:sz w:val="20"/>
                <w:szCs w:val="20"/>
                <w:lang w:eastAsia="fr-FR"/>
              </w:rPr>
              <w:t>Changements</w:t>
            </w:r>
            <w:r>
              <w:rPr>
                <w:rFonts w:ascii="Bookman Old Style" w:eastAsia="Times New Roman" w:hAnsi="Bookman Old Style" w:cs="Times New Roman"/>
                <w:b/>
                <w:bCs/>
                <w:color w:val="000000"/>
                <w:sz w:val="20"/>
                <w:szCs w:val="20"/>
                <w:lang w:eastAsia="fr-FR"/>
              </w:rPr>
              <w:t xml:space="preserve"> et gestion des risques climatiques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4. Promouvoir  un développement résiliant aux effets néfastes du changement climatique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Adaptation et gestion des risques climatiques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Gestion intégrée du risque « climat » et projection dans le temps</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6. Protection des écosystèmes aquatiques et terrestres</w:t>
            </w:r>
          </w:p>
        </w:tc>
      </w:tr>
      <w:tr w:rsidR="00CE3AE8" w:rsidTr="00CE3AE8">
        <w:trPr>
          <w:trHeight w:val="4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7. Recherche sur la vulnérabilité et l’adaptation des secteurs socio-économiques au changement climatique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Atténuation des effets du changement climatique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Augmentation des puits de gaz carbonique par le reboisement de 160.000 ha pendant 15 ans</w:t>
            </w:r>
          </w:p>
        </w:tc>
      </w:tr>
      <w:tr w:rsidR="00CE3AE8" w:rsidTr="00CE3AE8">
        <w:trPr>
          <w:trHeight w:val="3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Valorisation des techniques de gestion des déchets urbains</w:t>
            </w:r>
          </w:p>
        </w:tc>
      </w:tr>
      <w:tr w:rsidR="00CE3AE8" w:rsidTr="00CE3AE8">
        <w:trPr>
          <w:trHeight w:val="6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 la recherche-développement-innovation et le  transfert des technologies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pour la réduction des émissions de gaz à effet de serre</w:t>
            </w:r>
          </w:p>
        </w:tc>
      </w:tr>
      <w:tr w:rsidR="00CE3AE8" w:rsidTr="00CE3AE8">
        <w:trPr>
          <w:trHeight w:val="51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Promotion des technologies permettant une adaptation/atténuation des effets du changement climatique</w:t>
            </w:r>
          </w:p>
        </w:tc>
      </w:tr>
      <w:tr w:rsidR="00CE3AE8" w:rsidTr="00CE3AE8">
        <w:trPr>
          <w:trHeight w:val="48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12. Aménagement du territoire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5. Restructurer et réaménager positivement le territoire du point de vue économique, social et environnemental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Aménagement et gestion efficace du  territoire national</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Cartographie du territoire national</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Elaboration d’un Schéma National d'Aménagement du Territoire</w:t>
            </w:r>
          </w:p>
        </w:tc>
      </w:tr>
      <w:tr w:rsidR="00CE3AE8" w:rsidTr="00CE3AE8">
        <w:trPr>
          <w:trHeight w:val="401"/>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Elaboration des 5 schémas provinciaux de l’aménagement du territoire  et  actualisation des 12 schémas provinciaux existants</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4. Gestion rationnelle des terres domaniales</w:t>
            </w:r>
          </w:p>
        </w:tc>
      </w:tr>
      <w:tr w:rsidR="00CE3AE8" w:rsidTr="00CE3AE8">
        <w:trPr>
          <w:trHeight w:val="70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 xml:space="preserve">5. Schémas directeurs d’aménagement des villes, des centres urbains et des centres à vocation urbaine ; élaboration des  schémas régionaux de l’Aménagement du territoire ; élaboration des  schémas communaux de l’aménagement du territoire </w:t>
            </w:r>
          </w:p>
        </w:tc>
      </w:tr>
      <w:tr w:rsidR="00CE3AE8" w:rsidTr="00CE3AE8">
        <w:trPr>
          <w:trHeight w:val="35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w:t>
            </w:r>
            <w:r>
              <w:rPr>
                <w:rFonts w:ascii="Bookman Old Style" w:hAnsi="Bookman Old Style"/>
              </w:rPr>
              <w:t xml:space="preserve"> </w:t>
            </w:r>
            <w:r>
              <w:rPr>
                <w:rFonts w:ascii="Bookman Old Style" w:eastAsia="Times New Roman" w:hAnsi="Bookman Old Style" w:cs="Times New Roman"/>
                <w:sz w:val="20"/>
                <w:szCs w:val="20"/>
                <w:lang w:eastAsia="fr-FR"/>
              </w:rPr>
              <w:t>Sécurisation foncière</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Amélioration de l'habitat et maîtrise de l’urbanisation </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en  planification spatiale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sz w:val="24"/>
                <w:szCs w:val="24"/>
              </w:rPr>
            </w:pPr>
            <w:r>
              <w:rPr>
                <w:rFonts w:ascii="Bookman Old Style" w:eastAsia="Times New Roman" w:hAnsi="Bookman Old Style" w:cs="Times New Roman"/>
                <w:sz w:val="20"/>
                <w:szCs w:val="20"/>
                <w:lang w:eastAsia="fr-FR"/>
              </w:rPr>
              <w:t>2. Réglementation de la gestion et normalisation de l’exploitation  des matériaux locaux de construction</w:t>
            </w:r>
          </w:p>
        </w:tc>
      </w:tr>
      <w:tr w:rsidR="00CE3AE8" w:rsidTr="00CE3AE8">
        <w:trPr>
          <w:trHeight w:val="33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Restructuration écologique et redressement parcellaire des centres ruraux </w:t>
            </w:r>
          </w:p>
        </w:tc>
      </w:tr>
      <w:tr w:rsidR="00CE3AE8" w:rsidTr="00CE3AE8">
        <w:trPr>
          <w:trHeight w:val="41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rPr>
            </w:pPr>
            <w:r>
              <w:rPr>
                <w:rFonts w:ascii="Bookman Old Style" w:eastAsia="Times New Roman" w:hAnsi="Bookman Old Style" w:cs="Times New Roman"/>
                <w:sz w:val="20"/>
                <w:szCs w:val="20"/>
                <w:lang w:eastAsia="fr-FR"/>
              </w:rPr>
              <w:t>4. Plan directeur innovant de la ville de Bujumbura </w:t>
            </w:r>
          </w:p>
        </w:tc>
      </w:tr>
      <w:tr w:rsidR="00CE3AE8" w:rsidTr="00CE3AE8">
        <w:trPr>
          <w:trHeight w:val="33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rPr>
                <w:rFonts w:ascii="Bookman Old Style" w:hAnsi="Bookman Old Style"/>
              </w:rPr>
            </w:pPr>
            <w:r>
              <w:rPr>
                <w:rFonts w:ascii="Bookman Old Style" w:eastAsia="Times New Roman" w:hAnsi="Bookman Old Style" w:cs="Times New Roman"/>
                <w:sz w:val="20"/>
                <w:szCs w:val="20"/>
                <w:lang w:eastAsia="fr-FR"/>
              </w:rPr>
              <w:t>5. Reclassification des centres urbains et ceux à vocation urbaine</w:t>
            </w:r>
          </w:p>
        </w:tc>
      </w:tr>
      <w:tr w:rsidR="00CE3AE8" w:rsidTr="00CE3AE8">
        <w:trPr>
          <w:trHeight w:val="24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120"/>
              <w:rPr>
                <w:rFonts w:ascii="Bookman Old Style" w:hAnsi="Bookman Old Style"/>
              </w:rPr>
            </w:pPr>
            <w:r>
              <w:rPr>
                <w:rFonts w:ascii="Bookman Old Style" w:eastAsia="Times New Roman" w:hAnsi="Bookman Old Style" w:cs="Times New Roman"/>
                <w:sz w:val="20"/>
                <w:szCs w:val="20"/>
                <w:lang w:eastAsia="fr-FR"/>
              </w:rPr>
              <w:t xml:space="preserve">6. Densification de la ville de Bujumbura </w:t>
            </w:r>
          </w:p>
        </w:tc>
      </w:tr>
      <w:tr w:rsidR="00CE3AE8" w:rsidTr="00CE3AE8">
        <w:trPr>
          <w:trHeight w:val="3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6. Rationaliser  </w:t>
            </w:r>
            <w:r>
              <w:rPr>
                <w:rFonts w:ascii="Bookman Old Style" w:eastAsia="Times New Roman" w:hAnsi="Bookman Old Style" w:cs="Times New Roman"/>
                <w:color w:val="000000"/>
                <w:sz w:val="20"/>
                <w:szCs w:val="20"/>
                <w:lang w:eastAsia="fr-FR"/>
              </w:rPr>
              <w:lastRenderedPageBreak/>
              <w:t xml:space="preserve">l’occupation du territoire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 xml:space="preserve">3. Promotion de </w:t>
            </w:r>
            <w:r>
              <w:rPr>
                <w:rFonts w:ascii="Bookman Old Style" w:eastAsia="Times New Roman" w:hAnsi="Bookman Old Style" w:cs="Times New Roman"/>
                <w:sz w:val="20"/>
                <w:szCs w:val="20"/>
                <w:lang w:eastAsia="fr-FR"/>
              </w:rPr>
              <w:lastRenderedPageBreak/>
              <w:t>la villagisation</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1. Aménagement des villages ruraux</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à la mise en place des infrastructures  socio-économiques de base dans les villages</w:t>
            </w:r>
          </w:p>
        </w:tc>
      </w:tr>
      <w:tr w:rsidR="00CE3AE8" w:rsidTr="00CE3AE8">
        <w:trPr>
          <w:trHeight w:val="55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des activités génératrices de revenus dans les villages</w:t>
            </w:r>
          </w:p>
          <w:p w:rsidR="00CE3AE8" w:rsidRDefault="00CE3AE8">
            <w:pPr>
              <w:spacing w:after="0" w:line="240" w:lineRule="auto"/>
              <w:jc w:val="both"/>
              <w:rPr>
                <w:rFonts w:ascii="Bookman Old Style" w:eastAsia="Times New Roman" w:hAnsi="Bookman Old Style" w:cs="Times New Roman"/>
                <w:sz w:val="20"/>
                <w:szCs w:val="20"/>
                <w:lang w:eastAsia="fr-FR"/>
              </w:rPr>
            </w:pPr>
          </w:p>
        </w:tc>
      </w:tr>
      <w:tr w:rsidR="00CE3AE8" w:rsidTr="00CE3AE8">
        <w:trPr>
          <w:trHeight w:val="330"/>
        </w:trPr>
        <w:tc>
          <w:tcPr>
            <w:tcW w:w="16302" w:type="dxa"/>
            <w:gridSpan w:val="5"/>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ENJEU 2: UNE GOUVERNANCE AXEE SUR LA SOUVERAINETE NATIONALE</w:t>
            </w:r>
          </w:p>
        </w:tc>
      </w:tr>
      <w:tr w:rsidR="00CE3AE8" w:rsidTr="00CE3AE8">
        <w:trPr>
          <w:trHeight w:val="645"/>
        </w:trPr>
        <w:tc>
          <w:tcPr>
            <w:tcW w:w="19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ORIENTATIONS STRATEGIQUES </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PROGRAMMES</w:t>
            </w:r>
          </w:p>
        </w:tc>
        <w:tc>
          <w:tcPr>
            <w:tcW w:w="850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PROJETS</w:t>
            </w:r>
          </w:p>
        </w:tc>
      </w:tr>
      <w:tr w:rsidR="00CE3AE8" w:rsidTr="00CE3AE8">
        <w:trPr>
          <w:trHeight w:val="630"/>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4. Renforcer la gouvernance, la sécurité et la  sauvegarde de la souveraineté nationale</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13. Gouvernance</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Améliorer la gestion des élections et des libertés publiques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 la démocratie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du  dialogue politique entre tous les acteurs politiques et des citoyens au processus électoral </w:t>
            </w:r>
          </w:p>
        </w:tc>
      </w:tr>
      <w:tr w:rsidR="00CE3AE8" w:rsidTr="00CE3AE8">
        <w:trPr>
          <w:trHeight w:val="70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  l’efficacité et la responsabilité des institutions et des acteurs politiques,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sz w:val="20"/>
                <w:szCs w:val="20"/>
                <w:lang w:eastAsia="fr-FR"/>
              </w:rPr>
              <w:t>3. Renforcement de l’éducation patriotique et de la libre participation</w:t>
            </w:r>
          </w:p>
        </w:tc>
      </w:tr>
      <w:tr w:rsidR="00CE3AE8" w:rsidTr="00CE3AE8">
        <w:trPr>
          <w:trHeight w:val="49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sz w:val="20"/>
                <w:szCs w:val="20"/>
                <w:lang w:eastAsia="fr-FR"/>
              </w:rPr>
              <w:t>4. Promotion des libertés publiques</w:t>
            </w:r>
          </w:p>
        </w:tc>
      </w:tr>
      <w:tr w:rsidR="00CE3AE8" w:rsidTr="00CE3AE8">
        <w:trPr>
          <w:trHeight w:val="61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Consolider l’état de droit et les droits humains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highlight w:val="yellow"/>
                <w:lang w:eastAsia="fr-FR"/>
              </w:rPr>
            </w:pPr>
            <w:r>
              <w:rPr>
                <w:rFonts w:ascii="Bookman Old Style" w:eastAsia="Times New Roman" w:hAnsi="Bookman Old Style" w:cs="Times New Roman"/>
                <w:sz w:val="20"/>
                <w:szCs w:val="20"/>
                <w:highlight w:val="yellow"/>
                <w:lang w:eastAsia="fr-FR"/>
              </w:rPr>
              <w:t>2. La promotion des droits humains </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des acteurs étatiques et non étatiques en matière des droits humains</w:t>
            </w:r>
          </w:p>
        </w:tc>
      </w:tr>
      <w:tr w:rsidR="00CE3AE8" w:rsidTr="00CE3AE8">
        <w:trPr>
          <w:trHeight w:val="65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Contribution à la consolidation de la paix et à la prévention de l’intolérance </w:t>
            </w:r>
          </w:p>
        </w:tc>
      </w:tr>
      <w:tr w:rsidR="00CE3AE8" w:rsidTr="00CE3AE8">
        <w:trPr>
          <w:trHeight w:val="56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Appui à la défense des droits des victimes des violations des droits humains.</w:t>
            </w:r>
          </w:p>
        </w:tc>
      </w:tr>
      <w:tr w:rsidR="00CE3AE8" w:rsidTr="00CE3AE8">
        <w:trPr>
          <w:trHeight w:val="54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du dialogue avec les organes de traités</w:t>
            </w:r>
          </w:p>
        </w:tc>
      </w:tr>
      <w:tr w:rsidR="00CE3AE8" w:rsidTr="00CE3AE8">
        <w:trPr>
          <w:trHeight w:val="42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highlight w:val="yellow"/>
                <w:lang w:eastAsia="fr-FR"/>
              </w:rPr>
            </w:pPr>
            <w:r>
              <w:rPr>
                <w:rFonts w:ascii="Bookman Old Style" w:eastAsia="Times New Roman" w:hAnsi="Bookman Old Style" w:cs="Times New Roman"/>
                <w:sz w:val="20"/>
                <w:szCs w:val="20"/>
                <w:highlight w:val="yellow"/>
                <w:lang w:eastAsia="fr-FR"/>
              </w:rPr>
              <w:t>3. La promotion d’une justice accessible à tous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et opérationnelles de la justice</w:t>
            </w:r>
          </w:p>
        </w:tc>
      </w:tr>
      <w:tr w:rsidR="00CE3AE8" w:rsidTr="00CE3AE8">
        <w:trPr>
          <w:trHeight w:val="544"/>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Renforcement de la sécurisation foncière par la décentralisation, l’équipement et l’informatisation de la Direction des Titres Fonciers</w:t>
            </w:r>
          </w:p>
        </w:tc>
      </w:tr>
      <w:tr w:rsidR="00CE3AE8" w:rsidTr="00CE3AE8">
        <w:trPr>
          <w:trHeight w:val="51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highlight w:val="yellow"/>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Renforcement du cadre juridique et institutionnel des institutions chargées de la médiation et de l’arbitrage commercial.</w:t>
            </w:r>
          </w:p>
        </w:tc>
      </w:tr>
      <w:tr w:rsidR="00CE3AE8" w:rsidTr="00CE3AE8">
        <w:trPr>
          <w:trHeight w:val="56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L’éradication  des inégalités sous toutes leurs formes</w:t>
            </w: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Amélioration   du statut social et culturel de la femme dans la société </w:t>
            </w:r>
          </w:p>
        </w:tc>
      </w:tr>
      <w:tr w:rsidR="00CE3AE8" w:rsidTr="00CE3AE8">
        <w:trPr>
          <w:trHeight w:val="54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Accès équitable des femmes, des hommes et des adolescent(e)s aux services sociaux de base </w:t>
            </w:r>
          </w:p>
        </w:tc>
      </w:tr>
      <w:tr w:rsidR="00CE3AE8" w:rsidTr="00CE3AE8">
        <w:trPr>
          <w:trHeight w:val="47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Renforcement des  capacités  des acteurs clés de mise en œuvre de la Politique Nationale Genre </w:t>
            </w:r>
          </w:p>
        </w:tc>
      </w:tr>
      <w:tr w:rsidR="00CE3AE8" w:rsidTr="00CE3AE8">
        <w:trPr>
          <w:trHeight w:val="54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Facilitation à l’accès équitable aux opportunités économiques  entre les hommes et les femmes </w:t>
            </w:r>
          </w:p>
        </w:tc>
      </w:tr>
      <w:tr w:rsidR="00CE3AE8" w:rsidTr="00CE3AE8">
        <w:trPr>
          <w:trHeight w:val="662"/>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5. Appui à l’autonomisation de la femme et de la jeune fille </w:t>
            </w:r>
          </w:p>
        </w:tc>
      </w:tr>
      <w:tr w:rsidR="00CE3AE8" w:rsidTr="00CE3AE8">
        <w:trPr>
          <w:trHeight w:val="61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6. Appui spécifique aux femmes et filles  vulnérables à l’accès aux opportunités économiques.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noWrap/>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Consolider la bonne gouvernance et éradiquer la corruption et les malversations économiques et financières sous toutes leurs formes et à tous les niveaux</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et opérationnelles  des acteurs étatiques et non étatiques en     matière de lutte contre la corruption et les malversations économiques et financières.</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1. Renforcement du partenariat entre le secteur public, la société civile et  le secteur privé ; </w:t>
            </w:r>
          </w:p>
        </w:tc>
      </w:tr>
      <w:tr w:rsidR="00CE3AE8" w:rsidTr="00CE3AE8">
        <w:trPr>
          <w:trHeight w:val="1003"/>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2 .Appui à l’intégration de la lutte contre la corruption  et la prise en compte  des principes de bonne gouvernance dans l’élaboration et la mise en œuvre des politiques sectorielles ;</w:t>
            </w:r>
          </w:p>
        </w:tc>
      </w:tr>
      <w:tr w:rsidR="00CE3AE8" w:rsidTr="00CE3AE8">
        <w:trPr>
          <w:trHeight w:val="408"/>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3. Appui au développement de la  recherche sur la corruption</w:t>
            </w:r>
            <w:r>
              <w:rPr>
                <w:rFonts w:ascii="Bookman Old Style" w:eastAsia="Times New Roman" w:hAnsi="Bookman Old Style" w:cs="Times New Roman"/>
                <w:i/>
                <w:iCs/>
                <w:sz w:val="20"/>
                <w:szCs w:val="20"/>
                <w:lang w:eastAsia="fr-FR"/>
              </w:rPr>
              <w:t xml:space="preserve"> </w:t>
            </w:r>
          </w:p>
        </w:tc>
      </w:tr>
      <w:tr w:rsidR="00CE3AE8" w:rsidTr="00CE3AE8">
        <w:trPr>
          <w:trHeight w:val="1067"/>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4. Adaptation du cadre légal de lutte contre la corruption et  les malversations économiques et financières.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4. Améliorer la gouvernance locale pour un développement inclusif et durable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L’appui à la décentralisation</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du cadre institutionnel de la décentralisation</w:t>
            </w:r>
            <w:r>
              <w:rPr>
                <w:rFonts w:ascii="Bookman Old Style" w:eastAsia="Times New Roman" w:hAnsi="Bookman Old Style" w:cs="Times New Roman"/>
                <w:b/>
                <w:bCs/>
                <w:sz w:val="20"/>
                <w:szCs w:val="20"/>
                <w:lang w:eastAsia="fr-FR"/>
              </w:rPr>
              <w:t>.</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du cadre juridique de la décentralisation.</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bCs/>
                <w:sz w:val="20"/>
                <w:szCs w:val="20"/>
                <w:lang w:eastAsia="fr-FR"/>
              </w:rPr>
              <w:t>2.</w:t>
            </w:r>
            <w:r>
              <w:rPr>
                <w:rFonts w:ascii="Bookman Old Style" w:eastAsia="Times New Roman" w:hAnsi="Bookman Old Style" w:cs="Times New Roman"/>
                <w:sz w:val="20"/>
                <w:szCs w:val="20"/>
                <w:lang w:eastAsia="fr-FR"/>
              </w:rPr>
              <w:t xml:space="preserve"> L’appui au développement économique local</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à la maîtrise de l’ouvrage communal</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Promotion de l’entreprenariat local et le renforcement de l’inclusion financière au niveau local</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 l’inclusion financière au niveau local</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Promotion de l’accélération du développement communautaire équitable,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 promotion des coopératives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5. Moderniser l’administration publique à tous les niveaux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Programme National de Réforme de l’Administration publique (PNRA)</w:t>
            </w: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Appui à la gestion des performances au sein de l’administration publique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Appui au développement de la fonction publique communale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des capacités institutionnelles de l’administration publique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hideMark/>
          </w:tcPr>
          <w:p w:rsidR="00CE3AE8" w:rsidRDefault="00CE3AE8">
            <w:pPr>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Création des conditions de développement des TIC dans l’administration publique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6. Améliorer le système de </w:t>
            </w:r>
            <w:r>
              <w:rPr>
                <w:rFonts w:ascii="Bookman Old Style" w:eastAsia="Times New Roman" w:hAnsi="Bookman Old Style" w:cs="Times New Roman"/>
                <w:color w:val="000000"/>
                <w:sz w:val="20"/>
                <w:szCs w:val="20"/>
                <w:lang w:eastAsia="fr-FR"/>
              </w:rPr>
              <w:lastRenderedPageBreak/>
              <w:t>pilotage de l’économie et de l’information statistique dans tous les secteurs de la vie nationale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 xml:space="preserve">1. Renforcement  des capacités </w:t>
            </w:r>
            <w:r>
              <w:rPr>
                <w:rFonts w:ascii="Bookman Old Style" w:eastAsia="Times New Roman" w:hAnsi="Bookman Old Style" w:cs="Times New Roman"/>
                <w:sz w:val="20"/>
                <w:szCs w:val="20"/>
                <w:lang w:eastAsia="fr-FR"/>
              </w:rPr>
              <w:lastRenderedPageBreak/>
              <w:t>institutionnelles de pilotage de l’économie</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1. Amélioration du   cadre légal et réglementaire du système statistique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2. Appui à la production  et utilisation des données statistiques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Amélioration du système de pilotage de la planification, programmation et suivi – évaluation</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Appui à la mise en place d’un fonds d’études des projets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 xml:space="preserve">Axe 14. Sécurité et défense nationale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noWrap/>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Garantir la sécurité, l’intégrité du territoire et la souveraineté nationale</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Professionnalisation et modernisation des corps de défense et de sécurité</w:t>
            </w:r>
            <w:r>
              <w:rPr>
                <w:rFonts w:ascii="Bookman Old Style" w:eastAsia="Times New Roman" w:hAnsi="Bookman Old Style" w:cs="Times New Roman"/>
                <w:i/>
                <w:iCs/>
                <w:sz w:val="20"/>
                <w:szCs w:val="20"/>
                <w:lang w:eastAsia="fr-FR"/>
              </w:rPr>
              <w:t xml:space="preserve"> </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institutionnelles et opérationnelles des CDS</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du leadership et de l’encadrement</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Optimisation de la gestion des ressources et développement d’une culture de planification et de redevabilité au sein des corps de défense et de sécurité</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du système de sécurisation de la population et des biens 24 /24 </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Amélioration du bien-être et la promotion de l’intégration du genre</w:t>
            </w:r>
          </w:p>
        </w:tc>
      </w:tr>
      <w:tr w:rsidR="00CE3AE8" w:rsidTr="00CE3AE8">
        <w:trPr>
          <w:trHeight w:val="6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Lutte contre la prolifération des armes légères et de petits calibres, la criminalité et le terrorisme</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de la CNAP</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en matière de prévention et de lutte contre la criminalité et le terrorisme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Création d’un centre opérationnel de lutte contre le terrorisme</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2. Prévenir les risques et gérer les catastrophes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des risques des catastrophes  et renforcement des capacités nationales</w:t>
            </w: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dans la prévention des risques et la gestion des  catastrophes </w:t>
            </w:r>
          </w:p>
        </w:tc>
      </w:tr>
      <w:tr w:rsidR="00CE3AE8" w:rsidTr="00CE3AE8">
        <w:trPr>
          <w:trHeight w:val="3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mécanismes de Coordination des actions et de préparation et de réponse aux urgences à tous les niveaux </w:t>
            </w:r>
          </w:p>
        </w:tc>
      </w:tr>
      <w:tr w:rsidR="00CE3AE8" w:rsidTr="00CE3AE8">
        <w:trPr>
          <w:trHeight w:val="37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3. Création d’un Centre National d’Opération d’Urgence et des centres pilotes dans </w:t>
            </w:r>
            <w:r>
              <w:rPr>
                <w:rFonts w:ascii="Bookman Old Style" w:eastAsia="Times New Roman" w:hAnsi="Bookman Old Style" w:cs="Times New Roman"/>
                <w:sz w:val="20"/>
                <w:szCs w:val="20"/>
                <w:lang w:eastAsia="fr-FR"/>
              </w:rPr>
              <w:lastRenderedPageBreak/>
              <w:t>quatre régions</w:t>
            </w:r>
          </w:p>
        </w:tc>
      </w:tr>
      <w:tr w:rsidR="00CE3AE8" w:rsidTr="00CE3AE8">
        <w:trPr>
          <w:trHeight w:val="316"/>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Renforcement de la résilience communautaire pour une meilleure préparation des ménages à faire face aux chocs de catastrophe </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Développement d’un Système d’Information Géographique sur les Risques de Catastrophes.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Création d’un fond de financement  des activités de prévention des risques et de gestion des catastrophes pour s’aligner au Cadre d’Action de Sendai 2015-2030</w:t>
            </w:r>
          </w:p>
        </w:tc>
      </w:tr>
      <w:tr w:rsidR="00CE3AE8" w:rsidTr="00CE3AE8">
        <w:trPr>
          <w:trHeight w:val="330"/>
        </w:trPr>
        <w:tc>
          <w:tcPr>
            <w:tcW w:w="16302" w:type="dxa"/>
            <w:gridSpan w:val="5"/>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CE3AE8" w:rsidRDefault="00CE3AE8">
            <w:pPr>
              <w:spacing w:after="0" w:line="240" w:lineRule="auto"/>
              <w:jc w:val="both"/>
              <w:rPr>
                <w:rFonts w:ascii="Bookman Old Style" w:eastAsia="Times New Roman" w:hAnsi="Bookman Old Style" w:cs="Times New Roman"/>
                <w:b/>
                <w:bCs/>
                <w:color w:val="000000"/>
                <w:sz w:val="24"/>
                <w:szCs w:val="24"/>
                <w:lang w:eastAsia="fr-FR"/>
              </w:rPr>
            </w:pPr>
            <w:r>
              <w:rPr>
                <w:rFonts w:ascii="Bookman Old Style" w:eastAsia="Times New Roman" w:hAnsi="Bookman Old Style" w:cs="Times New Roman"/>
                <w:b/>
                <w:bCs/>
                <w:color w:val="000000"/>
                <w:sz w:val="20"/>
                <w:szCs w:val="20"/>
                <w:lang w:eastAsia="fr-FR"/>
              </w:rPr>
              <w:t>ENJEU 3 : MECANISMES EFFICACES ET EFFICIENTS DE MOBILISATION DE RESSOURCES, CAPITALISATION DE LA COOPERATION  ET RECHERCHE DU FINANCEMENT INNOVANT</w:t>
            </w:r>
          </w:p>
        </w:tc>
      </w:tr>
      <w:tr w:rsidR="00CE3AE8" w:rsidTr="00CE3AE8">
        <w:trPr>
          <w:trHeight w:val="645"/>
        </w:trPr>
        <w:tc>
          <w:tcPr>
            <w:tcW w:w="1917" w:type="dxa"/>
            <w:tcBorders>
              <w:top w:val="single" w:sz="4" w:space="0" w:color="auto"/>
              <w:left w:val="single" w:sz="4" w:space="0" w:color="auto"/>
              <w:bottom w:val="single" w:sz="4" w:space="0" w:color="auto"/>
              <w:right w:val="single" w:sz="4" w:space="0" w:color="auto"/>
            </w:tcBorders>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ORIENTATIONS STRATEGIQUES</w:t>
            </w:r>
          </w:p>
        </w:tc>
        <w:tc>
          <w:tcPr>
            <w:tcW w:w="2052" w:type="dxa"/>
            <w:tcBorders>
              <w:top w:val="single" w:sz="4" w:space="0" w:color="auto"/>
              <w:left w:val="single" w:sz="4" w:space="0" w:color="auto"/>
              <w:bottom w:val="single" w:sz="4" w:space="0" w:color="auto"/>
              <w:right w:val="single" w:sz="4" w:space="0" w:color="auto"/>
            </w:tcBorders>
            <w:shd w:val="clear" w:color="auto" w:fill="DDD9C3"/>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AXES D’INTERVENTION</w:t>
            </w:r>
          </w:p>
        </w:tc>
        <w:tc>
          <w:tcPr>
            <w:tcW w:w="19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OBJECTIFS STRATEGIQUES</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DBE5F1"/>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r>
      <w:tr w:rsidR="00CE3AE8" w:rsidTr="00CE3AE8">
        <w:trPr>
          <w:trHeight w:val="470"/>
        </w:trPr>
        <w:tc>
          <w:tcPr>
            <w:tcW w:w="1917" w:type="dxa"/>
            <w:vMerge w:val="restart"/>
            <w:tcBorders>
              <w:top w:val="single" w:sz="4" w:space="0" w:color="auto"/>
              <w:left w:val="single" w:sz="4" w:space="0" w:color="auto"/>
              <w:bottom w:val="single" w:sz="4" w:space="0" w:color="auto"/>
              <w:right w:val="single" w:sz="4" w:space="0" w:color="auto"/>
            </w:tcBorders>
            <w:noWrap/>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5. Mobiliser les ressources, améliorer la gestion des dépenses publiques et développer  la coopération internationale</w:t>
            </w:r>
          </w:p>
        </w:tc>
        <w:tc>
          <w:tcPr>
            <w:tcW w:w="2052" w:type="dxa"/>
            <w:vMerge w:val="restart"/>
            <w:tcBorders>
              <w:top w:val="single" w:sz="4" w:space="0" w:color="auto"/>
              <w:left w:val="single" w:sz="4" w:space="0" w:color="auto"/>
              <w:bottom w:val="single" w:sz="4" w:space="0" w:color="auto"/>
              <w:right w:val="single" w:sz="4" w:space="0" w:color="auto"/>
            </w:tcBorders>
            <w:shd w:val="clear" w:color="auto" w:fill="92D050"/>
            <w:noWrap/>
            <w:hideMark/>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r>
              <w:rPr>
                <w:rFonts w:ascii="Bookman Old Style" w:eastAsia="Times New Roman" w:hAnsi="Bookman Old Style" w:cs="Times New Roman"/>
                <w:b/>
                <w:bCs/>
                <w:color w:val="000000"/>
                <w:sz w:val="20"/>
                <w:szCs w:val="20"/>
                <w:lang w:eastAsia="fr-FR"/>
              </w:rPr>
              <w:t>Axe 15. Mobilisation accrue  des ressources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1. Renforcer les capacités de mobilisation des ressources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b/>
                <w:sz w:val="20"/>
                <w:szCs w:val="20"/>
                <w:lang w:eastAsia="fr-FR"/>
              </w:rPr>
            </w:pPr>
            <w:r>
              <w:rPr>
                <w:rFonts w:ascii="Bookman Old Style" w:eastAsia="Times New Roman" w:hAnsi="Bookman Old Style" w:cs="Times New Roman"/>
                <w:sz w:val="20"/>
                <w:szCs w:val="20"/>
                <w:lang w:eastAsia="fr-FR"/>
              </w:rPr>
              <w:t>1.  Amélioration des performances de l’OBR et de la Direction de la politique fiscale</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Gestion stratégique /maitrise de l’assiette fiscale</w:t>
            </w:r>
          </w:p>
        </w:tc>
      </w:tr>
      <w:tr w:rsidR="00CE3AE8" w:rsidTr="00CE3AE8">
        <w:trPr>
          <w:trHeight w:val="569"/>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rPr>
                <w:rFonts w:ascii="Bookman Old Style" w:hAnsi="Bookman Old Style"/>
                <w:sz w:val="24"/>
                <w:szCs w:val="24"/>
              </w:rPr>
            </w:pPr>
            <w:r>
              <w:rPr>
                <w:rFonts w:ascii="Bookman Old Style" w:eastAsia="Times New Roman" w:hAnsi="Bookman Old Style" w:cs="Times New Roman"/>
                <w:sz w:val="20"/>
                <w:szCs w:val="20"/>
                <w:lang w:eastAsia="fr-FR"/>
              </w:rPr>
              <w:t xml:space="preserve">2. Amélioration des recouvrements et la comptabilisation des recettes </w:t>
            </w:r>
          </w:p>
        </w:tc>
      </w:tr>
      <w:tr w:rsidR="00CE3AE8" w:rsidTr="00CE3AE8">
        <w:trPr>
          <w:trHeight w:val="30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 la fiscalité communale</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Développement du civisme fiscal et gestion des recours</w:t>
            </w:r>
          </w:p>
        </w:tc>
      </w:tr>
      <w:tr w:rsidR="00CE3AE8" w:rsidTr="00CE3AE8">
        <w:trPr>
          <w:trHeight w:val="4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5. Finalisation et redéploiement du module de gestion des recettes internes (ITAX)</w:t>
            </w:r>
          </w:p>
        </w:tc>
      </w:tr>
      <w:tr w:rsidR="00CE3AE8" w:rsidTr="00CE3AE8">
        <w:trPr>
          <w:trHeight w:val="4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de mobilisation de ressources autres que les recettes internes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6. Renforcement des mécanismes de comptabilisation et suivi évaluation de l’aide au développement</w:t>
            </w:r>
          </w:p>
        </w:tc>
      </w:tr>
      <w:tr w:rsidR="00CE3AE8" w:rsidTr="00CE3AE8">
        <w:trPr>
          <w:trHeight w:val="4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7. Renforcement des capacités d’analyse de la dette publique</w:t>
            </w:r>
          </w:p>
        </w:tc>
      </w:tr>
      <w:tr w:rsidR="00CE3AE8" w:rsidTr="00CE3AE8">
        <w:trPr>
          <w:trHeight w:val="45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8. Organisation et sécurisation du mécanisme de financement PPP</w:t>
            </w:r>
          </w:p>
        </w:tc>
      </w:tr>
      <w:tr w:rsidR="00CE3AE8" w:rsidTr="00CE3AE8">
        <w:trPr>
          <w:trHeight w:val="103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C5D9F1"/>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 xml:space="preserve"> 2. Améliorer la gestion rationnelle des dépenses publiques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b/>
                <w:sz w:val="20"/>
                <w:szCs w:val="20"/>
                <w:lang w:eastAsia="fr-FR"/>
              </w:rPr>
              <w:t xml:space="preserve"> </w:t>
            </w:r>
            <w:r>
              <w:rPr>
                <w:rFonts w:ascii="Bookman Old Style" w:eastAsia="Times New Roman" w:hAnsi="Bookman Old Style" w:cs="Times New Roman"/>
                <w:sz w:val="20"/>
                <w:szCs w:val="20"/>
                <w:lang w:eastAsia="fr-FR"/>
              </w:rPr>
              <w:t xml:space="preserve">1. Consolidation du processus de préparation du budget et </w:t>
            </w:r>
            <w:r>
              <w:rPr>
                <w:rFonts w:ascii="Bookman Old Style" w:eastAsia="Times New Roman" w:hAnsi="Bookman Old Style" w:cs="Times New Roman"/>
                <w:sz w:val="20"/>
                <w:szCs w:val="20"/>
                <w:lang w:eastAsia="fr-FR"/>
              </w:rPr>
              <w:lastRenderedPageBreak/>
              <w:t>complémentarité avec les actions des communes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lastRenderedPageBreak/>
              <w:t>1. Renforcement des cadres macroéconomiques/ budgétaires et simulations des programmes d’investissements</w:t>
            </w:r>
          </w:p>
        </w:tc>
      </w:tr>
      <w:tr w:rsidR="00CE3AE8" w:rsidTr="00CE3AE8">
        <w:trPr>
          <w:trHeight w:val="76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Consolidation du processus de préparation du budget et complémentarité avec les actions des communes</w:t>
            </w:r>
          </w:p>
        </w:tc>
      </w:tr>
      <w:tr w:rsidR="00CE3AE8" w:rsidTr="00CE3AE8">
        <w:trPr>
          <w:trHeight w:val="63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Rationalisation de la chaine de la dépense et maitrise de la masse salariale</w:t>
            </w:r>
          </w:p>
        </w:tc>
      </w:tr>
      <w:tr w:rsidR="00CE3AE8" w:rsidTr="00CE3AE8">
        <w:trPr>
          <w:trHeight w:val="94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4. Modernisation et consolidation des systèmes de passation de la commande publique (y compris à l’échelle communale)</w:t>
            </w:r>
          </w:p>
        </w:tc>
      </w:tr>
      <w:tr w:rsidR="00CE3AE8" w:rsidTr="00CE3AE8">
        <w:trPr>
          <w:trHeight w:val="595"/>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Renforcement des capacités des acteurs de la Gestion des Finances Publiques et modernisation du cadre juridique de la loi organique relative aux finances publiques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Renforcement des capacités de l’ensemble des acteurs de la GFP</w:t>
            </w:r>
          </w:p>
        </w:tc>
      </w:tr>
      <w:tr w:rsidR="00CE3AE8" w:rsidTr="00CE3AE8">
        <w:trPr>
          <w:trHeight w:val="390"/>
        </w:trPr>
        <w:tc>
          <w:tcPr>
            <w:tcW w:w="1630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2052"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b/>
                <w:bCs/>
                <w:color w:val="000000"/>
                <w:sz w:val="20"/>
                <w:szCs w:val="20"/>
                <w:lang w:eastAsia="fr-FR"/>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color w:val="000000"/>
                <w:sz w:val="20"/>
                <w:szCs w:val="20"/>
                <w:lang w:eastAsia="fr-F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CE3AE8" w:rsidRDefault="00CE3AE8">
            <w:pPr>
              <w:spacing w:after="0" w:line="240" w:lineRule="auto"/>
              <w:rPr>
                <w:rFonts w:ascii="Bookman Old Style" w:eastAsia="Times New Roman" w:hAnsi="Bookman Old Style" w:cs="Times New Roman"/>
                <w:sz w:val="20"/>
                <w:szCs w:val="20"/>
                <w:lang w:eastAsia="fr-FR"/>
              </w:rPr>
            </w:pP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2. Modernisation du cadre juridique de la loi organique relative aux finances publiques</w:t>
            </w:r>
          </w:p>
        </w:tc>
      </w:tr>
      <w:tr w:rsidR="00CE3AE8" w:rsidTr="00CE3AE8">
        <w:trPr>
          <w:trHeight w:val="803"/>
        </w:trPr>
        <w:tc>
          <w:tcPr>
            <w:tcW w:w="1917" w:type="dxa"/>
            <w:tcBorders>
              <w:top w:val="single" w:sz="4" w:space="0" w:color="auto"/>
              <w:left w:val="single" w:sz="4" w:space="0" w:color="auto"/>
              <w:bottom w:val="single" w:sz="4" w:space="0" w:color="auto"/>
              <w:right w:val="single" w:sz="4" w:space="0" w:color="auto"/>
            </w:tcBorders>
            <w:vAlign w:val="center"/>
          </w:tcPr>
          <w:p w:rsidR="00CE3AE8" w:rsidRDefault="00CE3AE8">
            <w:pPr>
              <w:spacing w:after="0" w:line="240" w:lineRule="auto"/>
              <w:jc w:val="both"/>
              <w:rPr>
                <w:rFonts w:ascii="Bookman Old Style" w:eastAsia="Times New Roman" w:hAnsi="Bookman Old Style" w:cs="Times New Roman"/>
                <w:b/>
                <w:bCs/>
                <w:color w:val="000000"/>
                <w:sz w:val="20"/>
                <w:szCs w:val="20"/>
                <w:lang w:eastAsia="fr-FR"/>
              </w:rPr>
            </w:pPr>
          </w:p>
        </w:tc>
        <w:tc>
          <w:tcPr>
            <w:tcW w:w="2052" w:type="dxa"/>
            <w:tcBorders>
              <w:top w:val="single" w:sz="4" w:space="0" w:color="auto"/>
              <w:left w:val="single" w:sz="4" w:space="0" w:color="auto"/>
              <w:bottom w:val="single" w:sz="4" w:space="0" w:color="auto"/>
              <w:right w:val="single" w:sz="4" w:space="0" w:color="auto"/>
            </w:tcBorders>
            <w:shd w:val="clear" w:color="auto" w:fill="92D050"/>
            <w:hideMark/>
          </w:tcPr>
          <w:p w:rsidR="00CE3AE8" w:rsidRDefault="00CE3AE8">
            <w:pPr>
              <w:spacing w:after="0" w:line="240" w:lineRule="auto"/>
              <w:jc w:val="both"/>
              <w:rPr>
                <w:rFonts w:ascii="Bookman Old Style" w:eastAsia="Times New Roman" w:hAnsi="Bookman Old Style" w:cs="Times New Roman"/>
                <w:b/>
                <w:sz w:val="20"/>
                <w:szCs w:val="20"/>
                <w:lang w:eastAsia="fr-FR"/>
              </w:rPr>
            </w:pPr>
            <w:r>
              <w:rPr>
                <w:rFonts w:ascii="Bookman Old Style" w:eastAsia="Times New Roman" w:hAnsi="Bookman Old Style" w:cs="Times New Roman"/>
                <w:b/>
                <w:sz w:val="20"/>
                <w:szCs w:val="20"/>
                <w:lang w:eastAsia="fr-FR"/>
              </w:rPr>
              <w:t>Axe 16 Développement de la coopération régionale et internationale</w:t>
            </w:r>
          </w:p>
        </w:tc>
        <w:tc>
          <w:tcPr>
            <w:tcW w:w="198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E3AE8" w:rsidRDefault="00CE3AE8">
            <w:pPr>
              <w:spacing w:after="0" w:line="240" w:lineRule="auto"/>
              <w:jc w:val="both"/>
              <w:rPr>
                <w:rFonts w:ascii="Bookman Old Style" w:eastAsia="Times New Roman" w:hAnsi="Bookman Old Style" w:cs="Times New Roman"/>
                <w:color w:val="000000"/>
                <w:sz w:val="20"/>
                <w:szCs w:val="20"/>
                <w:lang w:eastAsia="fr-FR"/>
              </w:rPr>
            </w:pPr>
            <w:r>
              <w:rPr>
                <w:rFonts w:ascii="Bookman Old Style" w:eastAsia="Times New Roman" w:hAnsi="Bookman Old Style" w:cs="Times New Roman"/>
                <w:color w:val="000000"/>
                <w:sz w:val="20"/>
                <w:szCs w:val="20"/>
                <w:lang w:eastAsia="fr-FR"/>
              </w:rPr>
              <w:t>3. Consolider et développer la coopération et le partenariat sous-régional, régional et international</w:t>
            </w:r>
          </w:p>
        </w:tc>
        <w:tc>
          <w:tcPr>
            <w:tcW w:w="18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1. Rationalisation de la coopération et du partenariat dans les organisations sous-régionales, régionales et internationales</w:t>
            </w:r>
          </w:p>
        </w:tc>
        <w:tc>
          <w:tcPr>
            <w:tcW w:w="8505" w:type="dxa"/>
            <w:tcBorders>
              <w:top w:val="single" w:sz="4" w:space="0" w:color="auto"/>
              <w:left w:val="single" w:sz="4" w:space="0" w:color="auto"/>
              <w:bottom w:val="single" w:sz="4" w:space="0" w:color="auto"/>
              <w:right w:val="single" w:sz="4" w:space="0" w:color="auto"/>
            </w:tcBorders>
            <w:shd w:val="clear" w:color="auto" w:fill="FFC000"/>
            <w:hideMark/>
          </w:tcPr>
          <w:p w:rsidR="00CE3AE8" w:rsidRDefault="00CE3AE8">
            <w:pPr>
              <w:spacing w:after="0" w:line="240" w:lineRule="auto"/>
              <w:jc w:val="both"/>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3. Renforcement de la gouvernance de l'intégration régionale </w:t>
            </w:r>
          </w:p>
        </w:tc>
      </w:tr>
    </w:tbl>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CE3AE8" w:rsidRDefault="00CE3AE8" w:rsidP="00CE3AE8">
      <w:pPr>
        <w:autoSpaceDE w:val="0"/>
        <w:autoSpaceDN w:val="0"/>
        <w:adjustRightInd w:val="0"/>
        <w:spacing w:after="120" w:line="240" w:lineRule="auto"/>
        <w:jc w:val="both"/>
        <w:outlineLvl w:val="0"/>
        <w:rPr>
          <w:rFonts w:ascii="Bookman Old Style" w:hAnsi="Bookman Old Style" w:cs="Times New Roman"/>
          <w:b/>
          <w:bCs/>
          <w:sz w:val="24"/>
          <w:szCs w:val="24"/>
        </w:rPr>
      </w:pPr>
    </w:p>
    <w:p w:rsidR="00506C2C" w:rsidRDefault="00506C2C" w:rsidP="00EA6409">
      <w:pPr>
        <w:autoSpaceDE w:val="0"/>
        <w:autoSpaceDN w:val="0"/>
        <w:adjustRightInd w:val="0"/>
        <w:spacing w:before="160" w:after="120" w:line="240" w:lineRule="auto"/>
        <w:jc w:val="both"/>
        <w:outlineLvl w:val="0"/>
        <w:rPr>
          <w:rFonts w:ascii="Bookman Old Style" w:hAnsi="Bookman Old Style" w:cs="Times New Roman"/>
          <w:b/>
          <w:bCs/>
          <w:sz w:val="24"/>
          <w:szCs w:val="24"/>
        </w:rPr>
      </w:pPr>
    </w:p>
    <w:p w:rsidR="00506C2C" w:rsidRDefault="00506C2C" w:rsidP="00EA6409">
      <w:pPr>
        <w:autoSpaceDE w:val="0"/>
        <w:autoSpaceDN w:val="0"/>
        <w:adjustRightInd w:val="0"/>
        <w:spacing w:before="160" w:after="120" w:line="240" w:lineRule="auto"/>
        <w:jc w:val="both"/>
        <w:outlineLvl w:val="0"/>
        <w:rPr>
          <w:rFonts w:ascii="Bookman Old Style" w:hAnsi="Bookman Old Style" w:cs="Times New Roman"/>
          <w:b/>
          <w:bCs/>
          <w:sz w:val="24"/>
          <w:szCs w:val="24"/>
        </w:rPr>
      </w:pPr>
    </w:p>
    <w:p w:rsidR="00EA6409" w:rsidRDefault="00EA6409" w:rsidP="00EA6409">
      <w:pPr>
        <w:spacing w:line="240" w:lineRule="auto"/>
        <w:jc w:val="both"/>
        <w:rPr>
          <w:rFonts w:ascii="Bookman Old Style" w:hAnsi="Bookman Old Style" w:cs="Times New Roman"/>
          <w:bCs/>
          <w:sz w:val="24"/>
          <w:szCs w:val="24"/>
        </w:rPr>
      </w:pPr>
    </w:p>
    <w:p w:rsidR="00EA6409" w:rsidRDefault="00EA6409" w:rsidP="00306871">
      <w:pPr>
        <w:spacing w:line="240" w:lineRule="auto"/>
        <w:jc w:val="both"/>
        <w:rPr>
          <w:rFonts w:ascii="Bookman Old Style" w:hAnsi="Bookman Old Style" w:cs="Times New Roman"/>
          <w:b/>
          <w:sz w:val="24"/>
          <w:szCs w:val="24"/>
        </w:rPr>
      </w:pPr>
      <w:r>
        <w:rPr>
          <w:rFonts w:ascii="Bookman Old Style" w:hAnsi="Bookman Old Style" w:cs="Times New Roman"/>
          <w:bCs/>
          <w:sz w:val="24"/>
          <w:szCs w:val="24"/>
        </w:rPr>
        <w:t xml:space="preserve"> </w:t>
      </w:r>
      <w:r>
        <w:rPr>
          <w:rFonts w:ascii="Bookman Old Style" w:hAnsi="Bookman Old Style" w:cs="Times New Roman"/>
          <w:b/>
          <w:bCs/>
          <w:sz w:val="24"/>
          <w:szCs w:val="24"/>
        </w:rPr>
        <w:t xml:space="preserve">ANNEXE 3 : COÛTS DÉTAILLÉS DU PND BURUNDI 2018-2027 PAR AXE ET PAR SECTEUR  </w:t>
      </w:r>
    </w:p>
    <w:p w:rsidR="00EA6409" w:rsidRDefault="00EA6409" w:rsidP="00EA6409">
      <w:pPr>
        <w:autoSpaceDE w:val="0"/>
        <w:autoSpaceDN w:val="0"/>
        <w:adjustRightInd w:val="0"/>
        <w:spacing w:before="160" w:after="120" w:line="240" w:lineRule="auto"/>
        <w:jc w:val="both"/>
        <w:rPr>
          <w:rFonts w:ascii="Bookman Old Style" w:hAnsi="Bookman Old Style" w:cs="Times New Roman"/>
          <w:bCs/>
          <w:sz w:val="24"/>
          <w:szCs w:val="24"/>
        </w:rPr>
      </w:pPr>
      <w:r>
        <w:rPr>
          <w:rFonts w:ascii="Bookman Old Style" w:hAnsi="Bookman Old Style" w:cs="Times New Roman"/>
          <w:bCs/>
          <w:sz w:val="24"/>
          <w:szCs w:val="24"/>
        </w:rPr>
        <w:t xml:space="preserve"> </w:t>
      </w:r>
    </w:p>
    <w:p w:rsidR="00EA6409" w:rsidRDefault="00EA6409" w:rsidP="00EA6409">
      <w:pPr>
        <w:spacing w:line="240" w:lineRule="auto"/>
        <w:jc w:val="both"/>
        <w:rPr>
          <w:rFonts w:ascii="Bookman Old Style" w:hAnsi="Bookman Old Style" w:cs="Times New Roman"/>
          <w:bCs/>
          <w:sz w:val="24"/>
          <w:szCs w:val="24"/>
        </w:rPr>
      </w:pPr>
      <w:r>
        <w:rPr>
          <w:rFonts w:ascii="Bookman Old Style" w:hAnsi="Bookman Old Style" w:cs="Times New Roman"/>
          <w:bCs/>
          <w:sz w:val="24"/>
          <w:szCs w:val="24"/>
        </w:rPr>
        <w:br w:type="page"/>
      </w:r>
    </w:p>
    <w:p w:rsidR="00EA6409" w:rsidRDefault="00EA6409" w:rsidP="00EA6409">
      <w:pPr>
        <w:autoSpaceDE w:val="0"/>
        <w:autoSpaceDN w:val="0"/>
        <w:adjustRightInd w:val="0"/>
        <w:spacing w:before="160" w:after="120" w:line="240" w:lineRule="auto"/>
        <w:jc w:val="both"/>
        <w:rPr>
          <w:rFonts w:ascii="Bookman Old Style" w:hAnsi="Bookman Old Style" w:cs="Times New Roman"/>
          <w:bCs/>
          <w:sz w:val="24"/>
          <w:szCs w:val="24"/>
        </w:rPr>
      </w:pPr>
    </w:p>
    <w:p w:rsidR="00EA6409" w:rsidRDefault="00EA6409" w:rsidP="00EA6409">
      <w:pPr>
        <w:autoSpaceDE w:val="0"/>
        <w:autoSpaceDN w:val="0"/>
        <w:adjustRightInd w:val="0"/>
        <w:spacing w:before="160" w:after="120" w:line="240" w:lineRule="auto"/>
        <w:jc w:val="both"/>
        <w:outlineLvl w:val="0"/>
        <w:rPr>
          <w:rFonts w:ascii="Bookman Old Style" w:hAnsi="Bookman Old Style" w:cs="Times New Roman"/>
          <w:b/>
          <w:bCs/>
          <w:sz w:val="24"/>
          <w:szCs w:val="24"/>
        </w:rPr>
      </w:pPr>
      <w:bookmarkStart w:id="359" w:name="_Toc511080972"/>
      <w:bookmarkStart w:id="360" w:name="_Toc511081648"/>
      <w:r>
        <w:rPr>
          <w:rFonts w:ascii="Bookman Old Style" w:hAnsi="Bookman Old Style" w:cs="Times New Roman"/>
          <w:b/>
          <w:bCs/>
          <w:sz w:val="24"/>
          <w:szCs w:val="24"/>
        </w:rPr>
        <w:t>ANNEXE 4 : MATRICE DES INDICATEURS CLÉS DE SUIVI ET ÉVALUATION</w:t>
      </w:r>
      <w:r w:rsidR="006029AB">
        <w:rPr>
          <w:rFonts w:ascii="Bookman Old Style" w:hAnsi="Bookman Old Style" w:cs="Times New Roman"/>
          <w:b/>
          <w:bCs/>
          <w:sz w:val="24"/>
          <w:szCs w:val="24"/>
        </w:rPr>
        <w:t xml:space="preserve"> </w:t>
      </w:r>
      <w:r w:rsidR="006029AB" w:rsidRPr="006029AB">
        <w:rPr>
          <w:rFonts w:ascii="Bookman Old Style" w:hAnsi="Bookman Old Style" w:cs="Times New Roman"/>
          <w:b/>
          <w:bCs/>
          <w:color w:val="FF0000"/>
          <w:sz w:val="24"/>
          <w:szCs w:val="24"/>
        </w:rPr>
        <w:t>(pas achêvé)</w:t>
      </w:r>
      <w:bookmarkEnd w:id="359"/>
      <w:bookmarkEnd w:id="360"/>
      <w:r w:rsidRPr="006029AB">
        <w:rPr>
          <w:rFonts w:ascii="Bookman Old Style" w:hAnsi="Bookman Old Style" w:cs="Times New Roman"/>
          <w:b/>
          <w:bCs/>
          <w:color w:val="FF0000"/>
          <w:sz w:val="24"/>
          <w:szCs w:val="24"/>
        </w:rPr>
        <w:t xml:space="preserve"> </w:t>
      </w:r>
    </w:p>
    <w:p w:rsidR="00EA6409" w:rsidRDefault="00EA6409" w:rsidP="00EA6409">
      <w:pPr>
        <w:autoSpaceDE w:val="0"/>
        <w:autoSpaceDN w:val="0"/>
        <w:adjustRightInd w:val="0"/>
        <w:spacing w:before="160" w:after="120" w:line="240" w:lineRule="auto"/>
        <w:jc w:val="both"/>
        <w:rPr>
          <w:rFonts w:ascii="Bookman Old Style" w:hAnsi="Bookman Old Style" w:cs="Times New Roman"/>
          <w:bCs/>
          <w:sz w:val="24"/>
          <w:szCs w:val="24"/>
        </w:rPr>
      </w:pPr>
    </w:p>
    <w:tbl>
      <w:tblPr>
        <w:tblW w:w="14730" w:type="dxa"/>
        <w:tblLayout w:type="fixed"/>
        <w:tblCellMar>
          <w:left w:w="70" w:type="dxa"/>
          <w:right w:w="70" w:type="dxa"/>
        </w:tblCellMar>
        <w:tblLook w:val="04A0" w:firstRow="1" w:lastRow="0" w:firstColumn="1" w:lastColumn="0" w:noHBand="0" w:noVBand="1"/>
      </w:tblPr>
      <w:tblGrid>
        <w:gridCol w:w="2404"/>
        <w:gridCol w:w="2976"/>
        <w:gridCol w:w="2976"/>
        <w:gridCol w:w="3778"/>
        <w:gridCol w:w="1373"/>
        <w:gridCol w:w="1223"/>
      </w:tblGrid>
      <w:tr w:rsidR="00EA6409" w:rsidTr="00EA6409">
        <w:trPr>
          <w:trHeight w:val="510"/>
          <w:tblHeader/>
        </w:trPr>
        <w:tc>
          <w:tcPr>
            <w:tcW w:w="2405" w:type="dxa"/>
            <w:tcBorders>
              <w:top w:val="single" w:sz="4" w:space="0" w:color="auto"/>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ORIENTATIONS STRATEGIQUES</w:t>
            </w:r>
          </w:p>
        </w:tc>
        <w:tc>
          <w:tcPr>
            <w:tcW w:w="2977" w:type="dxa"/>
            <w:tcBorders>
              <w:top w:val="single" w:sz="4" w:space="0" w:color="auto"/>
              <w:left w:val="nil"/>
              <w:bottom w:val="single" w:sz="4" w:space="0" w:color="auto"/>
              <w:right w:val="single" w:sz="4" w:space="0" w:color="auto"/>
            </w:tcBorders>
            <w:shd w:val="clear" w:color="auto" w:fill="DDD9C3"/>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AXES D’INTERVENTION</w:t>
            </w:r>
          </w:p>
        </w:tc>
        <w:tc>
          <w:tcPr>
            <w:tcW w:w="2977" w:type="dxa"/>
            <w:tcBorders>
              <w:top w:val="single" w:sz="4" w:space="0" w:color="auto"/>
              <w:left w:val="nil"/>
              <w:bottom w:val="single" w:sz="4" w:space="0" w:color="auto"/>
              <w:right w:val="single" w:sz="4" w:space="0" w:color="auto"/>
            </w:tcBorders>
            <w:shd w:val="clear" w:color="auto" w:fill="FBD4B4"/>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OBJECTIFS STRATEGIQUES</w:t>
            </w:r>
          </w:p>
        </w:tc>
        <w:tc>
          <w:tcPr>
            <w:tcW w:w="3780" w:type="dxa"/>
            <w:tcBorders>
              <w:top w:val="single" w:sz="4" w:space="0" w:color="auto"/>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Indicateurs objectivement vérifiables</w:t>
            </w:r>
          </w:p>
        </w:tc>
        <w:tc>
          <w:tcPr>
            <w:tcW w:w="1374" w:type="dxa"/>
            <w:tcBorders>
              <w:top w:val="single" w:sz="4" w:space="0" w:color="auto"/>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Référence</w:t>
            </w:r>
          </w:p>
        </w:tc>
        <w:tc>
          <w:tcPr>
            <w:tcW w:w="1224" w:type="dxa"/>
            <w:tcBorders>
              <w:top w:val="single" w:sz="4" w:space="0" w:color="auto"/>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Cibles à atteindre</w:t>
            </w:r>
          </w:p>
        </w:tc>
      </w:tr>
      <w:tr w:rsidR="00EA6409" w:rsidTr="00EA6409">
        <w:trPr>
          <w:trHeight w:val="1020"/>
        </w:trPr>
        <w:tc>
          <w:tcPr>
            <w:tcW w:w="14737" w:type="dxa"/>
            <w:gridSpan w:val="6"/>
            <w:tcBorders>
              <w:top w:val="single" w:sz="4" w:space="0" w:color="auto"/>
              <w:left w:val="single" w:sz="4" w:space="0" w:color="auto"/>
              <w:bottom w:val="single" w:sz="4" w:space="0" w:color="auto"/>
              <w:right w:val="single" w:sz="4" w:space="0" w:color="auto"/>
            </w:tcBorders>
            <w:shd w:val="clear" w:color="auto" w:fill="00B0F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Bookman Old Style" w:hAnsi="Bookman Old Style" w:cs="Times New Roman"/>
                <w:b/>
                <w:bCs/>
                <w:sz w:val="24"/>
                <w:szCs w:val="24"/>
              </w:rPr>
              <w:t>ENJEU 1 : UNE CROISSANCE SOUTENUE ET INCLUSIVE POUR UNE RESILIENCE ECONOMIQUE ET UN DEVELOPPEMENT DURABLE</w:t>
            </w:r>
          </w:p>
        </w:tc>
      </w:tr>
      <w:tr w:rsidR="00EA6409" w:rsidTr="00EA6409">
        <w:trPr>
          <w:trHeight w:val="102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1. Développer les secteurs porteurs de croissance</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Axe 1. Développement de l'Agriculture, élevage et sécurité alimentaire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 Renforcer les capacités institutionnelles et organisationnelles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 Accroître de façon durable la production agricole, animale et halieutique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du budget alloué à l'agriculture et élevage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Part de l’agriculture au PIB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Cultures vivrières (milliers de tonnes)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Céréales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Légumineuses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Tubercules et racines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Bananes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des produits halieutiques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Pêche coutumière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Pêche artisanale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Pêche industrielle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Produits d’élevage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Bovins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Ovins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Caprins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Porcins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Volailles (milliers de têtes)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Quantité du café cerise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Quantité du café vert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Thé sec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Quantité du thé vert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B6DDE8"/>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Coton fibre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b/>
                <w:bCs/>
                <w:color w:val="000000"/>
                <w:sz w:val="24"/>
                <w:szCs w:val="24"/>
                <w:lang w:eastAsia="fr-FR"/>
              </w:rPr>
            </w:pPr>
            <w:r>
              <w:rPr>
                <w:rFonts w:ascii="Calibri" w:eastAsia="Times New Roman" w:hAnsi="Calibri" w:cs="Times New Roman"/>
                <w:b/>
                <w:bCs/>
                <w:color w:val="000000"/>
                <w:sz w:val="24"/>
                <w:szCs w:val="24"/>
                <w:lang w:eastAsia="fr-FR"/>
              </w:rPr>
              <w:t>Sécurité alimentaire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b/>
                <w:bCs/>
                <w:color w:val="000000"/>
                <w:sz w:val="24"/>
                <w:szCs w:val="24"/>
                <w:lang w:eastAsia="fr-FR"/>
              </w:rPr>
            </w:pPr>
            <w:r>
              <w:rPr>
                <w:rFonts w:ascii="Calibri" w:eastAsia="Times New Roman" w:hAnsi="Calibri" w:cs="Times New Roman"/>
                <w:b/>
                <w:bCs/>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Coefficient de dépendance alimentaire (en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xml:space="preserve">Insuffisance pondérale (enfants de - 5ans)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6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Pourcentage de la population vivant en dessous du seuil de pauvreté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 Promouvoir une agriculture de marché</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Axe2. Développement des Infrastructures (Energie, Eau potable, Transport, TIC.)</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 l'Energie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 Valoriser  les potentiels hydroélectrique, solaire, la tourbe, déchets municipaux et les ressources géothermiques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ménages électrifiés (urbain)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Offre électrique annuelle (GWH)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nationale d’énergie électrique annuelle(GWH)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Couverture de l’offre d’énergie électrique par la production nationale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Energie électrique vendue (GWH)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pertes (%) d’énergie électrique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d'accès à l'électricité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 Améliorer la filière biomasse (bois-énergie, charbon de bois, tourbe, déchets municipaux)  tout en sauvegardant l’environnement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Production de la tourbe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Réduction de la demande globale en bois-énergie grâce la promotion de la  carbonisation et foyers améliorées en milieu urbain et rural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6. Promouvoir des énergies renouvelables et alternatives</w:t>
            </w:r>
            <w:r>
              <w:rPr>
                <w:rFonts w:ascii="Times New Roman" w:eastAsia="Times New Roman" w:hAnsi="Times New Roman" w:cs="Times New Roman"/>
                <w:i/>
                <w:i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La part des énergies renouvelables et alternatives dans le mix-électrique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7. Améliorer les capacités de gestion du secteur de l’Energie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Nombre de règlements ou dispositions révisés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w:t>
            </w:r>
          </w:p>
        </w:tc>
      </w:tr>
      <w:tr w:rsidR="00EA6409" w:rsidTr="00EA6409">
        <w:trPr>
          <w:trHeight w:val="94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La règlementation sur l'installation dans des bâtiments et équipement Electrique est mise en place et Elaborée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w:t>
            </w:r>
          </w:p>
        </w:tc>
      </w:tr>
      <w:tr w:rsidR="00EA6409" w:rsidTr="00EA6409">
        <w:trPr>
          <w:trHeight w:val="6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La règlementation sur la chaine d’approvisionnement du carburant Elaboré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w:t>
            </w:r>
          </w:p>
        </w:tc>
      </w:tr>
      <w:tr w:rsidR="00EA6409" w:rsidTr="00EA6409">
        <w:trPr>
          <w:trHeight w:val="6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color w:val="FF0000"/>
                <w:sz w:val="24"/>
                <w:szCs w:val="24"/>
                <w:lang w:eastAsia="fr-FR"/>
              </w:rPr>
              <w:t>L'investissement Public-Privé(IPP) en Energie augmenté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FF0000"/>
                <w:sz w:val="24"/>
                <w:szCs w:val="24"/>
                <w:lang w:eastAsia="fr-FR"/>
              </w:rPr>
            </w:pPr>
            <w:r>
              <w:rPr>
                <w:rFonts w:ascii="Times New Roman" w:eastAsia="Times New Roman" w:hAnsi="Times New Roman" w:cs="Times New Roman"/>
                <w:color w:val="FF0000"/>
                <w:sz w:val="24"/>
                <w:szCs w:val="24"/>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8. Assurer la sécurité de la chaîne d’approvisionnement en produits pétroliers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Constitution d’une réserve de sécurité  en produits pétroliers et gaziers (millions de litres)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 l’Eau Potable et Assainissement de Base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9. Améliorer l’accès aux services d’eau potable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Taux de couverture en eau potable (%) :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22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rsidP="006D478A">
            <w:pPr>
              <w:spacing w:after="0" w:line="240" w:lineRule="auto"/>
              <w:ind w:firstLineChars="1000" w:firstLine="2200"/>
              <w:rPr>
                <w:rFonts w:ascii="Calibri" w:eastAsia="Times New Roman" w:hAnsi="Calibri" w:cs="Times New Roman"/>
                <w:color w:val="000000"/>
                <w:lang w:eastAsia="fr-FR"/>
              </w:rPr>
            </w:pPr>
            <w:r>
              <w:rPr>
                <w:rFonts w:ascii="Calibri" w:eastAsia="Times New Roman" w:hAnsi="Calibri" w:cs="Times New Roman"/>
                <w:color w:val="000000"/>
                <w:lang w:eastAsia="fr-FR"/>
              </w:rPr>
              <w:t>Milieu urbain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ind w:firstLineChars="1000" w:firstLine="2200"/>
              <w:rPr>
                <w:rFonts w:ascii="Calibri" w:eastAsia="Times New Roman" w:hAnsi="Calibri" w:cs="Times New Roman"/>
                <w:color w:val="000000"/>
                <w:lang w:eastAsia="fr-FR"/>
              </w:rPr>
            </w:pPr>
            <w:r>
              <w:rPr>
                <w:rFonts w:ascii="Calibri" w:eastAsia="Times New Roman" w:hAnsi="Calibri" w:cs="Times New Roman"/>
                <w:color w:val="000000"/>
                <w:lang w:eastAsia="fr-FR"/>
              </w:rPr>
              <w:t>-</w:t>
            </w:r>
            <w:r>
              <w:rPr>
                <w:rFonts w:ascii="Times New Roman" w:eastAsia="Times New Roman" w:hAnsi="Times New Roman" w:cs="Times New Roman"/>
                <w:color w:val="000000"/>
                <w:sz w:val="14"/>
                <w:szCs w:val="14"/>
                <w:lang w:eastAsia="fr-FR"/>
              </w:rPr>
              <w:t xml:space="preserve">          </w:t>
            </w:r>
            <w:r>
              <w:rPr>
                <w:rFonts w:ascii="Calibri" w:eastAsia="Times New Roman" w:hAnsi="Calibri" w:cs="Times New Roman"/>
                <w:color w:val="000000"/>
                <w:lang w:eastAsia="fr-FR"/>
              </w:rPr>
              <w:t> </w:t>
            </w:r>
          </w:p>
        </w:tc>
      </w:tr>
      <w:tr w:rsidR="00EA6409" w:rsidTr="00EA6409">
        <w:trPr>
          <w:trHeight w:val="22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rsidP="006D478A">
            <w:pPr>
              <w:spacing w:after="0" w:line="240" w:lineRule="auto"/>
              <w:ind w:firstLineChars="1000" w:firstLine="2200"/>
              <w:rPr>
                <w:rFonts w:ascii="Calibri" w:eastAsia="Times New Roman" w:hAnsi="Calibri" w:cs="Times New Roman"/>
                <w:color w:val="000000"/>
                <w:lang w:eastAsia="fr-FR"/>
              </w:rPr>
            </w:pPr>
            <w:r>
              <w:rPr>
                <w:rFonts w:ascii="Calibri" w:eastAsia="Times New Roman" w:hAnsi="Calibri" w:cs="Times New Roman"/>
                <w:color w:val="000000"/>
                <w:lang w:eastAsia="fr-FR"/>
              </w:rPr>
              <w:t>Milieu rural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ind w:firstLineChars="1000" w:firstLine="2200"/>
              <w:rPr>
                <w:rFonts w:ascii="Calibri" w:eastAsia="Times New Roman" w:hAnsi="Calibri" w:cs="Times New Roman"/>
                <w:color w:val="000000"/>
                <w:lang w:eastAsia="fr-FR"/>
              </w:rPr>
            </w:pPr>
            <w:r>
              <w:rPr>
                <w:rFonts w:ascii="Calibri" w:eastAsia="Times New Roman" w:hAnsi="Calibri" w:cs="Times New Roman"/>
                <w:color w:val="000000"/>
                <w:lang w:eastAsia="fr-FR"/>
              </w:rPr>
              <w:t>-</w:t>
            </w:r>
            <w:r>
              <w:rPr>
                <w:rFonts w:ascii="Times New Roman" w:eastAsia="Times New Roman" w:hAnsi="Times New Roman" w:cs="Times New Roman"/>
                <w:color w:val="000000"/>
                <w:sz w:val="14"/>
                <w:szCs w:val="14"/>
                <w:lang w:eastAsia="fr-FR"/>
              </w:rPr>
              <w:t xml:space="preserve">          </w:t>
            </w:r>
            <w:r>
              <w:rPr>
                <w:rFonts w:ascii="Calibri" w:eastAsia="Times New Roman" w:hAnsi="Calibri" w:cs="Times New Roman"/>
                <w:color w:val="00000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Nombre de nouveaux ménages alimentés en eau potable en branchement privé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10. Améliorer l’accès aux services d’assainissement de base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la population ayant un accès durable à un système d’évacuation des eaux usées améliorée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ménages disposant d’un lieu d’aisance convenable (WC avec chasseau d’eau et wc extérieur privé)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la population ayant un accès durable à une source d’eau améliorée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ménages ayant un accès durable à un système d’évacuation des eaux usées meilleur (puisard, rigole, collecteur principal, puits perdu)</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ménages disposant d’un lieu d’aisance convenable (WC avec chasseau ‘eau et wc extérieur privé)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la population ayant accès à un assainissement adéquat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d'infrastructures d’eau et d'assainissement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11. Améliorer la gestion des sous- secteurs en eau potable et assainissement de base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Loi portant sur la réorganisation du secteur de l’eau potable et assainissement de base révisé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Secteur du transport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12. Assurer la mobilité des personnes et la fluidité des biens et  marchandises au niveau national et sous régional  par voie routière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Linéaire des routes nationales bitumées (Km)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Routes bitumées entretenues (Km)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Linéaire des routes en terre entretenues (Km)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Linéaire des routes réhabilitées (Km)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du réseau routier praticable en toute saison (bitumé + classé)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13. Développer le transport  lacustre  et  les autres voies navigables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Flux de marchandises en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Flux de passagers en milliers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14. Améliorer le transport  aérien</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Flux de marchandises en tonnes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Flux de passagers en milliers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15. Désenclaver  le pays par la voie ferrée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16. Améliorer la gouvernance du secteur de transport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des Bâtiments et Travaux Publics</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17. Recaser les services publics et les ayants droits dans des immeubles  de l’Etat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des Technologies de l’Information et de la Communication, Postes et Média</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18. Promouvoir les Technologies de l’Information et de la Communication, la poste et les Médias au service du Développement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d’abonnés à la téléphonie mobile (milliers)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radios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télévisions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jouranaux</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la population ayant accès au téléphone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la population ayant accès à l'internet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7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19. Améliorer la disponibilité et la diversification des services média à travers tout le pays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3. Développement des secteurs Minier, Industriel et Artisanal</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Minier</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20. Promouvoir le secteur minier, carrier et pétrolier pour optimiser sa contribution à la croissance et au développement socio-économique du  pays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minière: Nickel (T)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minière: Or (kg)</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minière: Etain (T)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minière: Coltan (kg)</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wolfram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21. Intégrer les questions environnementales dans le secteur minier</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industriel</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27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22. Développer une industrie dynamique, diversifiée et compétitive au niveau régional et international</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Indice de production industrielle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Production industrielle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23. Valoriser et protéger les inventions, innovations et créations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artisanal</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i/>
                <w:iCs/>
                <w:color w:val="000000"/>
                <w:sz w:val="20"/>
                <w:szCs w:val="20"/>
                <w:lang w:eastAsia="fr-FR"/>
              </w:rPr>
            </w:pPr>
            <w:r>
              <w:rPr>
                <w:rFonts w:ascii="Times New Roman" w:eastAsia="Times New Roman" w:hAnsi="Times New Roman" w:cs="Times New Roman"/>
                <w:i/>
                <w:i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24. Améliorer et valoriser la contribution du secteur artisanal à la croissance économique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La part de l'artisanat dans le PIB</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centres de formation artisanale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associations artisanales reconnues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des ménages vivant principalement de l'artisanat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foires et expositions de produits de l'artisanat chaque année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du commerce et climat des affaires</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25. Redynamiser le secteur du commerce.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204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26. Appuyer le secteur privé et public pour la promotion des exportations, la rationalisation des importations et la protection des consommateurs.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Secteur de la Promotion des Investissements, Culture et Tourisme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i/>
                <w:iCs/>
                <w:color w:val="000000"/>
                <w:sz w:val="20"/>
                <w:szCs w:val="20"/>
                <w:lang w:eastAsia="fr-FR"/>
              </w:rPr>
            </w:pPr>
            <w:r>
              <w:rPr>
                <w:rFonts w:ascii="Times New Roman" w:eastAsia="Times New Roman" w:hAnsi="Times New Roman" w:cs="Times New Roman"/>
                <w:i/>
                <w:i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Investissement</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i/>
                <w:iCs/>
                <w:color w:val="000000"/>
                <w:sz w:val="20"/>
                <w:szCs w:val="20"/>
                <w:lang w:eastAsia="fr-FR"/>
              </w:rPr>
            </w:pPr>
            <w:r>
              <w:rPr>
                <w:rFonts w:ascii="Times New Roman" w:eastAsia="Times New Roman" w:hAnsi="Times New Roman" w:cs="Times New Roman"/>
                <w:i/>
                <w:i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27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27. Renforcer les mécanismes d’attractivité des investisseurs  et  du PPP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Nombre des industries créées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Nombre de jours pour créer une </w:t>
            </w:r>
            <w:r>
              <w:rPr>
                <w:rFonts w:ascii="Calibri" w:eastAsia="Times New Roman" w:hAnsi="Calibri" w:cs="Times New Roman"/>
                <w:color w:val="000000"/>
                <w:lang w:eastAsia="fr-FR"/>
              </w:rPr>
              <w:lastRenderedPageBreak/>
              <w:t>entreprise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lastRenderedPageBreak/>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Coût de création d’entreprise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Culture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28.</w:t>
            </w:r>
            <w:r>
              <w:rPr>
                <w:rFonts w:ascii="Times New Roman" w:eastAsia="Times New Roman" w:hAnsi="Times New Roman" w:cs="Times New Roman"/>
                <w:color w:val="000000"/>
                <w:sz w:val="14"/>
                <w:szCs w:val="14"/>
                <w:lang w:eastAsia="fr-FR"/>
              </w:rPr>
              <w:t xml:space="preserve">    </w:t>
            </w:r>
            <w:r>
              <w:rPr>
                <w:rFonts w:ascii="Times New Roman" w:eastAsia="Times New Roman" w:hAnsi="Times New Roman" w:cs="Times New Roman"/>
                <w:color w:val="000000"/>
                <w:sz w:val="20"/>
                <w:szCs w:val="20"/>
                <w:lang w:eastAsia="fr-FR"/>
              </w:rPr>
              <w:t>Promouvoir et protéger le patrimoine culturel et naturel</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Tourisme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29. Dynamiser l’Ecotourisme à partir de l’amélioration de l’offre et la stimulation de la demande des produits touristiques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sites touristiques aménagés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Effectifs des arrivées des touristes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Contribution du tourisme au PIB</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ORIENTATIONS STRATEGIQUES</w:t>
            </w:r>
          </w:p>
        </w:tc>
        <w:tc>
          <w:tcPr>
            <w:tcW w:w="2977" w:type="dxa"/>
            <w:tcBorders>
              <w:top w:val="nil"/>
              <w:left w:val="nil"/>
              <w:bottom w:val="single" w:sz="4" w:space="0" w:color="auto"/>
              <w:right w:val="single" w:sz="4" w:space="0" w:color="auto"/>
            </w:tcBorders>
            <w:shd w:val="clear" w:color="auto" w:fill="DDD9C3"/>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AXES D’INTERVENTION</w:t>
            </w:r>
          </w:p>
        </w:tc>
        <w:tc>
          <w:tcPr>
            <w:tcW w:w="2977" w:type="dxa"/>
            <w:tcBorders>
              <w:top w:val="nil"/>
              <w:left w:val="nil"/>
              <w:bottom w:val="single" w:sz="4" w:space="0" w:color="auto"/>
              <w:right w:val="single" w:sz="4" w:space="0" w:color="auto"/>
            </w:tcBorders>
            <w:shd w:val="clear" w:color="auto" w:fill="FBD4B4"/>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OBJECTIFS STRATEGIQUES</w:t>
            </w:r>
          </w:p>
        </w:tc>
        <w:tc>
          <w:tcPr>
            <w:tcW w:w="3780"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2. Développer le capital humain</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Axe 4. Amélioration des performances et de la collaboration dans le domaine de la Santé</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30.</w:t>
            </w:r>
            <w:r>
              <w:rPr>
                <w:rFonts w:ascii="Times New Roman" w:eastAsia="Times New Roman" w:hAnsi="Times New Roman" w:cs="Times New Roman"/>
                <w:color w:val="000000"/>
                <w:sz w:val="14"/>
                <w:szCs w:val="14"/>
                <w:lang w:eastAsia="fr-FR"/>
              </w:rPr>
              <w:t xml:space="preserve">    </w:t>
            </w:r>
            <w:r>
              <w:rPr>
                <w:rFonts w:ascii="Times New Roman" w:eastAsia="Times New Roman" w:hAnsi="Times New Roman" w:cs="Times New Roman"/>
                <w:color w:val="000000"/>
                <w:sz w:val="20"/>
                <w:szCs w:val="20"/>
                <w:lang w:eastAsia="fr-FR"/>
              </w:rPr>
              <w:t>Améliorer l’Accès aux soins et le niveau de santé de la population à travers un système de santé performant, fort et résilient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sanitaire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Prévalence de l’insuffisance pondérale chez les moins 5ans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d’enfants complètement vaccinés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prévalence contraceptive pour les femmes en union (en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d’accouchement assisté par un personnel qualifié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Population moyenne par médecin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Population moyenne par infirmier</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Population moyenne couverte par hôpital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Population moyenne par centre de santé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prévalence du paludisme &lt; 5ans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d’utilisation des MII &lt; 5ans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prévalence VIH/SIDA (15 – 49 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Couverture des services PTME – Prévention Transmission Materno-Enfantine du VIH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en ARV</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CMAM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dépistage de VIH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malnutrition chronique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d'enfants de moins de 5ans en sous poids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mortalité néonatale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notification de toutes les formes de tuberculose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lastRenderedPageBreak/>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notification des cas contagieux(TPM+)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coînfection TB-VIH</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moyen d'enfants par femme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5. Renforcement du système éducatif et amélioration de l'offre de formation</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31. Développer un système éducatif performant, conforme aux besoins nationaux et aux normes internationales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xml:space="preserve">Enseignement fondamental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Part du budget de l'enseignement fondamental  dans le budget de l’éducation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élèves de l'enseignement fondemental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net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filles/garcons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élève/salle de classe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 /maître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Ratio élèves/banc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redoublement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d’achèvement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d’accès en dernière année du cycle par rapport aux enfants de 15 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Enseignement post fondamental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Part du budget de l'enseignement post fondamental  dans le budget de l’éducation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transition du fondemental au post fondemental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243F60"/>
                <w:sz w:val="20"/>
                <w:szCs w:val="20"/>
                <w:lang w:eastAsia="fr-FR"/>
              </w:rPr>
            </w:pPr>
            <w:r>
              <w:rPr>
                <w:rFonts w:ascii="Times New Roman" w:eastAsia="Times New Roman" w:hAnsi="Times New Roman" w:cs="Times New Roman"/>
                <w:color w:val="243F6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net de scolarisation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survie dans le fondemental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redoublement dans le fondemental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Enseignement général communal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Enseignement général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Enseignement général communal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Enseignement général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Parité moyenne du genre à l’entrée du cycle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Parité moyenne du genre en fin de cycle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Elèves/classe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Enseignement professionnel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d’apprenants ( CFP)</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transition du fondemental au CFP</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Taux de redoublement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d'achevement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filles/garcons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élève/salle de classe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 /maître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élèves/banc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Enseignement des métiers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lastRenderedPageBreak/>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d’apprenants ( CEM)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transition du fondemental au CEM</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scolarisation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Taux de redoublement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d'achevement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filles/garcons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élève/salle de classe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élèves /maître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Ratio élèves/banc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Enseignement supérieur</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pour le public</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de parité pour le privé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d’étudiant pour 1000 habitants.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Répartition des étudiants par filière et par   sexe.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d’inscrits et proportion de redoublant par filière, par année d’étude et par sexe dans les universités publiques et privés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d’inscrits, d’admis et proportion de redoublants par établissement, par diplôme préparé, par année d’étude et par sexe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étudiants-enseignants  dans les universités et par sexe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Effectif des étudiants par année d’étude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lastRenderedPageBreak/>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Effectif des étudiants boursiers par année d’étude et par sexe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Effectif des étudiants à l’étranger bénéficiant d’un appui financier de la par de l’état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et capacité d’accueil des salles de formation par nature et selon le type d’établissement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bibliothèques, salles internet bureaux administratifs et salles de professeurs selon le type de l’établissement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d’ouvrages  dans les bibliothèques des universités.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204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6. Développement du secteur de la protection sociale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32. Améliorer les conditions de vie socio-économique des personnes vulnérables et des sinistrés dans le cadre de la résilience communautaire renforcée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en pension%)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ménages affiliés à la mutualité recevant des revenus générés par la synergie entre les programmes de croissance et les unités mutuelles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de la population en assurance maladie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d’associations mutualistes engagés dans la promotion des programmes de développement communautaire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charge administrative des systèmes de protection sociale fonctionnelle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charges techniques des systèmes de protection sociale fonctionnelle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la population bénéficiant d'une assurance maladie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ménages affiliés à la mutualité recevant des revenus générés par la synergie entre les programmes de croissance et les unités mutuelles(%)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personnes rapatriées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personnes assistées (par an)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d’handicapés assistés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Axe 7. Emploi décent et jeunesse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33. Placer l’emploi au cœur des politiques macroéconomiques et sectorielles pour influer sur la demande de l’emploi.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chômage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chômage des jeunes (15-24 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Durée du chômage (en années)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sous-emploi visible (lié au temps de travail)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Le taux de participation à la main d’œuvre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L’emploi dans l’économie informelle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Le taux d’emploi</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un Observatoire local de l'emploi (OLEF) est fonctionnel par province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0"/>
                <w:szCs w:val="20"/>
                <w:lang w:eastAsia="fr-FR"/>
              </w:rPr>
            </w:pPr>
            <w:r>
              <w:rPr>
                <w:rFonts w:ascii="Calibri" w:eastAsia="Times New Roman" w:hAnsi="Calibri" w:cs="Times New Roman"/>
                <w:color w:val="000000"/>
                <w:sz w:val="20"/>
                <w:szCs w:val="2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jeunes formés en par le système de l'EFTP</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le site WEB de l'OBEM est Créé et alimenté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une politique de crédit favorable aux jeunes créateurs d'emploi est  adoptée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le code du travail , le code des investissements, et le code des impôts sont mis à jour</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un fonds national pour les jeunes créateurs d’emploi est institué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des entreprises formelles offrant des formations à leur personnel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lastRenderedPageBreak/>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modules et programmes de perfectionnement et reconversion professionnelle développés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34. Promouvoir le sport professionnel et de compétition</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35. Placer l’emploi au cœur des politiques macroéconomique et  sectorielle pour influer sur la demande de l’emploi</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jeunes formés en entreprenariat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jeunes formés en métier</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jeunes insérés en emploi salarié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jeunes bénéficiant du stage de premier emploi</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centres pour jeunes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8. Dividende démographique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36. Renforcer le cadre juridico-organisationnel et institutionnel pour la maîtrise de la croissance démographique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croissance démographique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Espérance de vie à la naissance (ans)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mortalité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brut de natalité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Ratio mortalité maternelle (0/0000 NV)</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mortalité infantile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mortalité infanto juvénile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Indice synthétique de fécondité</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Solde migratoire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dépendance démographique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des personnes âgées de 65ans et plus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dépendance économique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 la population active (15ans-64ans)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personnes âgées de 65ans et plus retraités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ORIENTATIONS STRATEGIQUES</w:t>
            </w:r>
          </w:p>
        </w:tc>
        <w:tc>
          <w:tcPr>
            <w:tcW w:w="2977" w:type="dxa"/>
            <w:tcBorders>
              <w:top w:val="nil"/>
              <w:left w:val="nil"/>
              <w:bottom w:val="single" w:sz="4" w:space="0" w:color="auto"/>
              <w:right w:val="single" w:sz="4" w:space="0" w:color="auto"/>
            </w:tcBorders>
            <w:shd w:val="clear" w:color="auto" w:fill="DDD9C3"/>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AXES D’INTERVENTION</w:t>
            </w:r>
          </w:p>
        </w:tc>
        <w:tc>
          <w:tcPr>
            <w:tcW w:w="2977" w:type="dxa"/>
            <w:tcBorders>
              <w:top w:val="nil"/>
              <w:left w:val="nil"/>
              <w:bottom w:val="single" w:sz="4" w:space="0" w:color="auto"/>
              <w:right w:val="single" w:sz="4" w:space="0" w:color="auto"/>
            </w:tcBorders>
            <w:shd w:val="clear" w:color="auto" w:fill="FBD4B4"/>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OBJECTIFS STRATEGIQUES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r>
      <w:tr w:rsidR="00EA6409" w:rsidTr="00EA6409">
        <w:trPr>
          <w:trHeight w:val="1275"/>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3. Assurer la gestion durable de l'environnement, atténuer les changements climatiques et améliorer l’aménagement du territoire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9. Gestion durable de l'environnement</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37. Préserver et restaurer les écosystèmes terrestres, lutter contre la désertification</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de couverture forestière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ménages utilisant des combustibles solides (bois et dérivés)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78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10.  Ressources  en  eau et assainissement global</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38. Disposer de l’eau en quantité et en qualité suffisantes pour une utilisation  efficiente et équitable  et sans compromettre l’Environnement</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39. Promouvoir la lutte contre la pollution et l’assainissement du milieu</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11. Changements et gestion des risques climatiques</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40. Promouvoir  un développement résiliant aux effets néfastes du changement climatique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La superficie des aires protégées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La superficie des marais aménagés.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déchets biomédicaux traités d'ici 2020, et le maximum d’ici 2025</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Existence d'un guide de sensibilisation est disponible et au moins 1 activité de sensibilisation menée par commune d’ici 2025</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villes de plus de 25 000 habitants qui disposent d’un site de dépôt adéquat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12. Aménagement du territoire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41. Restructurer et réaménager positivement le territoire du point de vue économique, social et environnemental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d’urbanisation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schémas provinciaux d’aménagement du territoire (SPAT)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schémas directeurs d’aménagement et d’urbanisme (SDAU)</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Pourcentage des sites de traitement fonctionnels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avant 2018 et le maximum avant 2025</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 Pourcentage de centre de formations sanitaires  équipés de cheminée appropriée d'ici 2025</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Coût pour permis de construire (% du PIB / tête)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titres fonciers délivrés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Superficies des terres domaniales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42. Rationaliser  l’occupation du territoire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14737" w:type="dxa"/>
            <w:gridSpan w:val="6"/>
            <w:tcBorders>
              <w:top w:val="nil"/>
              <w:left w:val="single" w:sz="4" w:space="0" w:color="auto"/>
              <w:bottom w:val="single" w:sz="4" w:space="0" w:color="auto"/>
              <w:right w:val="single" w:sz="4" w:space="0" w:color="auto"/>
            </w:tcBorders>
            <w:shd w:val="clear" w:color="auto" w:fill="00B0F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ENJEU 2: UNE GOUVERNANCE AXEE SUR LA SOUVERAINETE NATIONALE</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v </w:t>
            </w:r>
          </w:p>
        </w:tc>
      </w:tr>
      <w:tr w:rsidR="00EA6409" w:rsidTr="00EA6409">
        <w:trPr>
          <w:trHeight w:val="765"/>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4. Renforcer la gouvernance, la sécurité et la  sauvegarde de la souveraineté nationale</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13. Gouvernance</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43. Améliorer la gestion des élections et des libertés publiques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Book Antiqua" w:eastAsia="Times New Roman" w:hAnsi="Book Antiqua" w:cs="Times New Roman"/>
                <w:color w:val="000000"/>
                <w:sz w:val="20"/>
                <w:szCs w:val="20"/>
                <w:lang w:eastAsia="fr-FR"/>
              </w:rPr>
            </w:pPr>
            <w:r>
              <w:rPr>
                <w:rFonts w:ascii="Book Antiqua" w:eastAsia="Times New Roman" w:hAnsi="Book Antiqua"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44. Consolider l’état de droit et les droits humains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Part allouée à la justice dans le budget de l’État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magistrats recrutés à la suite d’un concours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affaires jugées sur les affaires enrôlées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Dossiers répressifs clôturés par rapport aux dossiers ouverts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Durée moyenne de la procédure pénal entre ouverture enquête et jugement final (semaines)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d’arriérés judiciaires des juridictions supérieures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prévenus en détention par rapport au nombre total de détenus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d’occupation des prisons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Durée moyenne de traitement des dossiers des mineurs (semaines)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Budget quotidien alloué à chaque détenu (BIF)</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détenus pour 100000 habitants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magistrats pour 100000 habitants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mineurs dans les prisons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d’enfants, pour 100000 enfants, arrêtés pendant la période considéré de 12 mois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d’enfants détenus, pour 100000 enfants, pendant la période considéré de 12 mois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d’enfants en détention préventive, pour 100000 enfants, pendant la période considéré de12 mois ; privative de liberté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Taux de réformation en appel ou en cassation pendant le mois ;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dossier clôturés par magistrat du parquet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d’affaires pénales traités par magistrat du siège ou conseiller rapporteur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d’alternatives au poursuite(TGI )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d’évacuation du rôle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Délai moyen de traitement d’un dossier par une juridiction (délai d’exécution)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Taux d’occupation des prisons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La durée moyenne de traitement d’un dossier par le parquet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enfants détenus qui ne sont pas totalement séparés des adultes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d’enfants jugés et condamnés à une peine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magistrats recrutés à partir d’un concours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Pourcentages des affaires civiles jugées sur les affaires civiles enrôlées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 prévenus en détention par rapport au nombre total des détenus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d'arriérés judiciaires dans les différentes juridictions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personnes ayant été victimes des violences basées sur le genre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proportion des victimes ayant bénéficié de la prise en charge intégrée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Droits humains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comités provinciaux de droit de l’homme créés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rapports rédigés sur les conventions déjà ratifiés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conventions  ratifiées et adoptées dans la législation nationale sur les quinze principales conventions internationales et africains sur la gouvernance et les droits de l'homme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2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total de rapports soumis aux organes des traités sur l'état de la mise en œuvre des quinze principales  conventions internationales et africains  sur la gouvernance et les droits de l'homme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5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Nombre de rapports initiaux soumises aux organes des traités sur l'état de la mise en œuvre des quinze principales conventions internationales et africains sur la gouvernance et les droits de l'homme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cas d'abus d'enfants déclarés à la police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mineurs en détention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mineurs en détention bénéficiant d'un enseignement ou d'une formation professionnelle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Nombre de plaintes reçues concernant le droit de ne pas être soumis à la torture ou à des peines ou des traitements cruels, inhumains ou dégradants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Genre et autonomisation de la femme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siège occupé par des femmes au parlement national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femmes occupant des postes de prise de décisions (Ministre, Gouverneur de Province, Administrateur Communal)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Pourcentages des femmes dans les forces des défenses nationales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Pourcentage des femmes dans les corps des sécurités publiques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femmes ayant reçu des crédits pour le développement</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45. Améliorer la gouvernance locale pour un développement inclusif et durable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Montant des budgets alloués aux collectivités territoriales décentralisées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Montant du budget des collectivités territoriales décentralisées provenant du gouvernement central</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Montant du budget des collectivités territoriales décentralisées provenant des collectivités décentralisées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des collectivités locales disposant d'un plan de planification locale</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46. Consolider la bonne gouvernance et éradiquer la corruption et les malversations économiques et financières sous toutes leurs formes et à tous les niveaux</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des cas de corruption  déposés à la justice au cours des 12 derniers mois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cas de corruption investigués par la commission nationale anti corruption au cours des 12 derniers mois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xml:space="preserve">Nombre des cas de corruption présentés à la justice et qui ont été  jugés au cours des 12 derniers mois.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Budget annuel alloué à la commission nationale anti corruption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9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cas de corruption rapportés par les citoyens à un mecanisme de signalement/recours, au cours des 12 derniers mois.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Classement Transparency International : « Indice de perception de corruption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Nombre de cas de corruption constatés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de cas de corruption jugés par la Cour anticorruption</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Index Moi Ibrahim (score sur 100)</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Classement rapport « Doing Business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47. Moderniser l’administration publique à tous les niveaux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48. Améliorer le système de pilotage de l’économie et de l’information statistique dans tous les secteurs de la vie nationale</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31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24"/>
                <w:szCs w:val="24"/>
                <w:lang w:eastAsia="fr-FR"/>
              </w:rPr>
            </w:pPr>
            <w:r>
              <w:rPr>
                <w:rFonts w:ascii="Calibri" w:eastAsia="Times New Roman" w:hAnsi="Calibri" w:cs="Times New Roman"/>
                <w:color w:val="000000"/>
                <w:sz w:val="24"/>
                <w:szCs w:val="24"/>
                <w:lang w:eastAsia="fr-FR"/>
              </w:rPr>
              <w:t> </w:t>
            </w:r>
          </w:p>
        </w:tc>
      </w:tr>
      <w:tr w:rsidR="00EA6409" w:rsidTr="00EA6409">
        <w:trPr>
          <w:trHeight w:val="48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xml:space="preserve">Axe 14. Sécurité et défense nationale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49. Garantir la sécurité, l’intégrité du territoire et la souveraineté nationale</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 Nombre de textes légaux et règlementaires actualisées et mis en place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 Etat de mise en œuvre des politiques de formation dans les CDS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3. Services dotés d’équipements adaptés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4. Services dotés d’infrastructures adéquates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5. Nombre de membres des CDS formés en leadership</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6. Documents de planification mis en place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7. Etat de la disponibilité et de la régularité des productions statistiques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8.. Nombre de lieux stratégiques contrôlés et surveillés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9. Moyenne de la période de vacation aux activités par jour</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10. .% des membres des CDS ayant acquis le premier logement</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11. % des membres des CDS survivants 5 ans après la retraite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12.% d’intégration du genre dans les CDS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13. % des armes marquées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72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14. Rapport entre le nombre d’armes saisies ou remises volontairement  et le nombre des armes détenues illégalement estimées au Burundi</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15. Taux de criminalité annuelle pour 100 000hab.</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16. Nombre de  centres opérationnels équipés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17. Nombre de personnes formés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48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xml:space="preserve">18. % des services de la protection civile disposant des équipements adéquats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48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19. Nombre de textes légaux et règlementaires actualisées et mis en place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20. Nombre de  centres d’opération d’urgence équipés</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48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21. Etat de la disponibilité des données spéciales sur les milieux à haut risque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22. Degré de la résilience communautaire</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23. Disponibilité d’un fond</w:t>
            </w:r>
          </w:p>
        </w:tc>
        <w:tc>
          <w:tcPr>
            <w:tcW w:w="1374" w:type="dxa"/>
            <w:tcBorders>
              <w:top w:val="nil"/>
              <w:left w:val="nil"/>
              <w:bottom w:val="single" w:sz="4" w:space="0" w:color="auto"/>
              <w:right w:val="single" w:sz="4" w:space="0" w:color="auto"/>
            </w:tcBorders>
            <w:shd w:val="clear" w:color="auto" w:fill="FFFF00"/>
            <w:noWrap/>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sz w:val="18"/>
                <w:szCs w:val="18"/>
                <w:lang w:eastAsia="fr-FR"/>
              </w:rPr>
            </w:pPr>
            <w:r>
              <w:rPr>
                <w:rFonts w:ascii="Calibri" w:eastAsia="Times New Roman" w:hAnsi="Calibri" w:cs="Times New Roman"/>
                <w:color w:val="000000"/>
                <w:sz w:val="18"/>
                <w:szCs w:val="18"/>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50. Prévenir et gérer les catastrophes</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6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noWrap/>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13513" w:type="dxa"/>
            <w:gridSpan w:val="5"/>
            <w:tcBorders>
              <w:top w:val="nil"/>
              <w:left w:val="single" w:sz="4" w:space="0" w:color="auto"/>
              <w:bottom w:val="single" w:sz="4" w:space="0" w:color="auto"/>
              <w:right w:val="single" w:sz="4" w:space="0" w:color="auto"/>
            </w:tcBorders>
            <w:shd w:val="clear" w:color="auto" w:fill="00B0F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ENJEU 3 : DES MECANISMES EFFICACES ET EFFICIENTS DE MOBILISATION DE RESSOURCES, CAPITALISATION DE LA COOPERATION  ET RECHERCHE DU FINANCEMENT INNOVANT</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00B0F0"/>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r>
      <w:tr w:rsidR="00EA6409" w:rsidTr="00EA6409">
        <w:trPr>
          <w:trHeight w:val="51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ORIENTATIONS STRATEGIQUES</w:t>
            </w:r>
          </w:p>
        </w:tc>
        <w:tc>
          <w:tcPr>
            <w:tcW w:w="2977" w:type="dxa"/>
            <w:tcBorders>
              <w:top w:val="nil"/>
              <w:left w:val="nil"/>
              <w:bottom w:val="single" w:sz="4" w:space="0" w:color="auto"/>
              <w:right w:val="single" w:sz="4" w:space="0" w:color="auto"/>
            </w:tcBorders>
            <w:shd w:val="clear" w:color="auto" w:fill="DDD9C3"/>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AXES D’INTERVENTION</w:t>
            </w:r>
          </w:p>
        </w:tc>
        <w:tc>
          <w:tcPr>
            <w:tcW w:w="2977" w:type="dxa"/>
            <w:tcBorders>
              <w:top w:val="nil"/>
              <w:left w:val="nil"/>
              <w:bottom w:val="single" w:sz="4" w:space="0" w:color="auto"/>
              <w:right w:val="single" w:sz="4" w:space="0" w:color="auto"/>
            </w:tcBorders>
            <w:shd w:val="clear" w:color="auto" w:fill="FBD4B4"/>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OBJECTIFS STRATEGIQUES</w:t>
            </w:r>
          </w:p>
        </w:tc>
        <w:tc>
          <w:tcPr>
            <w:tcW w:w="3780"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DBE5F1"/>
            <w:vAlign w:val="center"/>
            <w:hideMark/>
          </w:tcPr>
          <w:p w:rsidR="00EA6409" w:rsidRDefault="00EA6409">
            <w:pPr>
              <w:spacing w:after="0" w:line="240" w:lineRule="auto"/>
              <w:jc w:val="both"/>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r>
      <w:tr w:rsidR="00EA6409" w:rsidTr="00EA6409">
        <w:trPr>
          <w:trHeight w:val="102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3. Mobiliser les ressources, améliorer la gestion des dépenses publiques et développer  la coopération internationale</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15. Mobilisation accrue  des ressources</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51. Renforcer les capacités de mobilisation des ressources</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du budget financé par les ressources internes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6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du budget financé par les ressources externes</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lastRenderedPageBreak/>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765"/>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52. Améliorer la gestion rationnelle des dépenses publiques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noWrap/>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C5D9F1"/>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153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Axe 16 Développement de la coopération régionale et internationale</w:t>
            </w:r>
          </w:p>
        </w:tc>
        <w:tc>
          <w:tcPr>
            <w:tcW w:w="2977" w:type="dxa"/>
            <w:tcBorders>
              <w:top w:val="nil"/>
              <w:left w:val="nil"/>
              <w:bottom w:val="single" w:sz="4" w:space="0" w:color="auto"/>
              <w:right w:val="single" w:sz="4" w:space="0" w:color="auto"/>
            </w:tcBorders>
            <w:shd w:val="clear" w:color="auto" w:fill="B8CCE4"/>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53. Consolider et développer la coopération et le partenariat sous-régional, régional et international</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r w:rsidR="00EA6409" w:rsidTr="00EA6409">
        <w:trPr>
          <w:trHeight w:val="300"/>
        </w:trPr>
        <w:tc>
          <w:tcPr>
            <w:tcW w:w="2405" w:type="dxa"/>
            <w:tcBorders>
              <w:top w:val="nil"/>
              <w:left w:val="single" w:sz="4" w:space="0" w:color="auto"/>
              <w:bottom w:val="single" w:sz="4" w:space="0" w:color="auto"/>
              <w:right w:val="single" w:sz="4" w:space="0" w:color="auto"/>
            </w:tcBorders>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92D050"/>
            <w:vAlign w:val="center"/>
            <w:hideMark/>
          </w:tcPr>
          <w:p w:rsidR="00EA6409" w:rsidRDefault="00EA6409">
            <w:pPr>
              <w:spacing w:after="0" w:line="240" w:lineRule="auto"/>
              <w:rPr>
                <w:rFonts w:ascii="Times New Roman" w:eastAsia="Times New Roman" w:hAnsi="Times New Roman" w:cs="Times New Roman"/>
                <w:b/>
                <w:bCs/>
                <w:color w:val="000000"/>
                <w:sz w:val="20"/>
                <w:szCs w:val="20"/>
                <w:lang w:eastAsia="fr-FR"/>
              </w:rPr>
            </w:pPr>
            <w:r>
              <w:rPr>
                <w:rFonts w:ascii="Times New Roman" w:eastAsia="Times New Roman" w:hAnsi="Times New Roman" w:cs="Times New Roman"/>
                <w:b/>
                <w:bCs/>
                <w:color w:val="000000"/>
                <w:sz w:val="20"/>
                <w:szCs w:val="20"/>
                <w:lang w:eastAsia="fr-FR"/>
              </w:rPr>
              <w:t> </w:t>
            </w:r>
          </w:p>
        </w:tc>
        <w:tc>
          <w:tcPr>
            <w:tcW w:w="2977" w:type="dxa"/>
            <w:tcBorders>
              <w:top w:val="nil"/>
              <w:left w:val="nil"/>
              <w:bottom w:val="single" w:sz="4" w:space="0" w:color="auto"/>
              <w:right w:val="single" w:sz="4" w:space="0" w:color="auto"/>
            </w:tcBorders>
            <w:shd w:val="clear" w:color="auto" w:fill="B8CCE4"/>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3780"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374" w:type="dxa"/>
            <w:tcBorders>
              <w:top w:val="nil"/>
              <w:left w:val="nil"/>
              <w:bottom w:val="single" w:sz="4" w:space="0" w:color="auto"/>
              <w:right w:val="single" w:sz="4" w:space="0" w:color="auto"/>
            </w:tcBorders>
            <w:shd w:val="clear" w:color="auto" w:fill="FFFF00"/>
            <w:vAlign w:val="center"/>
            <w:hideMark/>
          </w:tcPr>
          <w:p w:rsidR="00EA6409" w:rsidRDefault="00EA6409">
            <w:pPr>
              <w:spacing w:after="0"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c>
          <w:tcPr>
            <w:tcW w:w="1224" w:type="dxa"/>
            <w:tcBorders>
              <w:top w:val="nil"/>
              <w:left w:val="nil"/>
              <w:bottom w:val="single" w:sz="4" w:space="0" w:color="auto"/>
              <w:right w:val="single" w:sz="4" w:space="0" w:color="auto"/>
            </w:tcBorders>
            <w:shd w:val="clear" w:color="auto" w:fill="FFC000"/>
            <w:vAlign w:val="center"/>
            <w:hideMark/>
          </w:tcPr>
          <w:p w:rsidR="00EA6409" w:rsidRDefault="00EA6409">
            <w:pPr>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w:t>
            </w:r>
          </w:p>
        </w:tc>
      </w:tr>
    </w:tbl>
    <w:p w:rsidR="00EA6409" w:rsidRDefault="00EA6409" w:rsidP="00E92676">
      <w:pPr>
        <w:autoSpaceDE w:val="0"/>
        <w:autoSpaceDN w:val="0"/>
        <w:adjustRightInd w:val="0"/>
        <w:spacing w:before="160" w:after="120" w:line="240" w:lineRule="auto"/>
        <w:jc w:val="both"/>
        <w:outlineLvl w:val="0"/>
        <w:rPr>
          <w:rFonts w:ascii="Bookman Old Style" w:hAnsi="Bookman Old Style" w:cs="Times New Roman"/>
          <w:b/>
          <w:bCs/>
          <w:sz w:val="24"/>
          <w:szCs w:val="24"/>
        </w:rPr>
      </w:pPr>
    </w:p>
    <w:p w:rsidR="00EA6409" w:rsidRDefault="00EA6409" w:rsidP="00E92676">
      <w:pPr>
        <w:spacing w:line="240" w:lineRule="auto"/>
        <w:jc w:val="both"/>
        <w:rPr>
          <w:rFonts w:ascii="Bookman Old Style" w:hAnsi="Bookman Old Style" w:cs="Times New Roman"/>
          <w:bCs/>
          <w:sz w:val="24"/>
          <w:szCs w:val="24"/>
        </w:rPr>
      </w:pPr>
    </w:p>
    <w:p w:rsidR="00DE3A23" w:rsidRPr="00CA196C" w:rsidRDefault="00DE57DC" w:rsidP="00E92676">
      <w:pPr>
        <w:spacing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r w:rsidR="00DE3A23" w:rsidRPr="00CA196C">
        <w:rPr>
          <w:rFonts w:ascii="Bookman Old Style" w:hAnsi="Bookman Old Style" w:cs="Times New Roman"/>
          <w:bCs/>
          <w:sz w:val="24"/>
          <w:szCs w:val="24"/>
        </w:rPr>
        <w:br w:type="page"/>
      </w:r>
    </w:p>
    <w:p w:rsidR="00DE3A23" w:rsidRPr="00CA196C" w:rsidRDefault="00DE3A23" w:rsidP="00E92676">
      <w:pPr>
        <w:autoSpaceDE w:val="0"/>
        <w:autoSpaceDN w:val="0"/>
        <w:adjustRightInd w:val="0"/>
        <w:spacing w:before="160" w:after="120" w:line="240" w:lineRule="auto"/>
        <w:jc w:val="both"/>
        <w:outlineLvl w:val="0"/>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ind w:left="1560" w:hanging="1560"/>
        <w:jc w:val="both"/>
        <w:outlineLvl w:val="0"/>
        <w:rPr>
          <w:rFonts w:ascii="Bookman Old Style" w:hAnsi="Bookman Old Style" w:cs="Times New Roman"/>
          <w:b/>
          <w:sz w:val="24"/>
          <w:szCs w:val="24"/>
        </w:rPr>
      </w:pPr>
      <w:r w:rsidRPr="00CA196C">
        <w:rPr>
          <w:rFonts w:ascii="Bookman Old Style" w:hAnsi="Bookman Old Style" w:cs="Times New Roman"/>
          <w:b/>
          <w:bCs/>
          <w:sz w:val="24"/>
          <w:szCs w:val="24"/>
        </w:rPr>
        <w:t xml:space="preserve"> </w:t>
      </w:r>
      <w:bookmarkStart w:id="361" w:name="_Toc511080973"/>
      <w:bookmarkStart w:id="362" w:name="_Toc511081649"/>
      <w:r w:rsidRPr="00CA196C">
        <w:rPr>
          <w:rFonts w:ascii="Bookman Old Style" w:hAnsi="Bookman Old Style" w:cs="Times New Roman"/>
          <w:b/>
          <w:bCs/>
          <w:sz w:val="24"/>
          <w:szCs w:val="24"/>
        </w:rPr>
        <w:t>ANNEXE 3 : COÛTS DÉTAILLÉS DU PND BURUNDI 2018-2027 PAR AXE ET PAR SECTEUR</w:t>
      </w:r>
      <w:bookmarkEnd w:id="361"/>
      <w:bookmarkEnd w:id="362"/>
      <w:r w:rsidRPr="00CA196C">
        <w:rPr>
          <w:rFonts w:ascii="Bookman Old Style" w:hAnsi="Bookman Old Style" w:cs="Times New Roman"/>
          <w:b/>
          <w:bCs/>
          <w:sz w:val="24"/>
          <w:szCs w:val="24"/>
        </w:rPr>
        <w:t xml:space="preserve">  </w:t>
      </w: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t xml:space="preserve"> </w:t>
      </w:r>
    </w:p>
    <w:p w:rsidR="00DE3A23" w:rsidRPr="00CA196C" w:rsidRDefault="00DE3A23" w:rsidP="00E92676">
      <w:pPr>
        <w:spacing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br w:type="page"/>
      </w: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jc w:val="both"/>
        <w:outlineLvl w:val="0"/>
        <w:rPr>
          <w:rFonts w:ascii="Bookman Old Style" w:hAnsi="Bookman Old Style" w:cs="Times New Roman"/>
          <w:b/>
          <w:bCs/>
          <w:sz w:val="24"/>
          <w:szCs w:val="24"/>
        </w:rPr>
      </w:pPr>
      <w:bookmarkStart w:id="363" w:name="_Toc511080974"/>
      <w:bookmarkStart w:id="364" w:name="_Toc511081650"/>
      <w:r w:rsidRPr="00CA196C">
        <w:rPr>
          <w:rFonts w:ascii="Bookman Old Style" w:hAnsi="Bookman Old Style" w:cs="Times New Roman"/>
          <w:b/>
          <w:bCs/>
          <w:sz w:val="24"/>
          <w:szCs w:val="24"/>
        </w:rPr>
        <w:t>ANNEXE 4 : MATRICE DES INDICATEURS CLÉS DE SUIVI ET ÉVALUATION</w:t>
      </w:r>
      <w:bookmarkEnd w:id="363"/>
      <w:bookmarkEnd w:id="364"/>
      <w:r w:rsidRPr="00CA196C">
        <w:rPr>
          <w:rFonts w:ascii="Bookman Old Style" w:hAnsi="Bookman Old Style" w:cs="Times New Roman"/>
          <w:b/>
          <w:bCs/>
          <w:sz w:val="24"/>
          <w:szCs w:val="24"/>
        </w:rPr>
        <w:t xml:space="preserve"> </w:t>
      </w: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spacing w:line="240" w:lineRule="auto"/>
        <w:jc w:val="both"/>
        <w:rPr>
          <w:rFonts w:ascii="Bookman Old Style" w:hAnsi="Bookman Old Style" w:cs="Times New Roman"/>
          <w:bCs/>
          <w:sz w:val="24"/>
          <w:szCs w:val="24"/>
        </w:rPr>
      </w:pPr>
      <w:r w:rsidRPr="00CA196C">
        <w:rPr>
          <w:rFonts w:ascii="Bookman Old Style" w:hAnsi="Bookman Old Style" w:cs="Times New Roman"/>
          <w:bCs/>
          <w:sz w:val="24"/>
          <w:szCs w:val="24"/>
        </w:rPr>
        <w:br w:type="page"/>
      </w:r>
    </w:p>
    <w:p w:rsidR="00B353A1" w:rsidRPr="00CA196C" w:rsidRDefault="00DE3A23"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bookmarkStart w:id="365" w:name="_Toc511080975"/>
      <w:bookmarkStart w:id="366" w:name="_Toc511081651"/>
      <w:r w:rsidRPr="00CA196C">
        <w:rPr>
          <w:rFonts w:ascii="Bookman Old Style" w:hAnsi="Bookman Old Style" w:cs="Times New Roman"/>
          <w:b/>
          <w:bCs/>
          <w:sz w:val="24"/>
          <w:szCs w:val="24"/>
        </w:rPr>
        <w:lastRenderedPageBreak/>
        <w:t>ANNEXE 5: LISTE DES MEMBRES DU COMITE DE PILOTAGE</w:t>
      </w:r>
      <w:r w:rsidR="00B353A1" w:rsidRPr="00CA196C">
        <w:rPr>
          <w:rFonts w:ascii="Bookman Old Style" w:hAnsi="Bookman Old Style" w:cs="Times New Roman"/>
          <w:b/>
          <w:bCs/>
          <w:sz w:val="24"/>
          <w:szCs w:val="24"/>
        </w:rPr>
        <w:t xml:space="preserve"> CHARGE DE L’ELABORATION DU PND BURUNDI 2018-2027</w:t>
      </w:r>
      <w:bookmarkEnd w:id="365"/>
      <w:bookmarkEnd w:id="366"/>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p>
    <w:p w:rsidR="00B353A1" w:rsidRPr="00CA196C" w:rsidRDefault="00B353A1">
      <w:pPr>
        <w:rPr>
          <w:rFonts w:ascii="Bookman Old Style" w:hAnsi="Bookman Old Style" w:cs="Times New Roman"/>
          <w:b/>
          <w:bCs/>
          <w:sz w:val="24"/>
          <w:szCs w:val="24"/>
        </w:rPr>
      </w:pPr>
      <w:r w:rsidRPr="00CA196C">
        <w:rPr>
          <w:rFonts w:ascii="Bookman Old Style" w:hAnsi="Bookman Old Style" w:cs="Times New Roman"/>
          <w:b/>
          <w:bCs/>
          <w:sz w:val="24"/>
          <w:szCs w:val="24"/>
        </w:rPr>
        <w:br w:type="page"/>
      </w:r>
    </w:p>
    <w:p w:rsidR="00DE3A23" w:rsidRPr="00CA196C" w:rsidRDefault="00DE3A23" w:rsidP="00E92676">
      <w:pPr>
        <w:autoSpaceDE w:val="0"/>
        <w:autoSpaceDN w:val="0"/>
        <w:adjustRightInd w:val="0"/>
        <w:spacing w:before="160" w:after="120" w:line="240" w:lineRule="auto"/>
        <w:ind w:left="1560" w:hanging="1560"/>
        <w:jc w:val="both"/>
        <w:outlineLvl w:val="0"/>
        <w:rPr>
          <w:rFonts w:ascii="Bookman Old Style" w:hAnsi="Bookman Old Style" w:cs="Times New Roman"/>
          <w:b/>
          <w:bCs/>
          <w:sz w:val="24"/>
          <w:szCs w:val="24"/>
        </w:rPr>
      </w:pPr>
      <w:r w:rsidRPr="00CA196C">
        <w:rPr>
          <w:rFonts w:ascii="Bookman Old Style" w:hAnsi="Bookman Old Style" w:cs="Times New Roman"/>
          <w:b/>
          <w:bCs/>
          <w:sz w:val="24"/>
          <w:szCs w:val="24"/>
        </w:rPr>
        <w:lastRenderedPageBreak/>
        <w:t xml:space="preserve"> </w:t>
      </w:r>
      <w:bookmarkStart w:id="367" w:name="_Toc511080976"/>
      <w:bookmarkStart w:id="368" w:name="_Toc511081652"/>
      <w:r w:rsidR="00B353A1" w:rsidRPr="00CA196C">
        <w:rPr>
          <w:rFonts w:ascii="Bookman Old Style" w:hAnsi="Bookman Old Style" w:cs="Times New Roman"/>
          <w:b/>
          <w:bCs/>
          <w:sz w:val="24"/>
          <w:szCs w:val="24"/>
        </w:rPr>
        <w:t xml:space="preserve">ANNEXE 6: LISTE DES EXPERTS </w:t>
      </w:r>
      <w:r w:rsidRPr="00CA196C">
        <w:rPr>
          <w:rFonts w:ascii="Bookman Old Style" w:hAnsi="Bookman Old Style" w:cs="Times New Roman"/>
          <w:b/>
          <w:bCs/>
          <w:sz w:val="24"/>
          <w:szCs w:val="24"/>
        </w:rPr>
        <w:t>CHARGE</w:t>
      </w:r>
      <w:r w:rsidR="00B353A1" w:rsidRPr="00CA196C">
        <w:rPr>
          <w:rFonts w:ascii="Bookman Old Style" w:hAnsi="Bookman Old Style" w:cs="Times New Roman"/>
          <w:b/>
          <w:bCs/>
          <w:sz w:val="24"/>
          <w:szCs w:val="24"/>
        </w:rPr>
        <w:t>S</w:t>
      </w:r>
      <w:r w:rsidRPr="00CA196C">
        <w:rPr>
          <w:rFonts w:ascii="Bookman Old Style" w:hAnsi="Bookman Old Style" w:cs="Times New Roman"/>
          <w:b/>
          <w:bCs/>
          <w:sz w:val="24"/>
          <w:szCs w:val="24"/>
        </w:rPr>
        <w:t xml:space="preserve"> DE L’ELABORATION DU PND BURUNDI 2018-2027</w:t>
      </w:r>
      <w:bookmarkEnd w:id="367"/>
      <w:bookmarkEnd w:id="368"/>
    </w:p>
    <w:p w:rsidR="00DE3A23" w:rsidRPr="00CA196C" w:rsidRDefault="00DE3A23" w:rsidP="00E92676">
      <w:pPr>
        <w:autoSpaceDE w:val="0"/>
        <w:autoSpaceDN w:val="0"/>
        <w:adjustRightInd w:val="0"/>
        <w:spacing w:before="160" w:after="120" w:line="240" w:lineRule="auto"/>
        <w:jc w:val="both"/>
        <w:rPr>
          <w:rFonts w:ascii="Bookman Old Style" w:hAnsi="Bookman Old Style" w:cs="Times New Roman"/>
          <w:bCs/>
          <w:sz w:val="24"/>
          <w:szCs w:val="24"/>
        </w:rPr>
      </w:pPr>
    </w:p>
    <w:p w:rsidR="00DE3A23" w:rsidRPr="00CA196C" w:rsidRDefault="00DE3A23" w:rsidP="00E92676">
      <w:pPr>
        <w:spacing w:line="240" w:lineRule="auto"/>
        <w:jc w:val="both"/>
        <w:rPr>
          <w:rFonts w:ascii="Bookman Old Style" w:hAnsi="Bookman Old Style" w:cs="Times New Roman"/>
          <w:sz w:val="24"/>
          <w:szCs w:val="24"/>
        </w:rPr>
      </w:pPr>
    </w:p>
    <w:p w:rsidR="00DE3A23" w:rsidRPr="00CA196C" w:rsidRDefault="00DE3A23" w:rsidP="00E92676">
      <w:pPr>
        <w:spacing w:line="240" w:lineRule="auto"/>
        <w:jc w:val="both"/>
        <w:rPr>
          <w:rFonts w:ascii="Bookman Old Style" w:hAnsi="Bookman Old Style" w:cs="Times New Roman"/>
          <w:sz w:val="24"/>
          <w:szCs w:val="24"/>
        </w:rPr>
      </w:pPr>
    </w:p>
    <w:p w:rsidR="00DE3A23" w:rsidRPr="00CA196C" w:rsidRDefault="00DE3A23" w:rsidP="00E92676">
      <w:pPr>
        <w:spacing w:line="240" w:lineRule="auto"/>
        <w:jc w:val="both"/>
        <w:rPr>
          <w:rFonts w:ascii="Bookman Old Style" w:hAnsi="Bookman Old Style" w:cs="Times New Roman"/>
          <w:sz w:val="24"/>
          <w:szCs w:val="24"/>
        </w:rPr>
      </w:pPr>
    </w:p>
    <w:p w:rsidR="001B4115" w:rsidRPr="00CA196C" w:rsidRDefault="001B4115" w:rsidP="00E92676">
      <w:pPr>
        <w:spacing w:line="240" w:lineRule="auto"/>
        <w:rPr>
          <w:rFonts w:ascii="Bookman Old Style" w:hAnsi="Bookman Old Style" w:cs="Times New Roman"/>
        </w:rPr>
      </w:pPr>
    </w:p>
    <w:p w:rsidR="00D45FE8" w:rsidRPr="00CA196C" w:rsidRDefault="00D45FE8">
      <w:pPr>
        <w:spacing w:line="240" w:lineRule="auto"/>
        <w:rPr>
          <w:rFonts w:ascii="Bookman Old Style" w:hAnsi="Bookman Old Style" w:cs="Times New Roman"/>
        </w:rPr>
      </w:pPr>
    </w:p>
    <w:sectPr w:rsidR="00D45FE8" w:rsidRPr="00CA196C" w:rsidSect="000320D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5688" w:rsidRDefault="00B05688" w:rsidP="00DE3A23">
      <w:pPr>
        <w:spacing w:after="0" w:line="240" w:lineRule="auto"/>
      </w:pPr>
      <w:r>
        <w:separator/>
      </w:r>
    </w:p>
  </w:endnote>
  <w:endnote w:type="continuationSeparator" w:id="0">
    <w:p w:rsidR="00B05688" w:rsidRDefault="00B05688" w:rsidP="00DE3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MOOKJA+TimesNewRoman">
    <w:altName w:val="Times New Roman"/>
    <w:panose1 w:val="00000000000000000000"/>
    <w:charset w:val="00"/>
    <w:family w:val="roman"/>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Sabon-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PremrPro">
    <w:altName w:val="Times New Roman"/>
    <w:panose1 w:val="00000000000000000000"/>
    <w:charset w:val="A1"/>
    <w:family w:val="roman"/>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0112"/>
      <w:docPartObj>
        <w:docPartGallery w:val="Page Numbers (Bottom of Page)"/>
        <w:docPartUnique/>
      </w:docPartObj>
    </w:sdtPr>
    <w:sdtEndPr/>
    <w:sdtContent>
      <w:p w:rsidR="002861BB" w:rsidRDefault="00E93486">
        <w:pPr>
          <w:pStyle w:val="Pieddepage"/>
          <w:jc w:val="right"/>
        </w:pPr>
        <w:r>
          <w:fldChar w:fldCharType="begin"/>
        </w:r>
        <w:r w:rsidR="002861BB">
          <w:instrText xml:space="preserve"> PAGE   \* MERGEFORMAT </w:instrText>
        </w:r>
        <w:r>
          <w:fldChar w:fldCharType="separate"/>
        </w:r>
        <w:r w:rsidR="002861BB">
          <w:rPr>
            <w:noProof/>
          </w:rPr>
          <w:t>ii</w:t>
        </w:r>
        <w:r>
          <w:rPr>
            <w:noProof/>
          </w:rPr>
          <w:fldChar w:fldCharType="end"/>
        </w:r>
      </w:p>
    </w:sdtContent>
  </w:sdt>
  <w:p w:rsidR="002861BB" w:rsidRDefault="002861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BB" w:rsidRDefault="002861BB">
    <w:pPr>
      <w:pStyle w:val="Pieddepage"/>
    </w:pPr>
    <w:r w:rsidRPr="00852923">
      <w:rPr>
        <w:rFonts w:asciiTheme="majorHAnsi" w:hAnsiTheme="majorHAnsi"/>
        <w:b/>
        <w:bCs/>
        <w:color w:val="0070C0"/>
        <w:sz w:val="20"/>
        <w:szCs w:val="20"/>
      </w:rPr>
      <w:t>Cr</w:t>
    </w:r>
    <w:r>
      <w:rPr>
        <w:rFonts w:asciiTheme="majorHAnsi" w:hAnsiTheme="majorHAnsi"/>
        <w:b/>
        <w:bCs/>
        <w:color w:val="0070C0"/>
        <w:sz w:val="20"/>
        <w:szCs w:val="20"/>
      </w:rPr>
      <w:t xml:space="preserve">oissance Soutenue et Inclusive </w:t>
    </w:r>
    <w:r w:rsidRPr="00852923">
      <w:rPr>
        <w:rFonts w:asciiTheme="majorHAnsi" w:hAnsiTheme="majorHAnsi"/>
        <w:b/>
        <w:bCs/>
        <w:color w:val="0070C0"/>
        <w:sz w:val="20"/>
        <w:szCs w:val="20"/>
      </w:rPr>
      <w:t xml:space="preserve">pour  un Développement Durable au Burundi  </w:t>
    </w:r>
    <w:r>
      <w:rPr>
        <w:rFonts w:asciiTheme="majorHAnsi" w:hAnsiTheme="majorHAnsi" w:cstheme="majorHAnsi"/>
      </w:rPr>
      <w:ptab w:relativeTo="margin" w:alignment="right" w:leader="none"/>
    </w:r>
    <w:r>
      <w:rPr>
        <w:rFonts w:asciiTheme="majorHAnsi" w:hAnsiTheme="majorHAnsi" w:cstheme="majorHAnsi"/>
      </w:rPr>
      <w:t xml:space="preserve">Page </w:t>
    </w:r>
    <w:r w:rsidR="00E93486">
      <w:fldChar w:fldCharType="begin"/>
    </w:r>
    <w:r>
      <w:instrText xml:space="preserve"> PAGE   \* MERGEFORMAT </w:instrText>
    </w:r>
    <w:r w:rsidR="00E93486">
      <w:fldChar w:fldCharType="separate"/>
    </w:r>
    <w:r w:rsidR="00E72566" w:rsidRPr="00E72566">
      <w:rPr>
        <w:rFonts w:asciiTheme="majorHAnsi" w:hAnsiTheme="majorHAnsi" w:cstheme="majorHAnsi"/>
        <w:noProof/>
      </w:rPr>
      <w:t>1</w:t>
    </w:r>
    <w:r w:rsidR="00E93486">
      <w:rPr>
        <w:rFonts w:asciiTheme="majorHAnsi" w:hAnsiTheme="majorHAnsi" w:cstheme="majorHAnsi"/>
        <w:noProof/>
      </w:rPr>
      <w:fldChar w:fldCharType="end"/>
    </w:r>
    <w:r w:rsidR="00E72566">
      <w:rPr>
        <w:noProof/>
        <w:lang w:eastAsia="fr-FR"/>
      </w:rPr>
      <mc:AlternateContent>
        <mc:Choice Requires="wpg">
          <w:drawing>
            <wp:anchor distT="0" distB="0" distL="114300" distR="114300" simplePos="0" relativeHeight="251662336" behindDoc="0" locked="0" layoutInCell="0" allowOverlap="1">
              <wp:simplePos x="0" y="0"/>
              <wp:positionH relativeFrom="page">
                <wp:align>center</wp:align>
              </wp:positionH>
              <wp:positionV relativeFrom="page">
                <wp:align>bottom</wp:align>
              </wp:positionV>
              <wp:extent cx="7544435" cy="810260"/>
              <wp:effectExtent l="0" t="0" r="2540" b="0"/>
              <wp:wrapNone/>
              <wp:docPr id="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10260"/>
                        <a:chOff x="8" y="9"/>
                        <a:chExt cx="15823" cy="1439"/>
                      </a:xfrm>
                    </wpg:grpSpPr>
                    <wps:wsp>
                      <wps:cNvPr id="24" name="AutoShape 10"/>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25" name="Rectangle 11"/>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2057CB09" id="Group 9" o:spid="_x0000_s1026" style="position:absolute;margin-left:0;margin-top:0;width:594.05pt;height:63.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" o:allowincell="f">
              <v:shapetype id="_x0000_t32" coordsize="21600,21600" o:spt="32" o:oned="t" path="m,l21600,21600e" filled="f">
                <v:path arrowok="t" fillok="f" o:connecttype="none"/>
                <o:lock v:ext="edit" shapetype="t"/>
              </v:shapetype>
              <v:shape id="AutoShape 10"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" strokecolor="#31849b [2408]"/>
              <v:rect id="Rectangle 11"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w10:wrap anchorx="page" anchory="page"/>
            </v:group>
          </w:pict>
        </mc:Fallback>
      </mc:AlternateContent>
    </w:r>
    <w:r w:rsidR="00E72566">
      <w:rPr>
        <w:noProof/>
        <w:lang w:eastAsia="fr-FR"/>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page">
                <wp:align>bottom</wp:align>
              </wp:positionV>
              <wp:extent cx="90805" cy="795020"/>
              <wp:effectExtent l="0" t="0" r="4445" b="9525"/>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502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0CA4AF9" id="Rectangle 8" o:spid="_x0000_s1026" style="position:absolute;margin-left:0;margin-top:0;width:7.15pt;height:62.6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" fillcolor="#4bacc6 [3208]" strokecolor="#205867 [1608]">
              <w10:wrap anchorx="margin" anchory="page"/>
            </v:rect>
          </w:pict>
        </mc:Fallback>
      </mc:AlternateContent>
    </w:r>
    <w:r w:rsidR="00E72566">
      <w:rPr>
        <w:noProof/>
        <w:lang w:eastAsia="fr-FR"/>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bottom</wp:align>
              </wp:positionV>
              <wp:extent cx="90805" cy="793750"/>
              <wp:effectExtent l="0" t="0" r="4445" b="9525"/>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375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8772ACB" id="Rectangle 7" o:spid="_x0000_s1026" style="position:absolute;margin-left:0;margin-top:0;width:7.15pt;height:62.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" fillcolor="#4bacc6 [3208]" strokecolor="#205867 [1608]">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BB" w:rsidRPr="00852923" w:rsidRDefault="002861BB">
    <w:pPr>
      <w:pStyle w:val="Pieddepage"/>
      <w:pBdr>
        <w:top w:val="thinThickSmallGap" w:sz="24" w:space="1" w:color="622423" w:themeColor="accent2" w:themeShade="7F"/>
      </w:pBdr>
      <w:rPr>
        <w:rFonts w:asciiTheme="majorHAnsi" w:hAnsiTheme="majorHAnsi"/>
        <w:color w:val="0070C0"/>
        <w:sz w:val="20"/>
        <w:szCs w:val="20"/>
      </w:rPr>
    </w:pPr>
    <w:r w:rsidRPr="00852923">
      <w:rPr>
        <w:rFonts w:asciiTheme="majorHAnsi" w:hAnsiTheme="majorHAnsi"/>
        <w:b/>
        <w:bCs/>
        <w:color w:val="0070C0"/>
        <w:sz w:val="20"/>
        <w:szCs w:val="20"/>
      </w:rPr>
      <w:t>Cr</w:t>
    </w:r>
    <w:r>
      <w:rPr>
        <w:rFonts w:asciiTheme="majorHAnsi" w:hAnsiTheme="majorHAnsi"/>
        <w:b/>
        <w:bCs/>
        <w:color w:val="0070C0"/>
        <w:sz w:val="20"/>
        <w:szCs w:val="20"/>
      </w:rPr>
      <w:t>oissance Soutenue et Inclusive pour</w:t>
    </w:r>
    <w:r w:rsidRPr="00852923">
      <w:rPr>
        <w:rFonts w:asciiTheme="majorHAnsi" w:hAnsiTheme="majorHAnsi"/>
        <w:b/>
        <w:bCs/>
        <w:color w:val="0070C0"/>
        <w:sz w:val="20"/>
        <w:szCs w:val="20"/>
      </w:rPr>
      <w:t xml:space="preserve"> un Développement Durable au Burundi  </w:t>
    </w:r>
    <w:r w:rsidRPr="00852923">
      <w:rPr>
        <w:rFonts w:asciiTheme="majorHAnsi" w:hAnsiTheme="majorHAnsi"/>
        <w:color w:val="0070C0"/>
        <w:sz w:val="20"/>
        <w:szCs w:val="20"/>
      </w:rPr>
      <w:ptab w:relativeTo="margin" w:alignment="right" w:leader="none"/>
    </w:r>
    <w:r w:rsidRPr="00852923">
      <w:rPr>
        <w:rFonts w:asciiTheme="majorHAnsi" w:hAnsiTheme="majorHAnsi"/>
        <w:color w:val="0070C0"/>
        <w:sz w:val="20"/>
        <w:szCs w:val="20"/>
      </w:rPr>
      <w:t xml:space="preserve">Page </w:t>
    </w:r>
    <w:r w:rsidR="00E93486" w:rsidRPr="00852923">
      <w:rPr>
        <w:color w:val="0070C0"/>
        <w:sz w:val="20"/>
        <w:szCs w:val="20"/>
      </w:rPr>
      <w:fldChar w:fldCharType="begin"/>
    </w:r>
    <w:r w:rsidRPr="00852923">
      <w:rPr>
        <w:color w:val="0070C0"/>
        <w:sz w:val="20"/>
        <w:szCs w:val="20"/>
      </w:rPr>
      <w:instrText xml:space="preserve"> PAGE   \* MERGEFORMAT </w:instrText>
    </w:r>
    <w:r w:rsidR="00E93486" w:rsidRPr="00852923">
      <w:rPr>
        <w:color w:val="0070C0"/>
        <w:sz w:val="20"/>
        <w:szCs w:val="20"/>
      </w:rPr>
      <w:fldChar w:fldCharType="separate"/>
    </w:r>
    <w:r w:rsidR="00E72566" w:rsidRPr="00E72566">
      <w:rPr>
        <w:rFonts w:asciiTheme="majorHAnsi" w:hAnsiTheme="majorHAnsi"/>
        <w:noProof/>
        <w:color w:val="0070C0"/>
        <w:sz w:val="20"/>
        <w:szCs w:val="20"/>
      </w:rPr>
      <w:t>32</w:t>
    </w:r>
    <w:r w:rsidR="00E93486" w:rsidRPr="00852923">
      <w:rPr>
        <w:color w:val="0070C0"/>
        <w:sz w:val="20"/>
        <w:szCs w:val="20"/>
      </w:rPr>
      <w:fldChar w:fldCharType="end"/>
    </w:r>
  </w:p>
  <w:p w:rsidR="002861BB" w:rsidRDefault="002861B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BB" w:rsidRDefault="002861BB" w:rsidP="00DF4065">
    <w:pPr>
      <w:pStyle w:val="Pieddepage"/>
      <w:pBdr>
        <w:top w:val="thinThickSmallGap" w:sz="24" w:space="1" w:color="622423" w:themeColor="accent2" w:themeShade="7F"/>
      </w:pBdr>
      <w:jc w:val="center"/>
      <w:rPr>
        <w:rFonts w:asciiTheme="majorHAnsi" w:hAnsiTheme="majorHAnsi"/>
      </w:rPr>
    </w:pPr>
    <w:r w:rsidRPr="00DF4065">
      <w:rPr>
        <w:rFonts w:asciiTheme="majorHAnsi" w:hAnsiTheme="majorHAnsi"/>
        <w:shd w:val="clear" w:color="auto" w:fill="FFFFFF" w:themeFill="background1"/>
      </w:rPr>
      <w:t>Plan National de Développement 2018-2027 (PND Burundi 2018-2027)</w:t>
    </w:r>
    <w:r>
      <w:rPr>
        <w:rFonts w:asciiTheme="majorHAnsi" w:hAnsiTheme="majorHAnsi"/>
      </w:rPr>
      <w:ptab w:relativeTo="margin" w:alignment="right" w:leader="none"/>
    </w:r>
    <w:r>
      <w:rPr>
        <w:rFonts w:asciiTheme="majorHAnsi" w:hAnsiTheme="majorHAnsi"/>
      </w:rPr>
      <w:t xml:space="preserve">Page </w:t>
    </w:r>
    <w:r w:rsidR="00E93486">
      <w:fldChar w:fldCharType="begin"/>
    </w:r>
    <w:r>
      <w:instrText xml:space="preserve"> PAGE   \* MERGEFORMAT </w:instrText>
    </w:r>
    <w:r w:rsidR="00E93486">
      <w:fldChar w:fldCharType="separate"/>
    </w:r>
    <w:r w:rsidR="00E72566" w:rsidRPr="00E72566">
      <w:rPr>
        <w:rFonts w:asciiTheme="majorHAnsi" w:hAnsiTheme="majorHAnsi"/>
        <w:noProof/>
      </w:rPr>
      <w:t>31</w:t>
    </w:r>
    <w:r w:rsidR="00E93486">
      <w:rPr>
        <w:rFonts w:asciiTheme="majorHAnsi" w:hAnsiTheme="majorHAnsi"/>
        <w:noProof/>
      </w:rPr>
      <w:fldChar w:fldCharType="end"/>
    </w:r>
  </w:p>
  <w:p w:rsidR="002861BB" w:rsidRDefault="002861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5688" w:rsidRDefault="00B05688" w:rsidP="00DE3A23">
      <w:pPr>
        <w:spacing w:after="0" w:line="240" w:lineRule="auto"/>
      </w:pPr>
      <w:r>
        <w:separator/>
      </w:r>
    </w:p>
  </w:footnote>
  <w:footnote w:type="continuationSeparator" w:id="0">
    <w:p w:rsidR="00B05688" w:rsidRDefault="00B05688" w:rsidP="00DE3A23">
      <w:pPr>
        <w:spacing w:after="0" w:line="240" w:lineRule="auto"/>
      </w:pPr>
      <w:r>
        <w:continuationSeparator/>
      </w:r>
    </w:p>
  </w:footnote>
  <w:footnote w:id="1">
    <w:p w:rsidR="002861BB" w:rsidRDefault="002861BB" w:rsidP="00703730">
      <w:pPr>
        <w:pStyle w:val="Notedebasdepage"/>
        <w:jc w:val="both"/>
      </w:pPr>
      <w:r w:rsidRPr="00703730">
        <w:rPr>
          <w:rStyle w:val="Appelnotedebasdep"/>
        </w:rPr>
        <w:footnoteRef/>
      </w:r>
      <w:r w:rsidRPr="00703730">
        <w:t xml:space="preserve"> </w:t>
      </w:r>
      <w:r w:rsidRPr="00703730">
        <w:rPr>
          <w:sz w:val="20"/>
          <w:szCs w:val="20"/>
        </w:rPr>
        <w:t>A</w:t>
      </w:r>
      <w:r w:rsidRPr="00703730">
        <w:rPr>
          <w:rFonts w:eastAsia="Calibri"/>
          <w:sz w:val="20"/>
          <w:szCs w:val="20"/>
          <w:u w:color="000000"/>
          <w:bdr w:val="nil"/>
        </w:rPr>
        <w:t>vec en annexe, le PAP, le cadre logique qui récapitule les  indicateurs selon les axes et objectifs stratégiques</w:t>
      </w:r>
      <w:r>
        <w:rPr>
          <w:rFonts w:eastAsia="Calibri"/>
          <w:sz w:val="20"/>
          <w:szCs w:val="20"/>
          <w:u w:color="000000"/>
          <w:bdr w:val="nil"/>
        </w:rPr>
        <w:t>.</w:t>
      </w:r>
    </w:p>
  </w:footnote>
  <w:footnote w:id="2">
    <w:p w:rsidR="002861BB" w:rsidRPr="00DF0DC9" w:rsidRDefault="002861BB" w:rsidP="00DF0DC9">
      <w:pPr>
        <w:pStyle w:val="Notedebasdepage"/>
        <w:jc w:val="both"/>
        <w:rPr>
          <w:sz w:val="20"/>
          <w:szCs w:val="20"/>
        </w:rPr>
      </w:pPr>
      <w:r>
        <w:rPr>
          <w:rStyle w:val="Appelnotedebasdep"/>
        </w:rPr>
        <w:footnoteRef/>
      </w:r>
      <w:r>
        <w:t xml:space="preserve">  </w:t>
      </w:r>
      <w:r w:rsidRPr="00DF0DC9">
        <w:rPr>
          <w:sz w:val="20"/>
          <w:szCs w:val="20"/>
        </w:rPr>
        <w:t>Pour un dével</w:t>
      </w:r>
      <w:r>
        <w:rPr>
          <w:sz w:val="20"/>
          <w:szCs w:val="20"/>
        </w:rPr>
        <w:t>oppement réussi, il faut un processus permettant de passer</w:t>
      </w:r>
      <w:r w:rsidRPr="00DF0DC9">
        <w:rPr>
          <w:sz w:val="20"/>
          <w:szCs w:val="20"/>
        </w:rPr>
        <w:t xml:space="preserve"> de</w:t>
      </w:r>
      <w:r w:rsidRPr="00DF0DC9">
        <w:rPr>
          <w:sz w:val="20"/>
          <w:szCs w:val="20"/>
          <w:lang w:eastAsia="fr-FR"/>
        </w:rPr>
        <w:t xml:space="preserve"> l'agricul</w:t>
      </w:r>
      <w:r>
        <w:rPr>
          <w:sz w:val="20"/>
          <w:szCs w:val="20"/>
          <w:lang w:eastAsia="fr-FR"/>
        </w:rPr>
        <w:t>ture de subsistance</w:t>
      </w:r>
      <w:r w:rsidRPr="00DF0DC9">
        <w:rPr>
          <w:sz w:val="20"/>
          <w:szCs w:val="20"/>
          <w:lang w:eastAsia="fr-FR"/>
        </w:rPr>
        <w:t xml:space="preserve"> à des activités</w:t>
      </w:r>
      <w:r>
        <w:rPr>
          <w:sz w:val="20"/>
          <w:szCs w:val="20"/>
          <w:lang w:eastAsia="fr-FR"/>
        </w:rPr>
        <w:t xml:space="preserve"> à forte productivité</w:t>
      </w:r>
      <w:r w:rsidRPr="00DF0DC9">
        <w:rPr>
          <w:sz w:val="20"/>
          <w:szCs w:val="20"/>
          <w:lang w:eastAsia="fr-FR"/>
        </w:rPr>
        <w:t xml:space="preserve">  tel</w:t>
      </w:r>
      <w:r>
        <w:rPr>
          <w:sz w:val="20"/>
          <w:szCs w:val="20"/>
          <w:lang w:eastAsia="fr-FR"/>
        </w:rPr>
        <w:t>le</w:t>
      </w:r>
      <w:r w:rsidRPr="00DF0DC9">
        <w:rPr>
          <w:sz w:val="20"/>
          <w:szCs w:val="20"/>
          <w:lang w:eastAsia="fr-FR"/>
        </w:rPr>
        <w:t xml:space="preserve">s que la manufacture et les services </w:t>
      </w:r>
      <w:r>
        <w:rPr>
          <w:sz w:val="20"/>
          <w:szCs w:val="20"/>
          <w:lang w:eastAsia="fr-FR"/>
        </w:rPr>
        <w:t>modernes.</w:t>
      </w:r>
    </w:p>
  </w:footnote>
  <w:footnote w:id="3">
    <w:p w:rsidR="002861BB" w:rsidRPr="00EF2A17" w:rsidRDefault="002861BB">
      <w:pPr>
        <w:pStyle w:val="Notedebasdepage"/>
        <w:rPr>
          <w:sz w:val="20"/>
          <w:szCs w:val="20"/>
        </w:rPr>
      </w:pPr>
      <w:r w:rsidRPr="00EF2A17">
        <w:rPr>
          <w:rStyle w:val="Appelnotedebasdep"/>
          <w:sz w:val="20"/>
          <w:szCs w:val="20"/>
        </w:rPr>
        <w:footnoteRef/>
      </w:r>
      <w:r w:rsidRPr="00EF2A17">
        <w:rPr>
          <w:sz w:val="20"/>
          <w:szCs w:val="20"/>
        </w:rPr>
        <w:t xml:space="preserve">  La  croissance est tirée  à  plus  de  90%  par  les  recettes d’exportation  du  café et du thé  qui  sont  en  déclin depuis  une certaine période.</w:t>
      </w:r>
    </w:p>
  </w:footnote>
  <w:footnote w:id="4">
    <w:p w:rsidR="002861BB" w:rsidRPr="008653C3" w:rsidRDefault="002861BB" w:rsidP="00DE3A23">
      <w:pPr>
        <w:pStyle w:val="Notedebasdepage"/>
        <w:rPr>
          <w:sz w:val="20"/>
          <w:szCs w:val="20"/>
        </w:rPr>
      </w:pPr>
      <w:r w:rsidRPr="008653C3">
        <w:rPr>
          <w:rStyle w:val="Appelnotedebasdep"/>
          <w:sz w:val="20"/>
          <w:szCs w:val="20"/>
        </w:rPr>
        <w:footnoteRef/>
      </w:r>
      <w:r w:rsidRPr="008653C3">
        <w:rPr>
          <w:sz w:val="20"/>
          <w:szCs w:val="20"/>
        </w:rPr>
        <w:t xml:space="preserve"> ISTEEBU, Rapport de l’enquête modulaire sur les conditions de vie des ménages 2013/2014</w:t>
      </w:r>
      <w:r w:rsidRPr="008653C3">
        <w:rPr>
          <w:rFonts w:cs="Calibri"/>
          <w:sz w:val="20"/>
          <w:szCs w:val="20"/>
        </w:rPr>
        <w:t xml:space="preserve"> au Burundi</w:t>
      </w:r>
    </w:p>
  </w:footnote>
  <w:footnote w:id="5">
    <w:p w:rsidR="002861BB" w:rsidRPr="008653C3" w:rsidRDefault="002861BB" w:rsidP="00DE3A23">
      <w:pPr>
        <w:pStyle w:val="Notedebasdepage"/>
        <w:rPr>
          <w:sz w:val="20"/>
          <w:szCs w:val="20"/>
        </w:rPr>
      </w:pPr>
      <w:r w:rsidRPr="008653C3">
        <w:rPr>
          <w:rStyle w:val="Appelnotedebasdep"/>
          <w:sz w:val="20"/>
          <w:szCs w:val="20"/>
        </w:rPr>
        <w:footnoteRef/>
      </w:r>
      <w:r w:rsidRPr="008653C3">
        <w:rPr>
          <w:sz w:val="20"/>
          <w:szCs w:val="20"/>
        </w:rPr>
        <w:t xml:space="preserve"> Le rapport de la revue annuelle conjointe du secteur Eau et Assainissement de 2013 (RAC 2013).</w:t>
      </w:r>
    </w:p>
  </w:footnote>
  <w:footnote w:id="6">
    <w:p w:rsidR="002861BB" w:rsidRPr="006A7EBC" w:rsidRDefault="002861BB" w:rsidP="008653C3">
      <w:pPr>
        <w:pStyle w:val="Notedebasdepage"/>
        <w:jc w:val="both"/>
        <w:rPr>
          <w:color w:val="FF0000"/>
        </w:rPr>
      </w:pPr>
      <w:r>
        <w:rPr>
          <w:rStyle w:val="Appelnotedebasdep"/>
        </w:rPr>
        <w:footnoteRef/>
      </w:r>
      <w:r w:rsidRPr="008653C3">
        <w:rPr>
          <w:sz w:val="20"/>
          <w:szCs w:val="20"/>
        </w:rPr>
        <w:t>Notamment la mise en place du cadre légal et réglementaire, l’intensification des recherches minières, l’appui et l’encadrement des artisans miniers, la facilitation au regroupement en coopératives, l’encouragement de la transformation des minerais sur place ainsi que le renforcement de la transparence.</w:t>
      </w:r>
      <w:r w:rsidRPr="008653C3">
        <w:rPr>
          <w:sz w:val="24"/>
        </w:rPr>
        <w:t xml:space="preserve"> </w:t>
      </w:r>
    </w:p>
  </w:footnote>
  <w:footnote w:id="7">
    <w:p w:rsidR="002861BB" w:rsidRDefault="002861BB" w:rsidP="00DE3A23">
      <w:pPr>
        <w:pStyle w:val="Notedebasdepage"/>
      </w:pPr>
      <w:r>
        <w:rPr>
          <w:rStyle w:val="Appelnotedebasdep"/>
        </w:rPr>
        <w:footnoteRef/>
      </w:r>
      <w:r>
        <w:t xml:space="preserve"> Source : Bilan des réalisations jusque fin 2016</w:t>
      </w:r>
    </w:p>
  </w:footnote>
  <w:footnote w:id="8">
    <w:p w:rsidR="002861BB" w:rsidRDefault="002861BB" w:rsidP="00DE3A23">
      <w:pPr>
        <w:pStyle w:val="Notedebasdepage"/>
      </w:pPr>
      <w:r w:rsidRPr="00953444">
        <w:rPr>
          <w:rStyle w:val="Appelnotedebasdep"/>
        </w:rPr>
        <w:footnoteRef/>
      </w:r>
      <w:r>
        <w:t>. Idem</w:t>
      </w:r>
    </w:p>
  </w:footnote>
  <w:footnote w:id="9">
    <w:p w:rsidR="002861BB" w:rsidRDefault="002861BB" w:rsidP="00DE3A23">
      <w:pPr>
        <w:pStyle w:val="Notedebasdepage"/>
        <w:spacing w:after="0"/>
      </w:pPr>
      <w:r>
        <w:rPr>
          <w:rStyle w:val="Appelnotedebasdep"/>
        </w:rPr>
        <w:footnoteRef/>
      </w:r>
      <w:r>
        <w:t xml:space="preserve"> </w:t>
      </w:r>
      <w:r w:rsidRPr="00E8628C">
        <w:rPr>
          <w:sz w:val="16"/>
          <w:szCs w:val="16"/>
        </w:rPr>
        <w:t>EDS III</w:t>
      </w:r>
    </w:p>
  </w:footnote>
  <w:footnote w:id="10">
    <w:p w:rsidR="002861BB" w:rsidRPr="009F1B2D" w:rsidRDefault="002861BB" w:rsidP="00DE3A23">
      <w:pPr>
        <w:pStyle w:val="Notedebasdepage"/>
        <w:spacing w:after="0"/>
        <w:rPr>
          <w:sz w:val="16"/>
          <w:szCs w:val="16"/>
        </w:rPr>
      </w:pPr>
      <w:r w:rsidRPr="005947EB">
        <w:rPr>
          <w:rStyle w:val="Appelnotedebasdep"/>
          <w:sz w:val="16"/>
          <w:szCs w:val="16"/>
        </w:rPr>
        <w:footnoteRef/>
      </w:r>
      <w:r w:rsidRPr="00072BD3">
        <w:rPr>
          <w:sz w:val="16"/>
          <w:szCs w:val="16"/>
        </w:rPr>
        <w:t xml:space="preserve"> EDS 2014-2015</w:t>
      </w:r>
    </w:p>
  </w:footnote>
  <w:footnote w:id="11">
    <w:p w:rsidR="002861BB" w:rsidRPr="009F1B2D" w:rsidRDefault="002861BB" w:rsidP="00DE3A23">
      <w:pPr>
        <w:pStyle w:val="Notedebasdepage"/>
        <w:spacing w:after="0"/>
        <w:rPr>
          <w:sz w:val="16"/>
          <w:szCs w:val="16"/>
        </w:rPr>
      </w:pPr>
      <w:r>
        <w:rPr>
          <w:rStyle w:val="Appelnotedebasdep"/>
        </w:rPr>
        <w:footnoteRef/>
      </w:r>
      <w:r>
        <w:t xml:space="preserve"> </w:t>
      </w:r>
      <w:r w:rsidRPr="009F1B2D">
        <w:rPr>
          <w:sz w:val="16"/>
          <w:szCs w:val="16"/>
        </w:rPr>
        <w:t>RGPH 2008, Projections de la population</w:t>
      </w:r>
    </w:p>
  </w:footnote>
  <w:footnote w:id="12">
    <w:p w:rsidR="002861BB" w:rsidRDefault="002861BB" w:rsidP="006429B1">
      <w:pPr>
        <w:pStyle w:val="Notedebasdepage"/>
      </w:pPr>
      <w:r>
        <w:rPr>
          <w:rStyle w:val="Appelnotedebasdep"/>
        </w:rPr>
        <w:footnoteRef/>
      </w:r>
      <w:r>
        <w:t xml:space="preserve"> </w:t>
      </w:r>
      <w:r w:rsidRPr="00E427BD">
        <w:rPr>
          <w:sz w:val="16"/>
          <w:szCs w:val="16"/>
        </w:rPr>
        <w:t>Projet d’appui à l’amélioration de la productivité et de la compétitivité du secteur café au Burundi (PACSC)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BB" w:rsidRDefault="002861BB">
    <w:pPr>
      <w:pStyle w:val="En-tte"/>
      <w:jc w:val="right"/>
    </w:pPr>
  </w:p>
  <w:p w:rsidR="002861BB" w:rsidRDefault="002861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BB" w:rsidRDefault="002861B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BB" w:rsidRDefault="002861B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1BB" w:rsidRDefault="002861B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BE6"/>
      </v:shape>
    </w:pict>
  </w:numPicBullet>
  <w:abstractNum w:abstractNumId="0" w15:restartNumberingAfterBreak="0">
    <w:nsid w:val="04834663"/>
    <w:multiLevelType w:val="hybridMultilevel"/>
    <w:tmpl w:val="165C41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1297A83"/>
    <w:multiLevelType w:val="multilevel"/>
    <w:tmpl w:val="0AC46DD8"/>
    <w:lvl w:ilvl="0">
      <w:start w:val="1"/>
      <w:numFmt w:val="upperRoman"/>
      <w:lvlText w:val="%1."/>
      <w:lvlJc w:val="left"/>
      <w:pPr>
        <w:ind w:left="720" w:hanging="720"/>
      </w:pPr>
      <w:rPr>
        <w:rFonts w:hint="default"/>
      </w:rPr>
    </w:lvl>
    <w:lvl w:ilvl="1">
      <w:start w:val="1"/>
      <w:numFmt w:val="decimal"/>
      <w:isLgl/>
      <w:lvlText w:val="%1.%2."/>
      <w:lvlJc w:val="left"/>
      <w:pPr>
        <w:ind w:left="862" w:hanging="720"/>
      </w:pPr>
      <w:rPr>
        <w:rFonts w:hint="default"/>
      </w:rPr>
    </w:lvl>
    <w:lvl w:ilvl="2">
      <w:start w:val="2"/>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 w15:restartNumberingAfterBreak="0">
    <w:nsid w:val="19800C00"/>
    <w:multiLevelType w:val="hybridMultilevel"/>
    <w:tmpl w:val="E18A1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2D160A"/>
    <w:multiLevelType w:val="multilevel"/>
    <w:tmpl w:val="6C22DB10"/>
    <w:lvl w:ilvl="0">
      <w:start w:val="3"/>
      <w:numFmt w:val="decimal"/>
      <w:lvlText w:val="%1"/>
      <w:lvlJc w:val="left"/>
      <w:pPr>
        <w:ind w:left="480" w:hanging="480"/>
      </w:pPr>
      <w:rPr>
        <w:rFonts w:hint="default"/>
        <w:i w:val="0"/>
      </w:rPr>
    </w:lvl>
    <w:lvl w:ilvl="1">
      <w:start w:val="1"/>
      <w:numFmt w:val="decimal"/>
      <w:lvlText w:val="%1.%2"/>
      <w:lvlJc w:val="left"/>
      <w:pPr>
        <w:ind w:left="480" w:hanging="48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 w15:restartNumberingAfterBreak="0">
    <w:nsid w:val="20A63877"/>
    <w:multiLevelType w:val="hybridMultilevel"/>
    <w:tmpl w:val="EF1C88F4"/>
    <w:lvl w:ilvl="0" w:tplc="08062AF2">
      <w:start w:val="232"/>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5B5947"/>
    <w:multiLevelType w:val="hybridMultilevel"/>
    <w:tmpl w:val="D4E84FE0"/>
    <w:lvl w:ilvl="0" w:tplc="040C0007">
      <w:start w:val="1"/>
      <w:numFmt w:val="bullet"/>
      <w:lvlText w:val=""/>
      <w:lvlPicBulletId w:val="0"/>
      <w:lvlJc w:val="left"/>
      <w:pPr>
        <w:ind w:left="1996" w:hanging="360"/>
      </w:pPr>
      <w:rPr>
        <w:rFonts w:ascii="Symbol" w:hAnsi="Symbol" w:hint="default"/>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6" w15:restartNumberingAfterBreak="0">
    <w:nsid w:val="224725D0"/>
    <w:multiLevelType w:val="hybridMultilevel"/>
    <w:tmpl w:val="428EC7A2"/>
    <w:lvl w:ilvl="0" w:tplc="DBD29310">
      <w:start w:val="229"/>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3DC54B8"/>
    <w:multiLevelType w:val="multilevel"/>
    <w:tmpl w:val="B888EBA8"/>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2AB17FD4"/>
    <w:multiLevelType w:val="multilevel"/>
    <w:tmpl w:val="6C0453A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CEF08EE"/>
    <w:multiLevelType w:val="hybridMultilevel"/>
    <w:tmpl w:val="40AA0D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F604423"/>
    <w:multiLevelType w:val="hybridMultilevel"/>
    <w:tmpl w:val="8C6CB602"/>
    <w:lvl w:ilvl="0" w:tplc="A83458A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93B5EF2"/>
    <w:multiLevelType w:val="hybridMultilevel"/>
    <w:tmpl w:val="7E1CA064"/>
    <w:lvl w:ilvl="0" w:tplc="040C0007">
      <w:start w:val="1"/>
      <w:numFmt w:val="bullet"/>
      <w:lvlText w:val=""/>
      <w:lvlPicBulletId w:val="0"/>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15:restartNumberingAfterBreak="0">
    <w:nsid w:val="3D8E3FF3"/>
    <w:multiLevelType w:val="hybridMultilevel"/>
    <w:tmpl w:val="C4B4A184"/>
    <w:lvl w:ilvl="0" w:tplc="040C000F">
      <w:start w:val="4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51A2900"/>
    <w:multiLevelType w:val="hybridMultilevel"/>
    <w:tmpl w:val="F3A211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5A3439A"/>
    <w:multiLevelType w:val="multilevel"/>
    <w:tmpl w:val="46EAFDFE"/>
    <w:lvl w:ilvl="0">
      <w:start w:val="5"/>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15:restartNumberingAfterBreak="0">
    <w:nsid w:val="4B8902BB"/>
    <w:multiLevelType w:val="hybridMultilevel"/>
    <w:tmpl w:val="C8BA21CE"/>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553E6592"/>
    <w:multiLevelType w:val="hybridMultilevel"/>
    <w:tmpl w:val="FA94B702"/>
    <w:lvl w:ilvl="0" w:tplc="6904533E">
      <w:start w:val="156"/>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6AE0FFF"/>
    <w:multiLevelType w:val="hybridMultilevel"/>
    <w:tmpl w:val="957AD28C"/>
    <w:lvl w:ilvl="0" w:tplc="6E9A87EA">
      <w:start w:val="10"/>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57663197"/>
    <w:multiLevelType w:val="hybridMultilevel"/>
    <w:tmpl w:val="8DF0C9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C0E6006"/>
    <w:multiLevelType w:val="hybridMultilevel"/>
    <w:tmpl w:val="5E962954"/>
    <w:lvl w:ilvl="0" w:tplc="040C000F">
      <w:start w:val="3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D4F62A7"/>
    <w:multiLevelType w:val="hybridMultilevel"/>
    <w:tmpl w:val="7E0045D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1" w15:restartNumberingAfterBreak="0">
    <w:nsid w:val="5E885385"/>
    <w:multiLevelType w:val="hybridMultilevel"/>
    <w:tmpl w:val="B83ED566"/>
    <w:lvl w:ilvl="0" w:tplc="A7585C64">
      <w:start w:val="1"/>
      <w:numFmt w:val="decimal"/>
      <w:lvlText w:val="%1."/>
      <w:lvlJc w:val="left"/>
      <w:pPr>
        <w:ind w:left="360" w:hanging="360"/>
      </w:pPr>
      <w:rPr>
        <w:rFonts w:eastAsiaTheme="minorHAnsi" w:hint="default"/>
        <w:b w:val="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22" w15:restartNumberingAfterBreak="0">
    <w:nsid w:val="5ED851E8"/>
    <w:multiLevelType w:val="hybridMultilevel"/>
    <w:tmpl w:val="CFFC835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61913DAF"/>
    <w:multiLevelType w:val="multilevel"/>
    <w:tmpl w:val="5CA8F77E"/>
    <w:lvl w:ilvl="0">
      <w:start w:val="4"/>
      <w:numFmt w:val="decimal"/>
      <w:lvlText w:val="%1."/>
      <w:lvlJc w:val="left"/>
      <w:pPr>
        <w:ind w:left="540" w:hanging="540"/>
      </w:pPr>
      <w:rPr>
        <w:rFonts w:eastAsia="Times New Roman" w:hint="default"/>
        <w:b/>
      </w:rPr>
    </w:lvl>
    <w:lvl w:ilvl="1">
      <w:start w:val="3"/>
      <w:numFmt w:val="decimal"/>
      <w:lvlText w:val="%1.%2."/>
      <w:lvlJc w:val="left"/>
      <w:pPr>
        <w:ind w:left="540" w:hanging="540"/>
      </w:pPr>
      <w:rPr>
        <w:rFonts w:eastAsia="Times New Roman" w:hint="default"/>
        <w:b/>
      </w:rPr>
    </w:lvl>
    <w:lvl w:ilvl="2">
      <w:start w:val="2"/>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4" w15:restartNumberingAfterBreak="0">
    <w:nsid w:val="6A785103"/>
    <w:multiLevelType w:val="hybridMultilevel"/>
    <w:tmpl w:val="5C38630E"/>
    <w:lvl w:ilvl="0" w:tplc="A7585C64">
      <w:start w:val="1"/>
      <w:numFmt w:val="decimal"/>
      <w:lvlText w:val="%1."/>
      <w:lvlJc w:val="left"/>
      <w:pPr>
        <w:ind w:left="360" w:hanging="360"/>
      </w:pPr>
      <w:rPr>
        <w:rFonts w:eastAsia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BAA1DEC"/>
    <w:multiLevelType w:val="hybridMultilevel"/>
    <w:tmpl w:val="1EDC342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D95422C"/>
    <w:multiLevelType w:val="hybridMultilevel"/>
    <w:tmpl w:val="3266D434"/>
    <w:lvl w:ilvl="0" w:tplc="040C000F">
      <w:start w:val="4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06A61A5"/>
    <w:multiLevelType w:val="hybridMultilevel"/>
    <w:tmpl w:val="A372E632"/>
    <w:lvl w:ilvl="0" w:tplc="50D8F3E8">
      <w:start w:val="152"/>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32B0C87"/>
    <w:multiLevelType w:val="hybridMultilevel"/>
    <w:tmpl w:val="8A961E6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73944F3B"/>
    <w:multiLevelType w:val="hybridMultilevel"/>
    <w:tmpl w:val="99C0067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0" w15:restartNumberingAfterBreak="0">
    <w:nsid w:val="73AF572D"/>
    <w:multiLevelType w:val="hybridMultilevel"/>
    <w:tmpl w:val="62CE0A94"/>
    <w:lvl w:ilvl="0" w:tplc="040C0007">
      <w:start w:val="1"/>
      <w:numFmt w:val="bullet"/>
      <w:lvlText w:val=""/>
      <w:lvlPicBulletId w:val="0"/>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1" w15:restartNumberingAfterBreak="0">
    <w:nsid w:val="73F01634"/>
    <w:multiLevelType w:val="hybridMultilevel"/>
    <w:tmpl w:val="FDFEAED8"/>
    <w:lvl w:ilvl="0" w:tplc="040C000D">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start w:val="1"/>
      <w:numFmt w:val="bullet"/>
      <w:lvlText w:val="o"/>
      <w:lvlJc w:val="left"/>
      <w:pPr>
        <w:ind w:left="4656" w:hanging="360"/>
      </w:pPr>
      <w:rPr>
        <w:rFonts w:ascii="Courier New" w:hAnsi="Courier New" w:cs="Courier New" w:hint="default"/>
      </w:rPr>
    </w:lvl>
    <w:lvl w:ilvl="5" w:tplc="040C0005">
      <w:start w:val="1"/>
      <w:numFmt w:val="bullet"/>
      <w:lvlText w:val=""/>
      <w:lvlJc w:val="left"/>
      <w:pPr>
        <w:ind w:left="5376" w:hanging="360"/>
      </w:pPr>
      <w:rPr>
        <w:rFonts w:ascii="Wingdings" w:hAnsi="Wingdings" w:hint="default"/>
      </w:rPr>
    </w:lvl>
    <w:lvl w:ilvl="6" w:tplc="040C0001">
      <w:start w:val="1"/>
      <w:numFmt w:val="bullet"/>
      <w:lvlText w:val=""/>
      <w:lvlJc w:val="left"/>
      <w:pPr>
        <w:ind w:left="6096" w:hanging="360"/>
      </w:pPr>
      <w:rPr>
        <w:rFonts w:ascii="Symbol" w:hAnsi="Symbol" w:hint="default"/>
      </w:rPr>
    </w:lvl>
    <w:lvl w:ilvl="7" w:tplc="040C0003">
      <w:start w:val="1"/>
      <w:numFmt w:val="bullet"/>
      <w:lvlText w:val="o"/>
      <w:lvlJc w:val="left"/>
      <w:pPr>
        <w:ind w:left="6816" w:hanging="360"/>
      </w:pPr>
      <w:rPr>
        <w:rFonts w:ascii="Courier New" w:hAnsi="Courier New" w:cs="Courier New" w:hint="default"/>
      </w:rPr>
    </w:lvl>
    <w:lvl w:ilvl="8" w:tplc="040C0005">
      <w:start w:val="1"/>
      <w:numFmt w:val="bullet"/>
      <w:lvlText w:val=""/>
      <w:lvlJc w:val="left"/>
      <w:pPr>
        <w:ind w:left="7536" w:hanging="360"/>
      </w:pPr>
      <w:rPr>
        <w:rFonts w:ascii="Wingdings" w:hAnsi="Wingdings" w:hint="default"/>
      </w:rPr>
    </w:lvl>
  </w:abstractNum>
  <w:abstractNum w:abstractNumId="32" w15:restartNumberingAfterBreak="0">
    <w:nsid w:val="75115304"/>
    <w:multiLevelType w:val="hybridMultilevel"/>
    <w:tmpl w:val="260AC21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3" w15:restartNumberingAfterBreak="0">
    <w:nsid w:val="77181FB5"/>
    <w:multiLevelType w:val="hybridMultilevel"/>
    <w:tmpl w:val="28E40B7C"/>
    <w:lvl w:ilvl="0" w:tplc="144E5036">
      <w:start w:val="1"/>
      <w:numFmt w:val="bullet"/>
      <w:lvlText w:val="•"/>
      <w:lvlJc w:val="left"/>
      <w:pPr>
        <w:tabs>
          <w:tab w:val="num" w:pos="720"/>
        </w:tabs>
        <w:ind w:left="720" w:hanging="360"/>
      </w:pPr>
      <w:rPr>
        <w:rFonts w:ascii="Times New Roman" w:hAnsi="Times New Roman" w:hint="default"/>
      </w:rPr>
    </w:lvl>
    <w:lvl w:ilvl="1" w:tplc="79C2974E" w:tentative="1">
      <w:start w:val="1"/>
      <w:numFmt w:val="bullet"/>
      <w:lvlText w:val="•"/>
      <w:lvlJc w:val="left"/>
      <w:pPr>
        <w:tabs>
          <w:tab w:val="num" w:pos="1440"/>
        </w:tabs>
        <w:ind w:left="1440" w:hanging="360"/>
      </w:pPr>
      <w:rPr>
        <w:rFonts w:ascii="Times New Roman" w:hAnsi="Times New Roman" w:hint="default"/>
      </w:rPr>
    </w:lvl>
    <w:lvl w:ilvl="2" w:tplc="344A8536" w:tentative="1">
      <w:start w:val="1"/>
      <w:numFmt w:val="bullet"/>
      <w:lvlText w:val="•"/>
      <w:lvlJc w:val="left"/>
      <w:pPr>
        <w:tabs>
          <w:tab w:val="num" w:pos="2160"/>
        </w:tabs>
        <w:ind w:left="2160" w:hanging="360"/>
      </w:pPr>
      <w:rPr>
        <w:rFonts w:ascii="Times New Roman" w:hAnsi="Times New Roman" w:hint="default"/>
      </w:rPr>
    </w:lvl>
    <w:lvl w:ilvl="3" w:tplc="F3F0F032" w:tentative="1">
      <w:start w:val="1"/>
      <w:numFmt w:val="bullet"/>
      <w:lvlText w:val="•"/>
      <w:lvlJc w:val="left"/>
      <w:pPr>
        <w:tabs>
          <w:tab w:val="num" w:pos="2880"/>
        </w:tabs>
        <w:ind w:left="2880" w:hanging="360"/>
      </w:pPr>
      <w:rPr>
        <w:rFonts w:ascii="Times New Roman" w:hAnsi="Times New Roman" w:hint="default"/>
      </w:rPr>
    </w:lvl>
    <w:lvl w:ilvl="4" w:tplc="64440D24" w:tentative="1">
      <w:start w:val="1"/>
      <w:numFmt w:val="bullet"/>
      <w:lvlText w:val="•"/>
      <w:lvlJc w:val="left"/>
      <w:pPr>
        <w:tabs>
          <w:tab w:val="num" w:pos="3600"/>
        </w:tabs>
        <w:ind w:left="3600" w:hanging="360"/>
      </w:pPr>
      <w:rPr>
        <w:rFonts w:ascii="Times New Roman" w:hAnsi="Times New Roman" w:hint="default"/>
      </w:rPr>
    </w:lvl>
    <w:lvl w:ilvl="5" w:tplc="7EA64742" w:tentative="1">
      <w:start w:val="1"/>
      <w:numFmt w:val="bullet"/>
      <w:lvlText w:val="•"/>
      <w:lvlJc w:val="left"/>
      <w:pPr>
        <w:tabs>
          <w:tab w:val="num" w:pos="4320"/>
        </w:tabs>
        <w:ind w:left="4320" w:hanging="360"/>
      </w:pPr>
      <w:rPr>
        <w:rFonts w:ascii="Times New Roman" w:hAnsi="Times New Roman" w:hint="default"/>
      </w:rPr>
    </w:lvl>
    <w:lvl w:ilvl="6" w:tplc="FDE6FF7C" w:tentative="1">
      <w:start w:val="1"/>
      <w:numFmt w:val="bullet"/>
      <w:lvlText w:val="•"/>
      <w:lvlJc w:val="left"/>
      <w:pPr>
        <w:tabs>
          <w:tab w:val="num" w:pos="5040"/>
        </w:tabs>
        <w:ind w:left="5040" w:hanging="360"/>
      </w:pPr>
      <w:rPr>
        <w:rFonts w:ascii="Times New Roman" w:hAnsi="Times New Roman" w:hint="default"/>
      </w:rPr>
    </w:lvl>
    <w:lvl w:ilvl="7" w:tplc="C5CA91B0" w:tentative="1">
      <w:start w:val="1"/>
      <w:numFmt w:val="bullet"/>
      <w:lvlText w:val="•"/>
      <w:lvlJc w:val="left"/>
      <w:pPr>
        <w:tabs>
          <w:tab w:val="num" w:pos="5760"/>
        </w:tabs>
        <w:ind w:left="5760" w:hanging="360"/>
      </w:pPr>
      <w:rPr>
        <w:rFonts w:ascii="Times New Roman" w:hAnsi="Times New Roman" w:hint="default"/>
      </w:rPr>
    </w:lvl>
    <w:lvl w:ilvl="8" w:tplc="AE86F1E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BBE7BCC"/>
    <w:multiLevelType w:val="hybridMultilevel"/>
    <w:tmpl w:val="9EA488B6"/>
    <w:lvl w:ilvl="0" w:tplc="040C000F">
      <w:start w:val="3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E206BCE"/>
    <w:multiLevelType w:val="hybridMultilevel"/>
    <w:tmpl w:val="7078151A"/>
    <w:lvl w:ilvl="0" w:tplc="E2685608">
      <w:start w:val="1"/>
      <w:numFmt w:val="decimal"/>
      <w:lvlText w:val="%1."/>
      <w:lvlJc w:val="left"/>
      <w:pPr>
        <w:ind w:left="720" w:hanging="360"/>
      </w:pPr>
      <w:rPr>
        <w:rFonts w:ascii="Times New Roman" w:eastAsia="Times New Roman"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FF47F5A"/>
    <w:multiLevelType w:val="hybridMultilevel"/>
    <w:tmpl w:val="759417B8"/>
    <w:lvl w:ilvl="0" w:tplc="A6406D9C">
      <w:start w:val="5"/>
      <w:numFmt w:val="bullet"/>
      <w:lvlText w:val="-"/>
      <w:lvlJc w:val="left"/>
      <w:pPr>
        <w:ind w:left="1410" w:hanging="360"/>
      </w:pPr>
      <w:rPr>
        <w:rFonts w:ascii="Calibri" w:eastAsiaTheme="minorHAnsi" w:hAnsi="Calibri" w:cstheme="minorBidi" w:hint="default"/>
        <w:sz w:val="22"/>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num w:numId="1">
    <w:abstractNumId w:val="5"/>
  </w:num>
  <w:num w:numId="2">
    <w:abstractNumId w:val="28"/>
  </w:num>
  <w:num w:numId="3">
    <w:abstractNumId w:val="10"/>
  </w:num>
  <w:num w:numId="4">
    <w:abstractNumId w:val="22"/>
  </w:num>
  <w:num w:numId="5">
    <w:abstractNumId w:val="21"/>
  </w:num>
  <w:num w:numId="6">
    <w:abstractNumId w:val="7"/>
  </w:num>
  <w:num w:numId="7">
    <w:abstractNumId w:val="23"/>
  </w:num>
  <w:num w:numId="8">
    <w:abstractNumId w:val="13"/>
  </w:num>
  <w:num w:numId="9">
    <w:abstractNumId w:val="8"/>
  </w:num>
  <w:num w:numId="10">
    <w:abstractNumId w:val="30"/>
  </w:num>
  <w:num w:numId="11">
    <w:abstractNumId w:val="3"/>
  </w:num>
  <w:num w:numId="12">
    <w:abstractNumId w:val="11"/>
  </w:num>
  <w:num w:numId="13">
    <w:abstractNumId w:val="14"/>
  </w:num>
  <w:num w:numId="14">
    <w:abstractNumId w:val="15"/>
  </w:num>
  <w:num w:numId="15">
    <w:abstractNumId w:val="25"/>
  </w:num>
  <w:num w:numId="16">
    <w:abstractNumId w:val="24"/>
  </w:num>
  <w:num w:numId="17">
    <w:abstractNumId w:val="1"/>
  </w:num>
  <w:num w:numId="18">
    <w:abstractNumId w:val="33"/>
  </w:num>
  <w:num w:numId="19">
    <w:abstractNumId w:val="19"/>
  </w:num>
  <w:num w:numId="20">
    <w:abstractNumId w:val="36"/>
  </w:num>
  <w:num w:numId="21">
    <w:abstractNumId w:val="18"/>
  </w:num>
  <w:num w:numId="22">
    <w:abstractNumId w:val="34"/>
  </w:num>
  <w:num w:numId="23">
    <w:abstractNumId w:val="2"/>
  </w:num>
  <w:num w:numId="24">
    <w:abstractNumId w:val="35"/>
  </w:num>
  <w:num w:numId="25">
    <w:abstractNumId w:val="9"/>
  </w:num>
  <w:num w:numId="26">
    <w:abstractNumId w:val="17"/>
  </w:num>
  <w:num w:numId="27">
    <w:abstractNumId w:val="0"/>
  </w:num>
  <w:num w:numId="28">
    <w:abstractNumId w:val="32"/>
  </w:num>
  <w:num w:numId="29">
    <w:abstractNumId w:val="20"/>
  </w:num>
  <w:num w:numId="30">
    <w:abstractNumId w:val="29"/>
  </w:num>
  <w:num w:numId="31">
    <w:abstractNumId w:val="12"/>
  </w:num>
  <w:num w:numId="32">
    <w:abstractNumId w:val="27"/>
  </w:num>
  <w:num w:numId="33">
    <w:abstractNumId w:val="6"/>
  </w:num>
  <w:num w:numId="34">
    <w:abstractNumId w:val="16"/>
  </w:num>
  <w:num w:numId="35">
    <w:abstractNumId w:val="4"/>
  </w:num>
  <w:num w:numId="36">
    <w:abstractNumId w:val="26"/>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A23"/>
    <w:rsid w:val="00000CF6"/>
    <w:rsid w:val="00001C35"/>
    <w:rsid w:val="00006D95"/>
    <w:rsid w:val="00007652"/>
    <w:rsid w:val="00012282"/>
    <w:rsid w:val="0001240E"/>
    <w:rsid w:val="00014A1C"/>
    <w:rsid w:val="00014B8B"/>
    <w:rsid w:val="00014DC9"/>
    <w:rsid w:val="00021F5F"/>
    <w:rsid w:val="0002438E"/>
    <w:rsid w:val="0002539F"/>
    <w:rsid w:val="00025818"/>
    <w:rsid w:val="000320D1"/>
    <w:rsid w:val="000346DD"/>
    <w:rsid w:val="00035F54"/>
    <w:rsid w:val="000400EB"/>
    <w:rsid w:val="00040305"/>
    <w:rsid w:val="00042BBB"/>
    <w:rsid w:val="00047298"/>
    <w:rsid w:val="000476C3"/>
    <w:rsid w:val="000500C4"/>
    <w:rsid w:val="00050B47"/>
    <w:rsid w:val="00053C8A"/>
    <w:rsid w:val="000544B6"/>
    <w:rsid w:val="00054E18"/>
    <w:rsid w:val="000568EA"/>
    <w:rsid w:val="00056D1B"/>
    <w:rsid w:val="000609B2"/>
    <w:rsid w:val="00073412"/>
    <w:rsid w:val="00073EAC"/>
    <w:rsid w:val="000765EA"/>
    <w:rsid w:val="00076B10"/>
    <w:rsid w:val="00081882"/>
    <w:rsid w:val="000827C7"/>
    <w:rsid w:val="000903D3"/>
    <w:rsid w:val="000920EC"/>
    <w:rsid w:val="000A17D2"/>
    <w:rsid w:val="000A1E9F"/>
    <w:rsid w:val="000A2326"/>
    <w:rsid w:val="000A6862"/>
    <w:rsid w:val="000A6CF0"/>
    <w:rsid w:val="000B69EE"/>
    <w:rsid w:val="000C5253"/>
    <w:rsid w:val="000C6552"/>
    <w:rsid w:val="000D4658"/>
    <w:rsid w:val="000E19D6"/>
    <w:rsid w:val="000E49A9"/>
    <w:rsid w:val="000E61D9"/>
    <w:rsid w:val="000F0957"/>
    <w:rsid w:val="000F65A3"/>
    <w:rsid w:val="00104E22"/>
    <w:rsid w:val="0010574F"/>
    <w:rsid w:val="00106CBD"/>
    <w:rsid w:val="00113669"/>
    <w:rsid w:val="00114556"/>
    <w:rsid w:val="0011505C"/>
    <w:rsid w:val="00120689"/>
    <w:rsid w:val="0012274F"/>
    <w:rsid w:val="00125745"/>
    <w:rsid w:val="00130D07"/>
    <w:rsid w:val="00131DFF"/>
    <w:rsid w:val="00133443"/>
    <w:rsid w:val="00135BDC"/>
    <w:rsid w:val="00142B68"/>
    <w:rsid w:val="001436CF"/>
    <w:rsid w:val="001438CD"/>
    <w:rsid w:val="00144D7D"/>
    <w:rsid w:val="00144FF1"/>
    <w:rsid w:val="0014552C"/>
    <w:rsid w:val="001503A1"/>
    <w:rsid w:val="0015166D"/>
    <w:rsid w:val="00153141"/>
    <w:rsid w:val="0016057B"/>
    <w:rsid w:val="00161D50"/>
    <w:rsid w:val="0016729A"/>
    <w:rsid w:val="00175752"/>
    <w:rsid w:val="001775A7"/>
    <w:rsid w:val="00185ED7"/>
    <w:rsid w:val="00191A53"/>
    <w:rsid w:val="001946D3"/>
    <w:rsid w:val="001A572E"/>
    <w:rsid w:val="001A7C6E"/>
    <w:rsid w:val="001B3D48"/>
    <w:rsid w:val="001B4115"/>
    <w:rsid w:val="001B41B8"/>
    <w:rsid w:val="001B459B"/>
    <w:rsid w:val="001B573A"/>
    <w:rsid w:val="001B7956"/>
    <w:rsid w:val="001C0D63"/>
    <w:rsid w:val="001C1973"/>
    <w:rsid w:val="001C2269"/>
    <w:rsid w:val="001C4166"/>
    <w:rsid w:val="001C731D"/>
    <w:rsid w:val="001C73AD"/>
    <w:rsid w:val="001C7C05"/>
    <w:rsid w:val="001D336A"/>
    <w:rsid w:val="001D3D2D"/>
    <w:rsid w:val="001D6940"/>
    <w:rsid w:val="001E34BB"/>
    <w:rsid w:val="001E4A85"/>
    <w:rsid w:val="001E5E5F"/>
    <w:rsid w:val="001E627D"/>
    <w:rsid w:val="001E7045"/>
    <w:rsid w:val="001F0DD3"/>
    <w:rsid w:val="001F0F96"/>
    <w:rsid w:val="001F6C74"/>
    <w:rsid w:val="0020032C"/>
    <w:rsid w:val="002011AB"/>
    <w:rsid w:val="00202B28"/>
    <w:rsid w:val="00202DAD"/>
    <w:rsid w:val="00203EC2"/>
    <w:rsid w:val="002052FC"/>
    <w:rsid w:val="00206BF8"/>
    <w:rsid w:val="002076BF"/>
    <w:rsid w:val="00207997"/>
    <w:rsid w:val="00210C9F"/>
    <w:rsid w:val="00211083"/>
    <w:rsid w:val="00212CEB"/>
    <w:rsid w:val="00213097"/>
    <w:rsid w:val="002149A8"/>
    <w:rsid w:val="00216407"/>
    <w:rsid w:val="002172A4"/>
    <w:rsid w:val="00237FF7"/>
    <w:rsid w:val="0024328A"/>
    <w:rsid w:val="00244966"/>
    <w:rsid w:val="00244E14"/>
    <w:rsid w:val="002518EB"/>
    <w:rsid w:val="00253D6E"/>
    <w:rsid w:val="00262A40"/>
    <w:rsid w:val="002630AA"/>
    <w:rsid w:val="0026391D"/>
    <w:rsid w:val="00281242"/>
    <w:rsid w:val="00282ACF"/>
    <w:rsid w:val="00282C67"/>
    <w:rsid w:val="00282CD6"/>
    <w:rsid w:val="00284A0D"/>
    <w:rsid w:val="002861BB"/>
    <w:rsid w:val="002A005A"/>
    <w:rsid w:val="002A02BE"/>
    <w:rsid w:val="002A036A"/>
    <w:rsid w:val="002A0678"/>
    <w:rsid w:val="002B0113"/>
    <w:rsid w:val="002B4C0E"/>
    <w:rsid w:val="002B5D34"/>
    <w:rsid w:val="002B7839"/>
    <w:rsid w:val="002C3813"/>
    <w:rsid w:val="002C3829"/>
    <w:rsid w:val="002C5647"/>
    <w:rsid w:val="002C63D0"/>
    <w:rsid w:val="002C6F6D"/>
    <w:rsid w:val="002D05F7"/>
    <w:rsid w:val="002D21E2"/>
    <w:rsid w:val="002D2DD4"/>
    <w:rsid w:val="002D47DF"/>
    <w:rsid w:val="002D4CE2"/>
    <w:rsid w:val="002E3E89"/>
    <w:rsid w:val="002E7E3F"/>
    <w:rsid w:val="002F0C70"/>
    <w:rsid w:val="002F0EB8"/>
    <w:rsid w:val="00301CE4"/>
    <w:rsid w:val="0030480A"/>
    <w:rsid w:val="0030607B"/>
    <w:rsid w:val="00306871"/>
    <w:rsid w:val="00313D90"/>
    <w:rsid w:val="00314662"/>
    <w:rsid w:val="00315C6E"/>
    <w:rsid w:val="00317280"/>
    <w:rsid w:val="00320EFA"/>
    <w:rsid w:val="0032117F"/>
    <w:rsid w:val="00325D9A"/>
    <w:rsid w:val="00326B65"/>
    <w:rsid w:val="003311D6"/>
    <w:rsid w:val="00332513"/>
    <w:rsid w:val="00332654"/>
    <w:rsid w:val="0033380D"/>
    <w:rsid w:val="0033654A"/>
    <w:rsid w:val="00336E04"/>
    <w:rsid w:val="003377EB"/>
    <w:rsid w:val="003424A3"/>
    <w:rsid w:val="00342D54"/>
    <w:rsid w:val="00352778"/>
    <w:rsid w:val="00353B4C"/>
    <w:rsid w:val="00353E7F"/>
    <w:rsid w:val="003573F5"/>
    <w:rsid w:val="0036063E"/>
    <w:rsid w:val="00362761"/>
    <w:rsid w:val="0037249C"/>
    <w:rsid w:val="00372697"/>
    <w:rsid w:val="00374D9B"/>
    <w:rsid w:val="0037628B"/>
    <w:rsid w:val="00376768"/>
    <w:rsid w:val="00376FAC"/>
    <w:rsid w:val="003812AB"/>
    <w:rsid w:val="00381847"/>
    <w:rsid w:val="003818E3"/>
    <w:rsid w:val="00386834"/>
    <w:rsid w:val="0039336E"/>
    <w:rsid w:val="00396725"/>
    <w:rsid w:val="003A0BBD"/>
    <w:rsid w:val="003A3C41"/>
    <w:rsid w:val="003B0178"/>
    <w:rsid w:val="003B1548"/>
    <w:rsid w:val="003B3B42"/>
    <w:rsid w:val="003B5730"/>
    <w:rsid w:val="003B7EA9"/>
    <w:rsid w:val="003C5258"/>
    <w:rsid w:val="003D01B5"/>
    <w:rsid w:val="003D212B"/>
    <w:rsid w:val="003D2623"/>
    <w:rsid w:val="003D4984"/>
    <w:rsid w:val="003E5556"/>
    <w:rsid w:val="003E7003"/>
    <w:rsid w:val="003E7116"/>
    <w:rsid w:val="003F26CC"/>
    <w:rsid w:val="003F2FED"/>
    <w:rsid w:val="0040114F"/>
    <w:rsid w:val="00411CB2"/>
    <w:rsid w:val="00412202"/>
    <w:rsid w:val="004141C1"/>
    <w:rsid w:val="00416C61"/>
    <w:rsid w:val="0041734A"/>
    <w:rsid w:val="004176DA"/>
    <w:rsid w:val="00422331"/>
    <w:rsid w:val="00423654"/>
    <w:rsid w:val="00423A5A"/>
    <w:rsid w:val="00431A90"/>
    <w:rsid w:val="004322A9"/>
    <w:rsid w:val="0043414E"/>
    <w:rsid w:val="00437F07"/>
    <w:rsid w:val="0044294D"/>
    <w:rsid w:val="0044515D"/>
    <w:rsid w:val="004474AB"/>
    <w:rsid w:val="00457326"/>
    <w:rsid w:val="00457E1D"/>
    <w:rsid w:val="00457EC0"/>
    <w:rsid w:val="00463318"/>
    <w:rsid w:val="00464B72"/>
    <w:rsid w:val="00470A99"/>
    <w:rsid w:val="00470E5F"/>
    <w:rsid w:val="004729B9"/>
    <w:rsid w:val="00475BAA"/>
    <w:rsid w:val="0047695F"/>
    <w:rsid w:val="00476AB2"/>
    <w:rsid w:val="004855CC"/>
    <w:rsid w:val="004864CE"/>
    <w:rsid w:val="00486E89"/>
    <w:rsid w:val="004917A3"/>
    <w:rsid w:val="00495B3A"/>
    <w:rsid w:val="004965CD"/>
    <w:rsid w:val="00497902"/>
    <w:rsid w:val="004A3C26"/>
    <w:rsid w:val="004B30A9"/>
    <w:rsid w:val="004B54EB"/>
    <w:rsid w:val="004C427D"/>
    <w:rsid w:val="004C5AC6"/>
    <w:rsid w:val="004C67DB"/>
    <w:rsid w:val="004D12FA"/>
    <w:rsid w:val="004D2CD0"/>
    <w:rsid w:val="004D3399"/>
    <w:rsid w:val="004D3B71"/>
    <w:rsid w:val="004D702A"/>
    <w:rsid w:val="004E228F"/>
    <w:rsid w:val="004E49E4"/>
    <w:rsid w:val="004E56BA"/>
    <w:rsid w:val="004E5F2D"/>
    <w:rsid w:val="004E7C36"/>
    <w:rsid w:val="004F3CBC"/>
    <w:rsid w:val="004F78ED"/>
    <w:rsid w:val="0050469B"/>
    <w:rsid w:val="00504CD1"/>
    <w:rsid w:val="00506C2C"/>
    <w:rsid w:val="00511D62"/>
    <w:rsid w:val="00514330"/>
    <w:rsid w:val="005171AB"/>
    <w:rsid w:val="00524D34"/>
    <w:rsid w:val="005272CD"/>
    <w:rsid w:val="0053067F"/>
    <w:rsid w:val="00531807"/>
    <w:rsid w:val="005406EA"/>
    <w:rsid w:val="00544B5E"/>
    <w:rsid w:val="00544C35"/>
    <w:rsid w:val="00551A56"/>
    <w:rsid w:val="005542D0"/>
    <w:rsid w:val="0055430E"/>
    <w:rsid w:val="005544A2"/>
    <w:rsid w:val="00556891"/>
    <w:rsid w:val="00561C20"/>
    <w:rsid w:val="00566444"/>
    <w:rsid w:val="005731A3"/>
    <w:rsid w:val="0057352C"/>
    <w:rsid w:val="00576A66"/>
    <w:rsid w:val="00577EFF"/>
    <w:rsid w:val="00580063"/>
    <w:rsid w:val="005844ED"/>
    <w:rsid w:val="005858D7"/>
    <w:rsid w:val="005878B8"/>
    <w:rsid w:val="00590095"/>
    <w:rsid w:val="005917EE"/>
    <w:rsid w:val="00595119"/>
    <w:rsid w:val="005964A0"/>
    <w:rsid w:val="005A1409"/>
    <w:rsid w:val="005A142F"/>
    <w:rsid w:val="005A17FF"/>
    <w:rsid w:val="005A3648"/>
    <w:rsid w:val="005A5DEF"/>
    <w:rsid w:val="005A6061"/>
    <w:rsid w:val="005A7B9D"/>
    <w:rsid w:val="005B0846"/>
    <w:rsid w:val="005B1320"/>
    <w:rsid w:val="005C00E9"/>
    <w:rsid w:val="005C2761"/>
    <w:rsid w:val="005C3A05"/>
    <w:rsid w:val="005C3DD0"/>
    <w:rsid w:val="005C5001"/>
    <w:rsid w:val="005C63C8"/>
    <w:rsid w:val="005D23CA"/>
    <w:rsid w:val="005D269B"/>
    <w:rsid w:val="005D43FC"/>
    <w:rsid w:val="005D5F98"/>
    <w:rsid w:val="005E69C6"/>
    <w:rsid w:val="005F01FD"/>
    <w:rsid w:val="005F0DAD"/>
    <w:rsid w:val="005F30A7"/>
    <w:rsid w:val="005F3A8E"/>
    <w:rsid w:val="006004AA"/>
    <w:rsid w:val="006029AB"/>
    <w:rsid w:val="00604FBA"/>
    <w:rsid w:val="00606AA7"/>
    <w:rsid w:val="00610235"/>
    <w:rsid w:val="00611CEE"/>
    <w:rsid w:val="00613F63"/>
    <w:rsid w:val="00632405"/>
    <w:rsid w:val="00633D23"/>
    <w:rsid w:val="00633E4D"/>
    <w:rsid w:val="00634302"/>
    <w:rsid w:val="00635865"/>
    <w:rsid w:val="00637C8B"/>
    <w:rsid w:val="006429B1"/>
    <w:rsid w:val="00642A0D"/>
    <w:rsid w:val="00644F30"/>
    <w:rsid w:val="00646DDD"/>
    <w:rsid w:val="006548B9"/>
    <w:rsid w:val="006561AC"/>
    <w:rsid w:val="00661F42"/>
    <w:rsid w:val="00662C01"/>
    <w:rsid w:val="00662DC8"/>
    <w:rsid w:val="006640B7"/>
    <w:rsid w:val="006668B1"/>
    <w:rsid w:val="0066691C"/>
    <w:rsid w:val="00673F0A"/>
    <w:rsid w:val="00685B59"/>
    <w:rsid w:val="00693A16"/>
    <w:rsid w:val="0069489D"/>
    <w:rsid w:val="006A4FDF"/>
    <w:rsid w:val="006A7945"/>
    <w:rsid w:val="006B1F7D"/>
    <w:rsid w:val="006B2CD0"/>
    <w:rsid w:val="006C591A"/>
    <w:rsid w:val="006D1C9E"/>
    <w:rsid w:val="006D478A"/>
    <w:rsid w:val="006D63C4"/>
    <w:rsid w:val="006E42D1"/>
    <w:rsid w:val="006E5BD7"/>
    <w:rsid w:val="006E7E89"/>
    <w:rsid w:val="006F40C5"/>
    <w:rsid w:val="006F42D1"/>
    <w:rsid w:val="006F50C2"/>
    <w:rsid w:val="007010D2"/>
    <w:rsid w:val="0070270A"/>
    <w:rsid w:val="00703730"/>
    <w:rsid w:val="00704FF7"/>
    <w:rsid w:val="00705481"/>
    <w:rsid w:val="0070676E"/>
    <w:rsid w:val="0071214D"/>
    <w:rsid w:val="00713C15"/>
    <w:rsid w:val="00724634"/>
    <w:rsid w:val="00724F12"/>
    <w:rsid w:val="00725D53"/>
    <w:rsid w:val="0072683F"/>
    <w:rsid w:val="00727C1F"/>
    <w:rsid w:val="00731135"/>
    <w:rsid w:val="0074570A"/>
    <w:rsid w:val="00747FCD"/>
    <w:rsid w:val="0075310C"/>
    <w:rsid w:val="00753180"/>
    <w:rsid w:val="007565B5"/>
    <w:rsid w:val="00757337"/>
    <w:rsid w:val="00757E02"/>
    <w:rsid w:val="007614BF"/>
    <w:rsid w:val="0077564D"/>
    <w:rsid w:val="00786599"/>
    <w:rsid w:val="00786E97"/>
    <w:rsid w:val="00793441"/>
    <w:rsid w:val="0079425E"/>
    <w:rsid w:val="007A5107"/>
    <w:rsid w:val="007A5FD3"/>
    <w:rsid w:val="007B1848"/>
    <w:rsid w:val="007B1D95"/>
    <w:rsid w:val="007B4287"/>
    <w:rsid w:val="007B56DA"/>
    <w:rsid w:val="007B5725"/>
    <w:rsid w:val="007C08E5"/>
    <w:rsid w:val="007D2902"/>
    <w:rsid w:val="007D3AFD"/>
    <w:rsid w:val="007D3EAE"/>
    <w:rsid w:val="007D6EAE"/>
    <w:rsid w:val="007D7120"/>
    <w:rsid w:val="007E1827"/>
    <w:rsid w:val="007E2D5C"/>
    <w:rsid w:val="007E3641"/>
    <w:rsid w:val="007E46C5"/>
    <w:rsid w:val="007F44D2"/>
    <w:rsid w:val="007F472F"/>
    <w:rsid w:val="008016FF"/>
    <w:rsid w:val="00801AF6"/>
    <w:rsid w:val="00802576"/>
    <w:rsid w:val="00811093"/>
    <w:rsid w:val="00814301"/>
    <w:rsid w:val="00814BFC"/>
    <w:rsid w:val="00821A4C"/>
    <w:rsid w:val="00822087"/>
    <w:rsid w:val="008224AA"/>
    <w:rsid w:val="00824779"/>
    <w:rsid w:val="00834011"/>
    <w:rsid w:val="00842C29"/>
    <w:rsid w:val="00843FA9"/>
    <w:rsid w:val="008477FB"/>
    <w:rsid w:val="00851D20"/>
    <w:rsid w:val="00851DB8"/>
    <w:rsid w:val="00852923"/>
    <w:rsid w:val="00861B52"/>
    <w:rsid w:val="008648F3"/>
    <w:rsid w:val="008653C3"/>
    <w:rsid w:val="00865728"/>
    <w:rsid w:val="00867E6D"/>
    <w:rsid w:val="0087544F"/>
    <w:rsid w:val="0087597C"/>
    <w:rsid w:val="00875BB5"/>
    <w:rsid w:val="00875BD9"/>
    <w:rsid w:val="00886FB4"/>
    <w:rsid w:val="00892AFE"/>
    <w:rsid w:val="00897E4D"/>
    <w:rsid w:val="008A1C4A"/>
    <w:rsid w:val="008A1E1A"/>
    <w:rsid w:val="008A65FD"/>
    <w:rsid w:val="008B2269"/>
    <w:rsid w:val="008B5E1D"/>
    <w:rsid w:val="008C08E9"/>
    <w:rsid w:val="008C0D8A"/>
    <w:rsid w:val="008C3209"/>
    <w:rsid w:val="008D1C3C"/>
    <w:rsid w:val="008D2E93"/>
    <w:rsid w:val="008D2F95"/>
    <w:rsid w:val="008D3DF6"/>
    <w:rsid w:val="008D4BD6"/>
    <w:rsid w:val="008D7CBA"/>
    <w:rsid w:val="008E29AD"/>
    <w:rsid w:val="008E6CF1"/>
    <w:rsid w:val="008F4156"/>
    <w:rsid w:val="008F4FD0"/>
    <w:rsid w:val="008F55A7"/>
    <w:rsid w:val="00903568"/>
    <w:rsid w:val="00905874"/>
    <w:rsid w:val="00906530"/>
    <w:rsid w:val="00910355"/>
    <w:rsid w:val="009153A0"/>
    <w:rsid w:val="0091570D"/>
    <w:rsid w:val="00921046"/>
    <w:rsid w:val="0092398B"/>
    <w:rsid w:val="00924812"/>
    <w:rsid w:val="00926D84"/>
    <w:rsid w:val="00927B16"/>
    <w:rsid w:val="00930029"/>
    <w:rsid w:val="00930266"/>
    <w:rsid w:val="00930394"/>
    <w:rsid w:val="009352B1"/>
    <w:rsid w:val="00946067"/>
    <w:rsid w:val="009474BF"/>
    <w:rsid w:val="009527CB"/>
    <w:rsid w:val="00953627"/>
    <w:rsid w:val="00957E9C"/>
    <w:rsid w:val="009610C6"/>
    <w:rsid w:val="00962AF9"/>
    <w:rsid w:val="00964E07"/>
    <w:rsid w:val="00965929"/>
    <w:rsid w:val="009728D4"/>
    <w:rsid w:val="00975947"/>
    <w:rsid w:val="009807EA"/>
    <w:rsid w:val="00981C8E"/>
    <w:rsid w:val="00985948"/>
    <w:rsid w:val="009914CD"/>
    <w:rsid w:val="0099227C"/>
    <w:rsid w:val="00992FA6"/>
    <w:rsid w:val="009935D6"/>
    <w:rsid w:val="00996E02"/>
    <w:rsid w:val="009A0D2C"/>
    <w:rsid w:val="009B6CBD"/>
    <w:rsid w:val="009C2A2E"/>
    <w:rsid w:val="009C4A60"/>
    <w:rsid w:val="009C7BD2"/>
    <w:rsid w:val="009D4221"/>
    <w:rsid w:val="009D7C81"/>
    <w:rsid w:val="009E25AD"/>
    <w:rsid w:val="009E2E8E"/>
    <w:rsid w:val="009E6A0A"/>
    <w:rsid w:val="009F2DFB"/>
    <w:rsid w:val="009F4173"/>
    <w:rsid w:val="009F58BC"/>
    <w:rsid w:val="009F5A20"/>
    <w:rsid w:val="009F626B"/>
    <w:rsid w:val="009F6773"/>
    <w:rsid w:val="00A030A8"/>
    <w:rsid w:val="00A05194"/>
    <w:rsid w:val="00A065D8"/>
    <w:rsid w:val="00A069F6"/>
    <w:rsid w:val="00A112A8"/>
    <w:rsid w:val="00A143D4"/>
    <w:rsid w:val="00A15ED8"/>
    <w:rsid w:val="00A17BAC"/>
    <w:rsid w:val="00A24E42"/>
    <w:rsid w:val="00A24E70"/>
    <w:rsid w:val="00A273EC"/>
    <w:rsid w:val="00A301A3"/>
    <w:rsid w:val="00A30EB6"/>
    <w:rsid w:val="00A36B97"/>
    <w:rsid w:val="00A40657"/>
    <w:rsid w:val="00A50351"/>
    <w:rsid w:val="00A5508B"/>
    <w:rsid w:val="00A57785"/>
    <w:rsid w:val="00A63C3D"/>
    <w:rsid w:val="00A64052"/>
    <w:rsid w:val="00A67785"/>
    <w:rsid w:val="00A72A38"/>
    <w:rsid w:val="00A830B5"/>
    <w:rsid w:val="00A84D19"/>
    <w:rsid w:val="00A850C6"/>
    <w:rsid w:val="00A858B3"/>
    <w:rsid w:val="00A93516"/>
    <w:rsid w:val="00AA2675"/>
    <w:rsid w:val="00AA6234"/>
    <w:rsid w:val="00AB0AF5"/>
    <w:rsid w:val="00AB0F13"/>
    <w:rsid w:val="00AB40A0"/>
    <w:rsid w:val="00AB5343"/>
    <w:rsid w:val="00AB54B6"/>
    <w:rsid w:val="00AB6A9B"/>
    <w:rsid w:val="00AC0BE6"/>
    <w:rsid w:val="00AC2ECA"/>
    <w:rsid w:val="00AD21C9"/>
    <w:rsid w:val="00AD45B1"/>
    <w:rsid w:val="00AD4A9F"/>
    <w:rsid w:val="00AD774C"/>
    <w:rsid w:val="00AE01F3"/>
    <w:rsid w:val="00AE19C5"/>
    <w:rsid w:val="00AF684E"/>
    <w:rsid w:val="00AF6A7F"/>
    <w:rsid w:val="00B00088"/>
    <w:rsid w:val="00B0355D"/>
    <w:rsid w:val="00B03EC8"/>
    <w:rsid w:val="00B05688"/>
    <w:rsid w:val="00B070F5"/>
    <w:rsid w:val="00B14CA6"/>
    <w:rsid w:val="00B25389"/>
    <w:rsid w:val="00B27491"/>
    <w:rsid w:val="00B27E07"/>
    <w:rsid w:val="00B318E9"/>
    <w:rsid w:val="00B353A1"/>
    <w:rsid w:val="00B45764"/>
    <w:rsid w:val="00B50165"/>
    <w:rsid w:val="00B51807"/>
    <w:rsid w:val="00B55E77"/>
    <w:rsid w:val="00B65334"/>
    <w:rsid w:val="00B71B88"/>
    <w:rsid w:val="00B751B9"/>
    <w:rsid w:val="00B76A0D"/>
    <w:rsid w:val="00B81CF5"/>
    <w:rsid w:val="00B83143"/>
    <w:rsid w:val="00B92E5D"/>
    <w:rsid w:val="00B96168"/>
    <w:rsid w:val="00B97547"/>
    <w:rsid w:val="00B97FFA"/>
    <w:rsid w:val="00BA0A58"/>
    <w:rsid w:val="00BA0DFB"/>
    <w:rsid w:val="00BA5C23"/>
    <w:rsid w:val="00BB0533"/>
    <w:rsid w:val="00BB6480"/>
    <w:rsid w:val="00BC33DD"/>
    <w:rsid w:val="00BC3950"/>
    <w:rsid w:val="00BD2775"/>
    <w:rsid w:val="00BD2811"/>
    <w:rsid w:val="00BD4071"/>
    <w:rsid w:val="00BE0160"/>
    <w:rsid w:val="00BE385B"/>
    <w:rsid w:val="00BE7CB6"/>
    <w:rsid w:val="00C019FE"/>
    <w:rsid w:val="00C03579"/>
    <w:rsid w:val="00C07BEE"/>
    <w:rsid w:val="00C11357"/>
    <w:rsid w:val="00C16A88"/>
    <w:rsid w:val="00C16D4D"/>
    <w:rsid w:val="00C2395F"/>
    <w:rsid w:val="00C24228"/>
    <w:rsid w:val="00C251C7"/>
    <w:rsid w:val="00C2609A"/>
    <w:rsid w:val="00C32486"/>
    <w:rsid w:val="00C3294E"/>
    <w:rsid w:val="00C35DC0"/>
    <w:rsid w:val="00C4139B"/>
    <w:rsid w:val="00C44069"/>
    <w:rsid w:val="00C50049"/>
    <w:rsid w:val="00C52614"/>
    <w:rsid w:val="00C531CF"/>
    <w:rsid w:val="00C54959"/>
    <w:rsid w:val="00C60CEB"/>
    <w:rsid w:val="00C64074"/>
    <w:rsid w:val="00C656BF"/>
    <w:rsid w:val="00C6627F"/>
    <w:rsid w:val="00C70E9A"/>
    <w:rsid w:val="00C71802"/>
    <w:rsid w:val="00C779D9"/>
    <w:rsid w:val="00C94DC3"/>
    <w:rsid w:val="00CA0341"/>
    <w:rsid w:val="00CA0C93"/>
    <w:rsid w:val="00CA0D82"/>
    <w:rsid w:val="00CA196C"/>
    <w:rsid w:val="00CA3973"/>
    <w:rsid w:val="00CA3CA6"/>
    <w:rsid w:val="00CA3EAA"/>
    <w:rsid w:val="00CA44EB"/>
    <w:rsid w:val="00CB5E04"/>
    <w:rsid w:val="00CC06F2"/>
    <w:rsid w:val="00CC08A0"/>
    <w:rsid w:val="00CC10D5"/>
    <w:rsid w:val="00CC1277"/>
    <w:rsid w:val="00CC65BD"/>
    <w:rsid w:val="00CC7036"/>
    <w:rsid w:val="00CD0718"/>
    <w:rsid w:val="00CD0DBB"/>
    <w:rsid w:val="00CD26FF"/>
    <w:rsid w:val="00CD7862"/>
    <w:rsid w:val="00CE0F56"/>
    <w:rsid w:val="00CE1E09"/>
    <w:rsid w:val="00CE3AE8"/>
    <w:rsid w:val="00CE5851"/>
    <w:rsid w:val="00CF08C2"/>
    <w:rsid w:val="00CF1DC7"/>
    <w:rsid w:val="00CF30D1"/>
    <w:rsid w:val="00CF4118"/>
    <w:rsid w:val="00CF6F1D"/>
    <w:rsid w:val="00D0499B"/>
    <w:rsid w:val="00D05990"/>
    <w:rsid w:val="00D13E38"/>
    <w:rsid w:val="00D16496"/>
    <w:rsid w:val="00D203B5"/>
    <w:rsid w:val="00D20D27"/>
    <w:rsid w:val="00D25654"/>
    <w:rsid w:val="00D30574"/>
    <w:rsid w:val="00D33D29"/>
    <w:rsid w:val="00D349D0"/>
    <w:rsid w:val="00D455CB"/>
    <w:rsid w:val="00D45BF0"/>
    <w:rsid w:val="00D45FE8"/>
    <w:rsid w:val="00D466A4"/>
    <w:rsid w:val="00D477D9"/>
    <w:rsid w:val="00D530B2"/>
    <w:rsid w:val="00D55429"/>
    <w:rsid w:val="00D57BC9"/>
    <w:rsid w:val="00D65803"/>
    <w:rsid w:val="00D71F7F"/>
    <w:rsid w:val="00D72D25"/>
    <w:rsid w:val="00D759F5"/>
    <w:rsid w:val="00D76CCC"/>
    <w:rsid w:val="00D76FCA"/>
    <w:rsid w:val="00D80B29"/>
    <w:rsid w:val="00D8387D"/>
    <w:rsid w:val="00D864AD"/>
    <w:rsid w:val="00D97B70"/>
    <w:rsid w:val="00DA1A99"/>
    <w:rsid w:val="00DA1FBD"/>
    <w:rsid w:val="00DA35C1"/>
    <w:rsid w:val="00DB17A7"/>
    <w:rsid w:val="00DB39DF"/>
    <w:rsid w:val="00DB6010"/>
    <w:rsid w:val="00DC13E8"/>
    <w:rsid w:val="00DC2140"/>
    <w:rsid w:val="00DD3D9F"/>
    <w:rsid w:val="00DD45D8"/>
    <w:rsid w:val="00DE26B4"/>
    <w:rsid w:val="00DE3A23"/>
    <w:rsid w:val="00DE5697"/>
    <w:rsid w:val="00DE57DC"/>
    <w:rsid w:val="00DE75C2"/>
    <w:rsid w:val="00DF0DC9"/>
    <w:rsid w:val="00DF0FD0"/>
    <w:rsid w:val="00DF4065"/>
    <w:rsid w:val="00DF657F"/>
    <w:rsid w:val="00E03A6B"/>
    <w:rsid w:val="00E03B5E"/>
    <w:rsid w:val="00E21355"/>
    <w:rsid w:val="00E217A9"/>
    <w:rsid w:val="00E32B14"/>
    <w:rsid w:val="00E32B38"/>
    <w:rsid w:val="00E35EF8"/>
    <w:rsid w:val="00E37485"/>
    <w:rsid w:val="00E37D65"/>
    <w:rsid w:val="00E43636"/>
    <w:rsid w:val="00E4537A"/>
    <w:rsid w:val="00E45F35"/>
    <w:rsid w:val="00E52767"/>
    <w:rsid w:val="00E537DE"/>
    <w:rsid w:val="00E57AD1"/>
    <w:rsid w:val="00E61C44"/>
    <w:rsid w:val="00E66101"/>
    <w:rsid w:val="00E665B0"/>
    <w:rsid w:val="00E72566"/>
    <w:rsid w:val="00E834D1"/>
    <w:rsid w:val="00E84054"/>
    <w:rsid w:val="00E8577A"/>
    <w:rsid w:val="00E8647B"/>
    <w:rsid w:val="00E86D60"/>
    <w:rsid w:val="00E87E45"/>
    <w:rsid w:val="00E92676"/>
    <w:rsid w:val="00E92CD0"/>
    <w:rsid w:val="00E93486"/>
    <w:rsid w:val="00EA1A8A"/>
    <w:rsid w:val="00EA2748"/>
    <w:rsid w:val="00EA4229"/>
    <w:rsid w:val="00EA4C78"/>
    <w:rsid w:val="00EA5A39"/>
    <w:rsid w:val="00EA6409"/>
    <w:rsid w:val="00EB3838"/>
    <w:rsid w:val="00EB3E2C"/>
    <w:rsid w:val="00EB798F"/>
    <w:rsid w:val="00EB7B84"/>
    <w:rsid w:val="00EC1A1B"/>
    <w:rsid w:val="00EC1A3E"/>
    <w:rsid w:val="00EC68EF"/>
    <w:rsid w:val="00EC74C8"/>
    <w:rsid w:val="00ED0268"/>
    <w:rsid w:val="00ED12B1"/>
    <w:rsid w:val="00ED1681"/>
    <w:rsid w:val="00ED27D9"/>
    <w:rsid w:val="00ED609F"/>
    <w:rsid w:val="00ED6DBD"/>
    <w:rsid w:val="00EE085B"/>
    <w:rsid w:val="00EE0F28"/>
    <w:rsid w:val="00EE1ABF"/>
    <w:rsid w:val="00EE6564"/>
    <w:rsid w:val="00EF254A"/>
    <w:rsid w:val="00EF2A17"/>
    <w:rsid w:val="00EF4745"/>
    <w:rsid w:val="00EF505D"/>
    <w:rsid w:val="00F016D1"/>
    <w:rsid w:val="00F02ADB"/>
    <w:rsid w:val="00F03449"/>
    <w:rsid w:val="00F04650"/>
    <w:rsid w:val="00F06E6D"/>
    <w:rsid w:val="00F07181"/>
    <w:rsid w:val="00F07908"/>
    <w:rsid w:val="00F10683"/>
    <w:rsid w:val="00F1166F"/>
    <w:rsid w:val="00F11DB4"/>
    <w:rsid w:val="00F161A9"/>
    <w:rsid w:val="00F2030C"/>
    <w:rsid w:val="00F20466"/>
    <w:rsid w:val="00F21C3C"/>
    <w:rsid w:val="00F23963"/>
    <w:rsid w:val="00F31B09"/>
    <w:rsid w:val="00F33576"/>
    <w:rsid w:val="00F348B0"/>
    <w:rsid w:val="00F36A11"/>
    <w:rsid w:val="00F41932"/>
    <w:rsid w:val="00F42CAF"/>
    <w:rsid w:val="00F50983"/>
    <w:rsid w:val="00F54146"/>
    <w:rsid w:val="00F5484B"/>
    <w:rsid w:val="00F6177E"/>
    <w:rsid w:val="00F618AF"/>
    <w:rsid w:val="00F63CA2"/>
    <w:rsid w:val="00F66DB8"/>
    <w:rsid w:val="00F70F1D"/>
    <w:rsid w:val="00F760A5"/>
    <w:rsid w:val="00F8280F"/>
    <w:rsid w:val="00F8287E"/>
    <w:rsid w:val="00F83D0D"/>
    <w:rsid w:val="00F854E0"/>
    <w:rsid w:val="00F90186"/>
    <w:rsid w:val="00F92029"/>
    <w:rsid w:val="00F9247F"/>
    <w:rsid w:val="00F93904"/>
    <w:rsid w:val="00FA08A9"/>
    <w:rsid w:val="00FA44CC"/>
    <w:rsid w:val="00FA4A1D"/>
    <w:rsid w:val="00FB3C5A"/>
    <w:rsid w:val="00FB6AEE"/>
    <w:rsid w:val="00FB7E62"/>
    <w:rsid w:val="00FC0367"/>
    <w:rsid w:val="00FC2308"/>
    <w:rsid w:val="00FC6232"/>
    <w:rsid w:val="00FC7238"/>
    <w:rsid w:val="00FD0739"/>
    <w:rsid w:val="00FD274F"/>
    <w:rsid w:val="00FD4ED6"/>
    <w:rsid w:val="00FE1D40"/>
    <w:rsid w:val="00FE7CEE"/>
    <w:rsid w:val="00FF06B9"/>
    <w:rsid w:val="00FF29DA"/>
    <w:rsid w:val="00FF2D50"/>
    <w:rsid w:val="00FF4F06"/>
    <w:rsid w:val="00FF78D6"/>
    <w:rsid w:val="00FF7B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9B7ADA-7926-406B-9AF6-457954F70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6A66"/>
  </w:style>
  <w:style w:type="paragraph" w:styleId="Titre1">
    <w:name w:val="heading 1"/>
    <w:aliases w:val="PND1"/>
    <w:next w:val="Normal"/>
    <w:link w:val="Heading1Char"/>
    <w:autoRedefine/>
    <w:uiPriority w:val="9"/>
    <w:qFormat/>
    <w:rsid w:val="005D43FC"/>
    <w:pPr>
      <w:keepNext/>
      <w:keepLines/>
      <w:spacing w:after="120"/>
      <w:ind w:left="284" w:hanging="284"/>
      <w:jc w:val="both"/>
      <w:outlineLvl w:val="0"/>
    </w:pPr>
    <w:rPr>
      <w:rFonts w:ascii="Helvetica" w:eastAsiaTheme="majorEastAsia" w:hAnsi="Helvetica" w:cstheme="majorBidi"/>
      <w:b/>
      <w:bCs/>
      <w:color w:val="00B050"/>
      <w:sz w:val="28"/>
      <w:szCs w:val="28"/>
    </w:rPr>
  </w:style>
  <w:style w:type="paragraph" w:styleId="Titre2">
    <w:name w:val="heading 2"/>
    <w:aliases w:val="PND2"/>
    <w:next w:val="Normal"/>
    <w:link w:val="Heading2Char"/>
    <w:autoRedefine/>
    <w:uiPriority w:val="9"/>
    <w:unhideWhenUsed/>
    <w:qFormat/>
    <w:rsid w:val="00ED27D9"/>
    <w:pPr>
      <w:spacing w:before="240" w:after="0" w:line="240" w:lineRule="auto"/>
      <w:ind w:left="426" w:hanging="426"/>
      <w:jc w:val="both"/>
      <w:outlineLvl w:val="1"/>
    </w:pPr>
    <w:rPr>
      <w:rFonts w:ascii="Helvetica" w:eastAsia="Times New Roman" w:hAnsi="Helvetica" w:cs="Times New Roman"/>
      <w:b/>
      <w:color w:val="C0504D" w:themeColor="accent2"/>
      <w:sz w:val="28"/>
      <w:szCs w:val="24"/>
      <w:u w:color="000000"/>
      <w:bdr w:val="nil"/>
    </w:rPr>
  </w:style>
  <w:style w:type="paragraph" w:styleId="Titre3">
    <w:name w:val="heading 3"/>
    <w:aliases w:val="PND3"/>
    <w:next w:val="Normal"/>
    <w:link w:val="Heading3Char"/>
    <w:autoRedefine/>
    <w:uiPriority w:val="9"/>
    <w:unhideWhenUsed/>
    <w:qFormat/>
    <w:rsid w:val="00BD2775"/>
    <w:pPr>
      <w:keepNext/>
      <w:spacing w:before="240" w:after="60"/>
      <w:ind w:left="709" w:hanging="709"/>
      <w:outlineLvl w:val="2"/>
    </w:pPr>
    <w:rPr>
      <w:rFonts w:ascii="Times New Roman" w:eastAsia="Times New Roman" w:hAnsi="Times New Roman" w:cs="Times New Roman"/>
      <w:b/>
      <w:bCs/>
      <w:i/>
      <w:sz w:val="28"/>
      <w:szCs w:val="24"/>
      <w:u w:color="000000"/>
      <w:bdr w:val="nil"/>
    </w:rPr>
  </w:style>
  <w:style w:type="paragraph" w:styleId="Titre4">
    <w:name w:val="heading 4"/>
    <w:aliases w:val="PND4"/>
    <w:next w:val="Normal"/>
    <w:link w:val="Heading4Char"/>
    <w:autoRedefine/>
    <w:uiPriority w:val="9"/>
    <w:unhideWhenUsed/>
    <w:qFormat/>
    <w:rsid w:val="00DE3A23"/>
    <w:pPr>
      <w:keepNext/>
      <w:keepLines/>
      <w:spacing w:before="200" w:after="0"/>
      <w:outlineLvl w:val="3"/>
    </w:pPr>
    <w:rPr>
      <w:rFonts w:ascii="Times New Roman" w:eastAsiaTheme="majorEastAsia" w:hAnsi="Times New Roman" w:cstheme="majorBidi"/>
      <w:b/>
      <w:bCs/>
      <w:i/>
      <w:iCs/>
      <w:sz w:val="24"/>
    </w:rPr>
  </w:style>
  <w:style w:type="paragraph" w:styleId="Titre7">
    <w:name w:val="heading 7"/>
    <w:basedOn w:val="Normal"/>
    <w:next w:val="Normal"/>
    <w:link w:val="Heading7Char"/>
    <w:uiPriority w:val="9"/>
    <w:semiHidden/>
    <w:unhideWhenUsed/>
    <w:qFormat/>
    <w:rsid w:val="00DE3A2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aliases w:val="PND1 Char"/>
    <w:basedOn w:val="Policepardfaut"/>
    <w:link w:val="Titre1"/>
    <w:uiPriority w:val="9"/>
    <w:rsid w:val="005D43FC"/>
    <w:rPr>
      <w:rFonts w:ascii="Helvetica" w:eastAsiaTheme="majorEastAsia" w:hAnsi="Helvetica" w:cstheme="majorBidi"/>
      <w:b/>
      <w:bCs/>
      <w:color w:val="00B050"/>
      <w:sz w:val="28"/>
      <w:szCs w:val="28"/>
    </w:rPr>
  </w:style>
  <w:style w:type="character" w:customStyle="1" w:styleId="Heading2Char">
    <w:name w:val="Heading 2 Char"/>
    <w:aliases w:val="PND2 Char"/>
    <w:basedOn w:val="Policepardfaut"/>
    <w:link w:val="Titre2"/>
    <w:uiPriority w:val="9"/>
    <w:rsid w:val="00ED27D9"/>
    <w:rPr>
      <w:rFonts w:ascii="Helvetica" w:eastAsia="Times New Roman" w:hAnsi="Helvetica" w:cs="Times New Roman"/>
      <w:b/>
      <w:color w:val="C0504D" w:themeColor="accent2"/>
      <w:sz w:val="28"/>
      <w:szCs w:val="24"/>
      <w:u w:color="000000"/>
      <w:bdr w:val="nil"/>
    </w:rPr>
  </w:style>
  <w:style w:type="character" w:customStyle="1" w:styleId="Heading3Char">
    <w:name w:val="Heading 3 Char"/>
    <w:aliases w:val="PND3 Char"/>
    <w:basedOn w:val="Policepardfaut"/>
    <w:link w:val="Titre3"/>
    <w:uiPriority w:val="9"/>
    <w:rsid w:val="00BD2775"/>
    <w:rPr>
      <w:rFonts w:ascii="Times New Roman" w:eastAsia="Times New Roman" w:hAnsi="Times New Roman" w:cs="Times New Roman"/>
      <w:b/>
      <w:bCs/>
      <w:i/>
      <w:sz w:val="28"/>
      <w:szCs w:val="24"/>
      <w:u w:color="000000"/>
      <w:bdr w:val="nil"/>
    </w:rPr>
  </w:style>
  <w:style w:type="character" w:customStyle="1" w:styleId="Heading4Char">
    <w:name w:val="Heading 4 Char"/>
    <w:aliases w:val="PND4 Char"/>
    <w:basedOn w:val="Policepardfaut"/>
    <w:link w:val="Titre4"/>
    <w:uiPriority w:val="9"/>
    <w:rsid w:val="00DE3A23"/>
    <w:rPr>
      <w:rFonts w:ascii="Times New Roman" w:eastAsiaTheme="majorEastAsia" w:hAnsi="Times New Roman" w:cstheme="majorBidi"/>
      <w:b/>
      <w:bCs/>
      <w:i/>
      <w:iCs/>
      <w:sz w:val="24"/>
    </w:rPr>
  </w:style>
  <w:style w:type="character" w:customStyle="1" w:styleId="Heading7Char">
    <w:name w:val="Heading 7 Char"/>
    <w:basedOn w:val="Policepardfaut"/>
    <w:link w:val="Titre7"/>
    <w:uiPriority w:val="9"/>
    <w:semiHidden/>
    <w:rsid w:val="00DE3A23"/>
    <w:rPr>
      <w:rFonts w:asciiTheme="majorHAnsi" w:eastAsiaTheme="majorEastAsia" w:hAnsiTheme="majorHAnsi" w:cstheme="majorBidi"/>
      <w:i/>
      <w:iCs/>
      <w:color w:val="404040" w:themeColor="text1" w:themeTint="BF"/>
    </w:rPr>
  </w:style>
  <w:style w:type="paragraph" w:styleId="Sous-titre">
    <w:name w:val="Subtitle"/>
    <w:aliases w:val="GraphPND"/>
    <w:next w:val="Normal"/>
    <w:link w:val="SubtitleChar"/>
    <w:autoRedefine/>
    <w:uiPriority w:val="11"/>
    <w:qFormat/>
    <w:rsid w:val="00DE3A23"/>
    <w:pPr>
      <w:spacing w:after="60"/>
      <w:outlineLvl w:val="1"/>
    </w:pPr>
    <w:rPr>
      <w:rFonts w:ascii="Times New Roman" w:eastAsia="Times New Roman" w:hAnsi="Times New Roman" w:cs="Times New Roman"/>
      <w:b/>
      <w:sz w:val="24"/>
      <w:szCs w:val="24"/>
    </w:rPr>
  </w:style>
  <w:style w:type="character" w:customStyle="1" w:styleId="SubtitleChar">
    <w:name w:val="Subtitle Char"/>
    <w:aliases w:val="GraphPND Char"/>
    <w:basedOn w:val="Policepardfaut"/>
    <w:link w:val="Sous-titre"/>
    <w:uiPriority w:val="11"/>
    <w:rsid w:val="00DE3A23"/>
    <w:rPr>
      <w:rFonts w:ascii="Times New Roman" w:eastAsia="Times New Roman" w:hAnsi="Times New Roman" w:cs="Times New Roman"/>
      <w:b/>
      <w:sz w:val="24"/>
      <w:szCs w:val="24"/>
    </w:rPr>
  </w:style>
  <w:style w:type="paragraph" w:customStyle="1" w:styleId="Default">
    <w:name w:val="Default"/>
    <w:link w:val="DefaultCar"/>
    <w:rsid w:val="00DE3A2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ar">
    <w:name w:val="Default Car"/>
    <w:basedOn w:val="Policepardfaut"/>
    <w:link w:val="Default"/>
    <w:rsid w:val="00DE3A23"/>
    <w:rPr>
      <w:rFonts w:ascii="Times New Roman" w:hAnsi="Times New Roman" w:cs="Times New Roman"/>
      <w:color w:val="000000"/>
      <w:sz w:val="24"/>
      <w:szCs w:val="24"/>
    </w:rPr>
  </w:style>
  <w:style w:type="paragraph" w:styleId="Paragraphedeliste">
    <w:name w:val="List Paragraph"/>
    <w:aliases w:val="Numbered paragraph,Bullets,References,FIDA liste,List Paragraph1,Liste couleur - Accent 11,Colorful List - Accent 11,Liste couleur - Accent 111,List bullet,Paragraphe de liste1,Indent Paragraph,List Paragraph (numbered (a))"/>
    <w:basedOn w:val="Normal"/>
    <w:link w:val="ListParagraphChar"/>
    <w:uiPriority w:val="34"/>
    <w:qFormat/>
    <w:rsid w:val="00DE3A23"/>
    <w:pPr>
      <w:ind w:left="720"/>
      <w:contextualSpacing/>
    </w:pPr>
  </w:style>
  <w:style w:type="character" w:customStyle="1" w:styleId="ListParagraphChar">
    <w:name w:val="List Paragraph Char"/>
    <w:aliases w:val="Numbered paragraph Char,Bullets Char,References Char,FIDA liste Char,List Paragraph1 Char,Liste couleur - Accent 11 Char,Colorful List - Accent 11 Char,Liste couleur - Accent 111 Char,List bullet Char,Paragraphe de liste1 Char"/>
    <w:link w:val="Paragraphedeliste"/>
    <w:uiPriority w:val="34"/>
    <w:locked/>
    <w:rsid w:val="00DE3A23"/>
  </w:style>
  <w:style w:type="character" w:customStyle="1" w:styleId="DocumentMapChar">
    <w:name w:val="Document Map Char"/>
    <w:basedOn w:val="Policepardfaut"/>
    <w:link w:val="Explorateurdedocuments"/>
    <w:uiPriority w:val="99"/>
    <w:semiHidden/>
    <w:rsid w:val="00DE3A23"/>
    <w:rPr>
      <w:rFonts w:ascii="Tahoma" w:hAnsi="Tahoma" w:cs="Tahoma"/>
      <w:sz w:val="16"/>
      <w:szCs w:val="16"/>
    </w:rPr>
  </w:style>
  <w:style w:type="paragraph" w:styleId="Explorateurdedocuments">
    <w:name w:val="Document Map"/>
    <w:basedOn w:val="Normal"/>
    <w:link w:val="DocumentMapChar"/>
    <w:uiPriority w:val="99"/>
    <w:semiHidden/>
    <w:unhideWhenUsed/>
    <w:rsid w:val="00DE3A23"/>
    <w:pPr>
      <w:spacing w:after="0" w:line="240" w:lineRule="auto"/>
    </w:pPr>
    <w:rPr>
      <w:rFonts w:ascii="Tahoma" w:hAnsi="Tahoma" w:cs="Tahoma"/>
      <w:sz w:val="16"/>
      <w:szCs w:val="16"/>
    </w:rPr>
  </w:style>
  <w:style w:type="character" w:customStyle="1" w:styleId="ExplorateurdedocumentsCar1">
    <w:name w:val="Explorateur de documents Car1"/>
    <w:basedOn w:val="Policepardfaut"/>
    <w:uiPriority w:val="99"/>
    <w:semiHidden/>
    <w:rsid w:val="00DE3A23"/>
    <w:rPr>
      <w:rFonts w:ascii="Tahoma" w:hAnsi="Tahoma" w:cs="Tahoma"/>
      <w:sz w:val="16"/>
      <w:szCs w:val="16"/>
    </w:rPr>
  </w:style>
  <w:style w:type="character" w:customStyle="1" w:styleId="CommentTextChar">
    <w:name w:val="Comment Text Char"/>
    <w:basedOn w:val="Policepardfaut"/>
    <w:link w:val="Commentaire"/>
    <w:uiPriority w:val="99"/>
    <w:semiHidden/>
    <w:rsid w:val="00DE3A23"/>
    <w:rPr>
      <w:sz w:val="20"/>
      <w:szCs w:val="20"/>
    </w:rPr>
  </w:style>
  <w:style w:type="paragraph" w:styleId="Commentaire">
    <w:name w:val="annotation text"/>
    <w:basedOn w:val="Normal"/>
    <w:link w:val="CommentTextChar"/>
    <w:uiPriority w:val="99"/>
    <w:semiHidden/>
    <w:unhideWhenUsed/>
    <w:rsid w:val="00DE3A23"/>
    <w:pPr>
      <w:spacing w:line="240" w:lineRule="auto"/>
    </w:pPr>
    <w:rPr>
      <w:sz w:val="20"/>
      <w:szCs w:val="20"/>
    </w:rPr>
  </w:style>
  <w:style w:type="character" w:customStyle="1" w:styleId="CommentaireCar1">
    <w:name w:val="Commentaire Car1"/>
    <w:basedOn w:val="Policepardfaut"/>
    <w:uiPriority w:val="99"/>
    <w:semiHidden/>
    <w:rsid w:val="00DE3A23"/>
    <w:rPr>
      <w:sz w:val="20"/>
      <w:szCs w:val="20"/>
    </w:rPr>
  </w:style>
  <w:style w:type="character" w:customStyle="1" w:styleId="CommentSubjectChar">
    <w:name w:val="Comment Subject Char"/>
    <w:basedOn w:val="CommentTextChar"/>
    <w:link w:val="Objetducommentaire"/>
    <w:uiPriority w:val="99"/>
    <w:semiHidden/>
    <w:rsid w:val="00DE3A23"/>
    <w:rPr>
      <w:b/>
      <w:bCs/>
      <w:sz w:val="20"/>
      <w:szCs w:val="20"/>
    </w:rPr>
  </w:style>
  <w:style w:type="paragraph" w:styleId="Objetducommentaire">
    <w:name w:val="annotation subject"/>
    <w:basedOn w:val="Commentaire"/>
    <w:next w:val="Commentaire"/>
    <w:link w:val="CommentSubjectChar"/>
    <w:uiPriority w:val="99"/>
    <w:semiHidden/>
    <w:unhideWhenUsed/>
    <w:rsid w:val="00DE3A23"/>
    <w:rPr>
      <w:b/>
      <w:bCs/>
    </w:rPr>
  </w:style>
  <w:style w:type="character" w:customStyle="1" w:styleId="ObjetducommentaireCar1">
    <w:name w:val="Objet du commentaire Car1"/>
    <w:basedOn w:val="CommentaireCar1"/>
    <w:uiPriority w:val="99"/>
    <w:semiHidden/>
    <w:rsid w:val="00DE3A23"/>
    <w:rPr>
      <w:b/>
      <w:bCs/>
      <w:sz w:val="20"/>
      <w:szCs w:val="20"/>
    </w:rPr>
  </w:style>
  <w:style w:type="paragraph" w:styleId="Textedebulles">
    <w:name w:val="Balloon Text"/>
    <w:basedOn w:val="Normal"/>
    <w:link w:val="BalloonTextChar"/>
    <w:uiPriority w:val="99"/>
    <w:semiHidden/>
    <w:unhideWhenUsed/>
    <w:rsid w:val="00DE3A23"/>
    <w:pPr>
      <w:spacing w:after="0" w:line="240" w:lineRule="auto"/>
    </w:pPr>
    <w:rPr>
      <w:rFonts w:ascii="Tahoma" w:hAnsi="Tahoma" w:cs="Tahoma"/>
      <w:sz w:val="16"/>
      <w:szCs w:val="16"/>
    </w:rPr>
  </w:style>
  <w:style w:type="character" w:customStyle="1" w:styleId="BalloonTextChar">
    <w:name w:val="Balloon Text Char"/>
    <w:basedOn w:val="Policepardfaut"/>
    <w:link w:val="Textedebulles"/>
    <w:uiPriority w:val="99"/>
    <w:semiHidden/>
    <w:rsid w:val="00DE3A23"/>
    <w:rPr>
      <w:rFonts w:ascii="Tahoma" w:hAnsi="Tahoma" w:cs="Tahoma"/>
      <w:sz w:val="16"/>
      <w:szCs w:val="16"/>
    </w:rPr>
  </w:style>
  <w:style w:type="paragraph" w:styleId="En-tte">
    <w:name w:val="header"/>
    <w:basedOn w:val="Normal"/>
    <w:link w:val="HeaderChar"/>
    <w:uiPriority w:val="99"/>
    <w:unhideWhenUsed/>
    <w:rsid w:val="00DE3A23"/>
    <w:pPr>
      <w:tabs>
        <w:tab w:val="center" w:pos="4536"/>
        <w:tab w:val="right" w:pos="9072"/>
      </w:tabs>
      <w:spacing w:after="0" w:line="240" w:lineRule="auto"/>
    </w:pPr>
  </w:style>
  <w:style w:type="character" w:customStyle="1" w:styleId="HeaderChar">
    <w:name w:val="Header Char"/>
    <w:basedOn w:val="Policepardfaut"/>
    <w:link w:val="En-tte"/>
    <w:uiPriority w:val="99"/>
    <w:rsid w:val="00DE3A23"/>
  </w:style>
  <w:style w:type="paragraph" w:styleId="Pieddepage">
    <w:name w:val="footer"/>
    <w:basedOn w:val="Normal"/>
    <w:link w:val="FooterChar"/>
    <w:uiPriority w:val="99"/>
    <w:unhideWhenUsed/>
    <w:rsid w:val="00DE3A23"/>
    <w:pPr>
      <w:tabs>
        <w:tab w:val="center" w:pos="4536"/>
        <w:tab w:val="right" w:pos="9072"/>
      </w:tabs>
      <w:spacing w:after="0" w:line="240" w:lineRule="auto"/>
    </w:pPr>
  </w:style>
  <w:style w:type="character" w:customStyle="1" w:styleId="FooterChar">
    <w:name w:val="Footer Char"/>
    <w:basedOn w:val="Policepardfaut"/>
    <w:link w:val="Pieddepage"/>
    <w:uiPriority w:val="99"/>
    <w:rsid w:val="00DE3A23"/>
  </w:style>
  <w:style w:type="character" w:styleId="Appelnotedebasdep">
    <w:name w:val="footnote reference"/>
    <w:aliases w:val="ftref,note bp,Error-Fußnotenzeichen5,Error-Fußnotenzeichen6,Error-Fußnotenzeichen3,Ref,de nota al pie,16 Point,Superscript 6 Point,Appel note de bas de page,BVI fnr,BVI fnr Car Car,BVI fnr Car,BVI fnr Car Car Car Car,BVI fnr Char"/>
    <w:link w:val="ftrefChar"/>
    <w:uiPriority w:val="99"/>
    <w:qFormat/>
    <w:rsid w:val="00DE3A23"/>
    <w:rPr>
      <w:rFonts w:ascii="Times New Roman" w:hAnsi="Times New Roman"/>
      <w:vertAlign w:val="superscript"/>
    </w:rPr>
  </w:style>
  <w:style w:type="paragraph" w:customStyle="1" w:styleId="ftrefChar">
    <w:name w:val="ftref Char"/>
    <w:aliases w:val="note bp Char,Error-Fußnotenzeichen5 Char,Error-Fußnotenzeichen6 Char,Error-Fußnotenzeichen3 Char,Ref Char,de nota al pie Char,16 Point Char,Superscript 6 Point Char,Appel note de bas de page Char,SUPE"/>
    <w:basedOn w:val="Normal"/>
    <w:link w:val="Appelnotedebasdep"/>
    <w:uiPriority w:val="99"/>
    <w:rsid w:val="00DE3A23"/>
    <w:pPr>
      <w:spacing w:after="160" w:line="240" w:lineRule="exact"/>
    </w:pPr>
    <w:rPr>
      <w:rFonts w:ascii="Times New Roman" w:hAnsi="Times New Roman"/>
      <w:vertAlign w:val="superscript"/>
    </w:rPr>
  </w:style>
  <w:style w:type="paragraph" w:styleId="Notedebasdepage">
    <w:name w:val="footnote text"/>
    <w:aliases w:val="fn,single space,ALTS FOOTNOTE,ADB,footnote text,ft,Footnote Text Char1,Footnote Text Char Char,FOOTNOTES,FOOTNOTES Car Car,Footnote Text Char Car Car,Footnote Text Char Car,single space1,footnote text1,fn1 Car Car,fn1 Char,f,Footnote"/>
    <w:basedOn w:val="Normal"/>
    <w:link w:val="FootnoteTextChar"/>
    <w:uiPriority w:val="99"/>
    <w:qFormat/>
    <w:rsid w:val="00DE3A23"/>
    <w:pPr>
      <w:suppressAutoHyphens/>
      <w:autoSpaceDN w:val="0"/>
      <w:spacing w:after="240" w:line="240" w:lineRule="auto"/>
      <w:textAlignment w:val="baseline"/>
    </w:pPr>
    <w:rPr>
      <w:rFonts w:ascii="Times New Roman" w:eastAsia="Times New Roman" w:hAnsi="Times New Roman" w:cs="Times New Roman"/>
      <w:szCs w:val="24"/>
    </w:rPr>
  </w:style>
  <w:style w:type="character" w:customStyle="1" w:styleId="FootnoteTextChar">
    <w:name w:val="Footnote Text Char"/>
    <w:aliases w:val="fn Char,single space Char,ALTS FOOTNOTE Char,ADB Char,footnote text Char,ft Char,Footnote Text Char1 Char,Footnote Text Char Char Char,FOOTNOTES Char,FOOTNOTES Car Car Char,Footnote Text Char Car Car Char,Footnote Text Char Car Char"/>
    <w:basedOn w:val="Policepardfaut"/>
    <w:link w:val="Notedebasdepage"/>
    <w:uiPriority w:val="99"/>
    <w:rsid w:val="00DE3A23"/>
    <w:rPr>
      <w:rFonts w:ascii="Times New Roman" w:eastAsia="Times New Roman" w:hAnsi="Times New Roman" w:cs="Times New Roman"/>
      <w:szCs w:val="24"/>
    </w:rPr>
  </w:style>
  <w:style w:type="paragraph" w:styleId="Titre">
    <w:name w:val="Title"/>
    <w:aliases w:val="TabPND"/>
    <w:next w:val="Normal"/>
    <w:link w:val="TitleChar"/>
    <w:autoRedefine/>
    <w:uiPriority w:val="10"/>
    <w:qFormat/>
    <w:rsid w:val="00D76FCA"/>
    <w:pPr>
      <w:spacing w:before="160" w:after="120" w:line="240" w:lineRule="auto"/>
      <w:ind w:left="1134" w:hanging="1134"/>
      <w:outlineLvl w:val="0"/>
    </w:pPr>
    <w:rPr>
      <w:rFonts w:ascii="Times New Roman" w:eastAsia="Times New Roman" w:hAnsi="Times New Roman" w:cs="Times New Roman"/>
      <w:b/>
      <w:bCs/>
      <w:i/>
      <w:kern w:val="28"/>
      <w:sz w:val="24"/>
      <w:szCs w:val="32"/>
    </w:rPr>
  </w:style>
  <w:style w:type="character" w:customStyle="1" w:styleId="TitleChar">
    <w:name w:val="Title Char"/>
    <w:aliases w:val="TabPND Char"/>
    <w:basedOn w:val="Policepardfaut"/>
    <w:link w:val="Titre"/>
    <w:uiPriority w:val="10"/>
    <w:rsid w:val="00D76FCA"/>
    <w:rPr>
      <w:rFonts w:ascii="Times New Roman" w:eastAsia="Times New Roman" w:hAnsi="Times New Roman" w:cs="Times New Roman"/>
      <w:b/>
      <w:bCs/>
      <w:i/>
      <w:kern w:val="28"/>
      <w:sz w:val="24"/>
      <w:szCs w:val="32"/>
    </w:rPr>
  </w:style>
  <w:style w:type="paragraph" w:customStyle="1" w:styleId="Sansinterligne1">
    <w:name w:val="Sans interligne1"/>
    <w:link w:val="NoSpacingChar"/>
    <w:rsid w:val="00DE3A23"/>
    <w:pPr>
      <w:spacing w:after="0" w:line="240" w:lineRule="auto"/>
    </w:pPr>
    <w:rPr>
      <w:rFonts w:ascii="Times New Roman" w:eastAsia="Times New Roman" w:hAnsi="Times New Roman" w:cs="Times New Roman"/>
    </w:rPr>
  </w:style>
  <w:style w:type="character" w:customStyle="1" w:styleId="NoSpacingChar">
    <w:name w:val="No Spacing Char"/>
    <w:link w:val="Sansinterligne1"/>
    <w:locked/>
    <w:rsid w:val="00DE3A23"/>
    <w:rPr>
      <w:rFonts w:ascii="Times New Roman" w:eastAsia="Times New Roman" w:hAnsi="Times New Roman" w:cs="Times New Roman"/>
    </w:rPr>
  </w:style>
  <w:style w:type="paragraph" w:styleId="NormalWeb">
    <w:name w:val="Normal (Web)"/>
    <w:basedOn w:val="Normal"/>
    <w:uiPriority w:val="99"/>
    <w:rsid w:val="00DE3A2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deliste2">
    <w:name w:val="Paragraphe de liste2"/>
    <w:basedOn w:val="Normal"/>
    <w:uiPriority w:val="99"/>
    <w:rsid w:val="00DE3A23"/>
    <w:pPr>
      <w:ind w:left="720"/>
      <w:contextualSpacing/>
    </w:pPr>
    <w:rPr>
      <w:rFonts w:ascii="Calibri" w:eastAsia="Times New Roman" w:hAnsi="Calibri" w:cs="Times New Roman"/>
      <w:lang w:val="fr-BE"/>
    </w:rPr>
  </w:style>
  <w:style w:type="paragraph" w:customStyle="1" w:styleId="DecimalAligned">
    <w:name w:val="Decimal Aligned"/>
    <w:basedOn w:val="Normal"/>
    <w:uiPriority w:val="40"/>
    <w:qFormat/>
    <w:rsid w:val="00DE3A23"/>
    <w:pPr>
      <w:tabs>
        <w:tab w:val="decimal" w:pos="360"/>
      </w:tabs>
    </w:pPr>
    <w:rPr>
      <w:rFonts w:eastAsiaTheme="minorEastAsia"/>
    </w:rPr>
  </w:style>
  <w:style w:type="character" w:styleId="Emphaseple">
    <w:name w:val="Subtle Emphasis"/>
    <w:basedOn w:val="Policepardfaut"/>
    <w:uiPriority w:val="19"/>
    <w:qFormat/>
    <w:rsid w:val="00DE3A23"/>
    <w:rPr>
      <w:rFonts w:eastAsiaTheme="minorEastAsia" w:cstheme="minorBidi"/>
      <w:bCs w:val="0"/>
      <w:i/>
      <w:iCs/>
      <w:color w:val="808080" w:themeColor="text1" w:themeTint="7F"/>
      <w:szCs w:val="22"/>
      <w:lang w:val="fr-FR"/>
    </w:rPr>
  </w:style>
  <w:style w:type="paragraph" w:customStyle="1" w:styleId="Chapitre">
    <w:name w:val="Chapitre"/>
    <w:basedOn w:val="Default"/>
    <w:link w:val="ChapitreCar"/>
    <w:qFormat/>
    <w:rsid w:val="00DE3A23"/>
    <w:pPr>
      <w:outlineLvl w:val="0"/>
    </w:pPr>
    <w:rPr>
      <w:b/>
      <w:bCs/>
      <w:sz w:val="20"/>
      <w:szCs w:val="20"/>
    </w:rPr>
  </w:style>
  <w:style w:type="character" w:customStyle="1" w:styleId="ChapitreCar">
    <w:name w:val="Chapitre Car"/>
    <w:basedOn w:val="DefaultCar"/>
    <w:link w:val="Chapitre"/>
    <w:rsid w:val="00DE3A23"/>
    <w:rPr>
      <w:rFonts w:ascii="Times New Roman" w:hAnsi="Times New Roman" w:cs="Times New Roman"/>
      <w:b/>
      <w:bCs/>
      <w:color w:val="000000"/>
      <w:sz w:val="20"/>
      <w:szCs w:val="20"/>
    </w:rPr>
  </w:style>
  <w:style w:type="paragraph" w:customStyle="1" w:styleId="Sansinterligne2">
    <w:name w:val="Sans interligne2"/>
    <w:uiPriority w:val="99"/>
    <w:rsid w:val="00DE3A23"/>
    <w:pPr>
      <w:spacing w:after="0" w:line="240" w:lineRule="auto"/>
    </w:pPr>
    <w:rPr>
      <w:rFonts w:ascii="Times New Roman" w:eastAsia="Times New Roman" w:hAnsi="Times New Roman" w:cs="Times New Roman"/>
    </w:rPr>
  </w:style>
  <w:style w:type="paragraph" w:styleId="TM1">
    <w:name w:val="toc 1"/>
    <w:basedOn w:val="Normal"/>
    <w:next w:val="Normal"/>
    <w:autoRedefine/>
    <w:uiPriority w:val="39"/>
    <w:unhideWhenUsed/>
    <w:rsid w:val="00DE3A23"/>
    <w:pPr>
      <w:tabs>
        <w:tab w:val="right" w:leader="dot" w:pos="9628"/>
      </w:tabs>
      <w:spacing w:after="0" w:line="240" w:lineRule="auto"/>
      <w:ind w:left="426" w:hanging="426"/>
    </w:pPr>
    <w:rPr>
      <w:b/>
      <w:bCs/>
      <w:caps/>
      <w:sz w:val="20"/>
      <w:szCs w:val="20"/>
    </w:rPr>
  </w:style>
  <w:style w:type="paragraph" w:styleId="TM2">
    <w:name w:val="toc 2"/>
    <w:basedOn w:val="Normal"/>
    <w:next w:val="Normal"/>
    <w:autoRedefine/>
    <w:uiPriority w:val="39"/>
    <w:unhideWhenUsed/>
    <w:rsid w:val="00DE3A23"/>
    <w:pPr>
      <w:spacing w:after="0"/>
      <w:ind w:left="220"/>
    </w:pPr>
    <w:rPr>
      <w:smallCaps/>
      <w:sz w:val="20"/>
      <w:szCs w:val="20"/>
    </w:rPr>
  </w:style>
  <w:style w:type="character" w:styleId="Lienhypertexte">
    <w:name w:val="Hyperlink"/>
    <w:basedOn w:val="Policepardfaut"/>
    <w:uiPriority w:val="99"/>
    <w:unhideWhenUsed/>
    <w:rsid w:val="00DE3A23"/>
    <w:rPr>
      <w:color w:val="0000FF" w:themeColor="hyperlink"/>
      <w:u w:val="single"/>
    </w:rPr>
  </w:style>
  <w:style w:type="paragraph" w:styleId="Sansinterligne">
    <w:name w:val="No Spacing"/>
    <w:link w:val="NoSpacingChar1"/>
    <w:uiPriority w:val="1"/>
    <w:qFormat/>
    <w:rsid w:val="00DE3A23"/>
    <w:pPr>
      <w:spacing w:after="0" w:line="240" w:lineRule="auto"/>
    </w:pPr>
    <w:rPr>
      <w:rFonts w:ascii="Calibri" w:eastAsia="Calibri" w:hAnsi="Calibri" w:cs="Times New Roman"/>
    </w:rPr>
  </w:style>
  <w:style w:type="character" w:customStyle="1" w:styleId="NoSpacingChar1">
    <w:name w:val="No Spacing Char1"/>
    <w:basedOn w:val="Policepardfaut"/>
    <w:link w:val="Sansinterligne"/>
    <w:uiPriority w:val="1"/>
    <w:locked/>
    <w:rsid w:val="00DE3A23"/>
    <w:rPr>
      <w:rFonts w:ascii="Calibri" w:eastAsia="Calibri" w:hAnsi="Calibri" w:cs="Times New Roman"/>
    </w:rPr>
  </w:style>
  <w:style w:type="character" w:customStyle="1" w:styleId="tgc">
    <w:name w:val="_tgc"/>
    <w:basedOn w:val="Policepardfaut"/>
    <w:rsid w:val="00DE3A23"/>
  </w:style>
  <w:style w:type="paragraph" w:customStyle="1" w:styleId="Paragraphedeliste3">
    <w:name w:val="Paragraphe de liste3"/>
    <w:basedOn w:val="Normal"/>
    <w:uiPriority w:val="99"/>
    <w:rsid w:val="00DE3A23"/>
    <w:pPr>
      <w:ind w:left="720"/>
      <w:contextualSpacing/>
    </w:pPr>
    <w:rPr>
      <w:rFonts w:ascii="Calibri" w:eastAsia="Times New Roman" w:hAnsi="Calibri" w:cs="Times New Roman"/>
      <w:lang w:val="fr-BE"/>
    </w:rPr>
  </w:style>
  <w:style w:type="character" w:customStyle="1" w:styleId="hps">
    <w:name w:val="hps"/>
    <w:basedOn w:val="Policepardfaut"/>
    <w:rsid w:val="00DE3A23"/>
  </w:style>
  <w:style w:type="paragraph" w:styleId="TM3">
    <w:name w:val="toc 3"/>
    <w:basedOn w:val="Normal"/>
    <w:next w:val="Normal"/>
    <w:autoRedefine/>
    <w:uiPriority w:val="39"/>
    <w:unhideWhenUsed/>
    <w:rsid w:val="00DE3A23"/>
    <w:pPr>
      <w:spacing w:after="0"/>
      <w:ind w:left="440"/>
    </w:pPr>
    <w:rPr>
      <w:i/>
      <w:iCs/>
      <w:sz w:val="20"/>
      <w:szCs w:val="20"/>
    </w:rPr>
  </w:style>
  <w:style w:type="paragraph" w:styleId="TM4">
    <w:name w:val="toc 4"/>
    <w:basedOn w:val="Normal"/>
    <w:next w:val="Normal"/>
    <w:autoRedefine/>
    <w:uiPriority w:val="39"/>
    <w:unhideWhenUsed/>
    <w:rsid w:val="00DE3A23"/>
    <w:pPr>
      <w:spacing w:after="0"/>
      <w:ind w:left="660"/>
    </w:pPr>
    <w:rPr>
      <w:sz w:val="18"/>
      <w:szCs w:val="18"/>
    </w:rPr>
  </w:style>
  <w:style w:type="paragraph" w:styleId="TM5">
    <w:name w:val="toc 5"/>
    <w:basedOn w:val="Normal"/>
    <w:next w:val="Normal"/>
    <w:autoRedefine/>
    <w:uiPriority w:val="39"/>
    <w:unhideWhenUsed/>
    <w:rsid w:val="00DE3A23"/>
    <w:pPr>
      <w:spacing w:after="0"/>
      <w:ind w:left="880"/>
    </w:pPr>
    <w:rPr>
      <w:sz w:val="18"/>
      <w:szCs w:val="18"/>
    </w:rPr>
  </w:style>
  <w:style w:type="paragraph" w:styleId="TM6">
    <w:name w:val="toc 6"/>
    <w:basedOn w:val="Normal"/>
    <w:next w:val="Normal"/>
    <w:autoRedefine/>
    <w:uiPriority w:val="39"/>
    <w:unhideWhenUsed/>
    <w:rsid w:val="00DE3A23"/>
    <w:pPr>
      <w:spacing w:after="0"/>
      <w:ind w:left="1100"/>
    </w:pPr>
    <w:rPr>
      <w:sz w:val="18"/>
      <w:szCs w:val="18"/>
    </w:rPr>
  </w:style>
  <w:style w:type="paragraph" w:styleId="TM7">
    <w:name w:val="toc 7"/>
    <w:basedOn w:val="Normal"/>
    <w:next w:val="Normal"/>
    <w:autoRedefine/>
    <w:uiPriority w:val="39"/>
    <w:unhideWhenUsed/>
    <w:rsid w:val="00DE3A23"/>
    <w:pPr>
      <w:spacing w:after="0"/>
      <w:ind w:left="1320"/>
    </w:pPr>
    <w:rPr>
      <w:sz w:val="18"/>
      <w:szCs w:val="18"/>
    </w:rPr>
  </w:style>
  <w:style w:type="paragraph" w:styleId="TM8">
    <w:name w:val="toc 8"/>
    <w:basedOn w:val="Normal"/>
    <w:next w:val="Normal"/>
    <w:autoRedefine/>
    <w:uiPriority w:val="39"/>
    <w:unhideWhenUsed/>
    <w:rsid w:val="00DE3A23"/>
    <w:pPr>
      <w:spacing w:after="0"/>
      <w:ind w:left="1540"/>
    </w:pPr>
    <w:rPr>
      <w:sz w:val="18"/>
      <w:szCs w:val="18"/>
    </w:rPr>
  </w:style>
  <w:style w:type="paragraph" w:styleId="TM9">
    <w:name w:val="toc 9"/>
    <w:basedOn w:val="Normal"/>
    <w:next w:val="Normal"/>
    <w:autoRedefine/>
    <w:uiPriority w:val="39"/>
    <w:unhideWhenUsed/>
    <w:rsid w:val="00DE3A23"/>
    <w:pPr>
      <w:spacing w:after="0"/>
      <w:ind w:left="1760"/>
    </w:pPr>
    <w:rPr>
      <w:sz w:val="18"/>
      <w:szCs w:val="18"/>
    </w:rPr>
  </w:style>
  <w:style w:type="paragraph" w:styleId="Tabledesillustrations">
    <w:name w:val="table of figures"/>
    <w:basedOn w:val="Normal"/>
    <w:next w:val="Normal"/>
    <w:uiPriority w:val="99"/>
    <w:unhideWhenUsed/>
    <w:rsid w:val="00DE3A23"/>
    <w:pPr>
      <w:spacing w:after="0"/>
    </w:pPr>
  </w:style>
  <w:style w:type="character" w:customStyle="1" w:styleId="shorttext">
    <w:name w:val="short_text"/>
    <w:basedOn w:val="Policepardfaut"/>
    <w:rsid w:val="00DE3A23"/>
  </w:style>
  <w:style w:type="character" w:customStyle="1" w:styleId="st1">
    <w:name w:val="st1"/>
    <w:basedOn w:val="Policepardfaut"/>
    <w:rsid w:val="00DE3A23"/>
  </w:style>
  <w:style w:type="character" w:styleId="lev">
    <w:name w:val="Strong"/>
    <w:basedOn w:val="Policepardfaut"/>
    <w:uiPriority w:val="22"/>
    <w:qFormat/>
    <w:rsid w:val="00DE3A23"/>
    <w:rPr>
      <w:b/>
      <w:bCs/>
    </w:rPr>
  </w:style>
  <w:style w:type="table" w:styleId="Grilledutableau">
    <w:name w:val="Table Grid"/>
    <w:basedOn w:val="TableauNormal"/>
    <w:uiPriority w:val="59"/>
    <w:rsid w:val="00DE3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E3A23"/>
    <w:rPr>
      <w:sz w:val="16"/>
      <w:szCs w:val="16"/>
    </w:rPr>
  </w:style>
  <w:style w:type="character" w:customStyle="1" w:styleId="A6">
    <w:name w:val="A6"/>
    <w:uiPriority w:val="99"/>
    <w:rsid w:val="00DE3A23"/>
    <w:rPr>
      <w:rFonts w:cs="Helvetica Neue"/>
      <w:color w:val="000000"/>
      <w:sz w:val="20"/>
      <w:szCs w:val="20"/>
    </w:rPr>
  </w:style>
  <w:style w:type="character" w:styleId="Accentuation">
    <w:name w:val="Emphasis"/>
    <w:basedOn w:val="Policepardfaut"/>
    <w:uiPriority w:val="20"/>
    <w:qFormat/>
    <w:rsid w:val="006F42D1"/>
    <w:rPr>
      <w:i/>
      <w:iCs/>
    </w:rPr>
  </w:style>
  <w:style w:type="table" w:customStyle="1" w:styleId="Grilleclaire-Accent11">
    <w:name w:val="Grille claire - Accent 11"/>
    <w:basedOn w:val="TableauNormal"/>
    <w:uiPriority w:val="62"/>
    <w:rsid w:val="00897E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5">
    <w:name w:val="Light Grid Accent 5"/>
    <w:basedOn w:val="TableauNormal"/>
    <w:uiPriority w:val="62"/>
    <w:rsid w:val="0021640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gende">
    <w:name w:val="caption"/>
    <w:basedOn w:val="Normal"/>
    <w:next w:val="Normal"/>
    <w:uiPriority w:val="35"/>
    <w:unhideWhenUsed/>
    <w:qFormat/>
    <w:rsid w:val="000C6552"/>
    <w:pPr>
      <w:spacing w:line="240" w:lineRule="auto"/>
    </w:pPr>
    <w:rPr>
      <w:b/>
      <w:bCs/>
      <w:color w:val="4F81BD" w:themeColor="accent1"/>
      <w:sz w:val="18"/>
      <w:szCs w:val="18"/>
    </w:rPr>
  </w:style>
  <w:style w:type="character" w:styleId="Lienhypertextesuivivisit">
    <w:name w:val="FollowedHyperlink"/>
    <w:basedOn w:val="Policepardfaut"/>
    <w:uiPriority w:val="99"/>
    <w:semiHidden/>
    <w:unhideWhenUsed/>
    <w:rsid w:val="00FB3C5A"/>
    <w:rPr>
      <w:color w:val="800080"/>
      <w:u w:val="single"/>
    </w:rPr>
  </w:style>
  <w:style w:type="paragraph" w:customStyle="1" w:styleId="xl36702">
    <w:name w:val="xl36702"/>
    <w:basedOn w:val="Normal"/>
    <w:uiPriority w:val="99"/>
    <w:rsid w:val="00FB3C5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03">
    <w:name w:val="xl36703"/>
    <w:basedOn w:val="Normal"/>
    <w:uiPriority w:val="99"/>
    <w:rsid w:val="00FB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04">
    <w:name w:val="xl36704"/>
    <w:basedOn w:val="Normal"/>
    <w:uiPriority w:val="99"/>
    <w:rsid w:val="00FB3C5A"/>
    <w:pP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05">
    <w:name w:val="xl36705"/>
    <w:basedOn w:val="Normal"/>
    <w:uiPriority w:val="99"/>
    <w:rsid w:val="00FB3C5A"/>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b/>
      <w:bCs/>
      <w:sz w:val="20"/>
      <w:szCs w:val="20"/>
      <w:lang w:eastAsia="fr-FR"/>
    </w:rPr>
  </w:style>
  <w:style w:type="paragraph" w:customStyle="1" w:styleId="xl36706">
    <w:name w:val="xl36706"/>
    <w:basedOn w:val="Normal"/>
    <w:uiPriority w:val="99"/>
    <w:rsid w:val="00FB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36707">
    <w:name w:val="xl36707"/>
    <w:basedOn w:val="Normal"/>
    <w:uiPriority w:val="99"/>
    <w:rsid w:val="00FB3C5A"/>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36708">
    <w:name w:val="xl36708"/>
    <w:basedOn w:val="Normal"/>
    <w:uiPriority w:val="99"/>
    <w:rsid w:val="00FB3C5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36709">
    <w:name w:val="xl36709"/>
    <w:basedOn w:val="Normal"/>
    <w:uiPriority w:val="99"/>
    <w:rsid w:val="00FB3C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0">
    <w:name w:val="xl36710"/>
    <w:basedOn w:val="Normal"/>
    <w:uiPriority w:val="99"/>
    <w:rsid w:val="00FB3C5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1">
    <w:name w:val="xl36711"/>
    <w:basedOn w:val="Normal"/>
    <w:uiPriority w:val="99"/>
    <w:rsid w:val="00FB3C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FFFFFF"/>
      <w:sz w:val="24"/>
      <w:szCs w:val="24"/>
      <w:lang w:eastAsia="fr-FR"/>
    </w:rPr>
  </w:style>
  <w:style w:type="paragraph" w:customStyle="1" w:styleId="xl36712">
    <w:name w:val="xl36712"/>
    <w:basedOn w:val="Normal"/>
    <w:uiPriority w:val="99"/>
    <w:rsid w:val="00FB3C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FFFFFF"/>
      <w:sz w:val="18"/>
      <w:szCs w:val="18"/>
      <w:lang w:eastAsia="fr-FR"/>
    </w:rPr>
  </w:style>
  <w:style w:type="paragraph" w:customStyle="1" w:styleId="xl36713">
    <w:name w:val="xl36713"/>
    <w:basedOn w:val="Normal"/>
    <w:uiPriority w:val="99"/>
    <w:rsid w:val="00FB3C5A"/>
    <w:pPr>
      <w:spacing w:before="100" w:beforeAutospacing="1" w:after="100" w:afterAutospacing="1" w:line="240" w:lineRule="auto"/>
      <w:ind w:firstLineChars="200" w:firstLine="200"/>
    </w:pPr>
    <w:rPr>
      <w:rFonts w:ascii="Times New Roman" w:eastAsia="Times New Roman" w:hAnsi="Times New Roman" w:cs="Times New Roman"/>
      <w:sz w:val="20"/>
      <w:szCs w:val="20"/>
      <w:lang w:eastAsia="fr-FR"/>
    </w:rPr>
  </w:style>
  <w:style w:type="paragraph" w:customStyle="1" w:styleId="xl36714">
    <w:name w:val="xl36714"/>
    <w:basedOn w:val="Normal"/>
    <w:uiPriority w:val="99"/>
    <w:rsid w:val="00FB3C5A"/>
    <w:pPr>
      <w:pBdr>
        <w:left w:val="single" w:sz="4" w:space="14"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0"/>
      <w:szCs w:val="20"/>
      <w:lang w:eastAsia="fr-FR"/>
    </w:rPr>
  </w:style>
  <w:style w:type="paragraph" w:customStyle="1" w:styleId="xl36715">
    <w:name w:val="xl36715"/>
    <w:basedOn w:val="Normal"/>
    <w:uiPriority w:val="99"/>
    <w:rsid w:val="00FB3C5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6">
    <w:name w:val="xl36716"/>
    <w:basedOn w:val="Normal"/>
    <w:uiPriority w:val="99"/>
    <w:rsid w:val="00FB3C5A"/>
    <w:pPr>
      <w:pBdr>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7">
    <w:name w:val="xl36717"/>
    <w:basedOn w:val="Normal"/>
    <w:uiPriority w:val="99"/>
    <w:rsid w:val="00FB3C5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18">
    <w:name w:val="xl36718"/>
    <w:basedOn w:val="Normal"/>
    <w:uiPriority w:val="99"/>
    <w:rsid w:val="00FB3C5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19">
    <w:name w:val="xl36719"/>
    <w:basedOn w:val="Normal"/>
    <w:uiPriority w:val="99"/>
    <w:rsid w:val="00FB3C5A"/>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0">
    <w:name w:val="xl36720"/>
    <w:basedOn w:val="Normal"/>
    <w:uiPriority w:val="99"/>
    <w:rsid w:val="00FB3C5A"/>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36721">
    <w:name w:val="xl36721"/>
    <w:basedOn w:val="Normal"/>
    <w:uiPriority w:val="99"/>
    <w:rsid w:val="00FB3C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2">
    <w:name w:val="xl36722"/>
    <w:basedOn w:val="Normal"/>
    <w:uiPriority w:val="99"/>
    <w:rsid w:val="00FB3C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3">
    <w:name w:val="xl36723"/>
    <w:basedOn w:val="Normal"/>
    <w:uiPriority w:val="99"/>
    <w:rsid w:val="00FB3C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36724">
    <w:name w:val="xl36724"/>
    <w:basedOn w:val="Normal"/>
    <w:uiPriority w:val="99"/>
    <w:rsid w:val="00FB3C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 w:val="18"/>
      <w:szCs w:val="18"/>
      <w:lang w:eastAsia="fr-FR"/>
    </w:rPr>
  </w:style>
  <w:style w:type="paragraph" w:customStyle="1" w:styleId="xl36725">
    <w:name w:val="xl36725"/>
    <w:basedOn w:val="Normal"/>
    <w:uiPriority w:val="99"/>
    <w:rsid w:val="00FB3C5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6">
    <w:name w:val="xl36726"/>
    <w:basedOn w:val="Normal"/>
    <w:uiPriority w:val="99"/>
    <w:rsid w:val="00FB3C5A"/>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7">
    <w:name w:val="xl36727"/>
    <w:basedOn w:val="Normal"/>
    <w:uiPriority w:val="99"/>
    <w:rsid w:val="00FB3C5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28">
    <w:name w:val="xl36728"/>
    <w:basedOn w:val="Normal"/>
    <w:uiPriority w:val="99"/>
    <w:rsid w:val="00FB3C5A"/>
    <w:pPr>
      <w:pBdr>
        <w:top w:val="single" w:sz="4" w:space="0" w:color="auto"/>
        <w:left w:val="single" w:sz="4" w:space="0" w:color="auto"/>
        <w:bottom w:val="single" w:sz="4" w:space="0" w:color="auto"/>
      </w:pBdr>
      <w:shd w:val="clear" w:color="000000" w:fill="E6B8B7"/>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36729">
    <w:name w:val="xl36729"/>
    <w:basedOn w:val="Normal"/>
    <w:uiPriority w:val="99"/>
    <w:rsid w:val="00FB3C5A"/>
    <w:pPr>
      <w:pBdr>
        <w:top w:val="single" w:sz="4" w:space="0" w:color="auto"/>
        <w:left w:val="single" w:sz="4" w:space="0" w:color="auto"/>
        <w:bottom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30">
    <w:name w:val="xl36730"/>
    <w:basedOn w:val="Normal"/>
    <w:uiPriority w:val="99"/>
    <w:rsid w:val="00FB3C5A"/>
    <w:pPr>
      <w:pBdr>
        <w:top w:val="single" w:sz="4" w:space="0" w:color="auto"/>
        <w:lef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31">
    <w:name w:val="xl36731"/>
    <w:basedOn w:val="Normal"/>
    <w:uiPriority w:val="99"/>
    <w:rsid w:val="00FB3C5A"/>
    <w:pPr>
      <w:pBdr>
        <w:left w:val="single" w:sz="4" w:space="0" w:color="auto"/>
        <w:bottom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18"/>
      <w:szCs w:val="18"/>
      <w:lang w:eastAsia="fr-FR"/>
    </w:rPr>
  </w:style>
  <w:style w:type="paragraph" w:customStyle="1" w:styleId="xl36732">
    <w:name w:val="xl36732"/>
    <w:basedOn w:val="Normal"/>
    <w:uiPriority w:val="99"/>
    <w:rsid w:val="00FB3C5A"/>
    <w:pPr>
      <w:pBdr>
        <w:top w:val="single" w:sz="4" w:space="0" w:color="auto"/>
        <w:left w:val="single" w:sz="4" w:space="0" w:color="auto"/>
        <w:bottom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FFFFFF"/>
      <w:sz w:val="18"/>
      <w:szCs w:val="18"/>
      <w:lang w:eastAsia="fr-FR"/>
    </w:rPr>
  </w:style>
  <w:style w:type="paragraph" w:customStyle="1" w:styleId="xl36733">
    <w:name w:val="xl36733"/>
    <w:basedOn w:val="Normal"/>
    <w:uiPriority w:val="99"/>
    <w:rsid w:val="00FB3C5A"/>
    <w:pP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34">
    <w:name w:val="xl36734"/>
    <w:basedOn w:val="Normal"/>
    <w:uiPriority w:val="99"/>
    <w:rsid w:val="00FB3C5A"/>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35">
    <w:name w:val="xl36735"/>
    <w:basedOn w:val="Normal"/>
    <w:uiPriority w:val="99"/>
    <w:rsid w:val="00FB3C5A"/>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36736">
    <w:name w:val="xl36736"/>
    <w:basedOn w:val="Normal"/>
    <w:uiPriority w:val="99"/>
    <w:rsid w:val="00FB3C5A"/>
    <w:pPr>
      <w:pBdr>
        <w:top w:val="single" w:sz="4" w:space="0" w:color="auto"/>
        <w:left w:val="single" w:sz="4" w:space="0" w:color="auto"/>
        <w:bottom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18"/>
      <w:szCs w:val="18"/>
      <w:lang w:eastAsia="fr-FR"/>
    </w:rPr>
  </w:style>
  <w:style w:type="paragraph" w:customStyle="1" w:styleId="xl36737">
    <w:name w:val="xl36737"/>
    <w:basedOn w:val="Normal"/>
    <w:uiPriority w:val="99"/>
    <w:rsid w:val="00FB3C5A"/>
    <w:pPr>
      <w:pBdr>
        <w:top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b/>
      <w:bCs/>
      <w:color w:val="FFFFFF"/>
      <w:sz w:val="18"/>
      <w:szCs w:val="18"/>
      <w:lang w:eastAsia="fr-FR"/>
    </w:rPr>
  </w:style>
  <w:style w:type="paragraph" w:customStyle="1" w:styleId="xl36738">
    <w:name w:val="xl36738"/>
    <w:basedOn w:val="Normal"/>
    <w:uiPriority w:val="99"/>
    <w:rsid w:val="00FB3C5A"/>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39">
    <w:name w:val="xl36739"/>
    <w:basedOn w:val="Normal"/>
    <w:uiPriority w:val="99"/>
    <w:rsid w:val="00FB3C5A"/>
    <w:pPr>
      <w:pBdr>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40">
    <w:name w:val="xl36740"/>
    <w:basedOn w:val="Normal"/>
    <w:uiPriority w:val="99"/>
    <w:rsid w:val="00FB3C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color w:val="FFFFFF"/>
      <w:sz w:val="24"/>
      <w:szCs w:val="24"/>
      <w:lang w:eastAsia="fr-FR"/>
    </w:rPr>
  </w:style>
  <w:style w:type="paragraph" w:customStyle="1" w:styleId="xl36741">
    <w:name w:val="xl36741"/>
    <w:basedOn w:val="Normal"/>
    <w:uiPriority w:val="99"/>
    <w:rsid w:val="00FB3C5A"/>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character" w:customStyle="1" w:styleId="st">
    <w:name w:val="st"/>
    <w:basedOn w:val="Policepardfaut"/>
    <w:rsid w:val="00DA1A99"/>
  </w:style>
  <w:style w:type="numbering" w:customStyle="1" w:styleId="Aucuneliste1">
    <w:name w:val="Aucune liste1"/>
    <w:next w:val="Aucuneliste"/>
    <w:uiPriority w:val="99"/>
    <w:semiHidden/>
    <w:unhideWhenUsed/>
    <w:rsid w:val="00590095"/>
  </w:style>
  <w:style w:type="numbering" w:customStyle="1" w:styleId="Aucuneliste11">
    <w:name w:val="Aucune liste11"/>
    <w:next w:val="Aucuneliste"/>
    <w:uiPriority w:val="99"/>
    <w:semiHidden/>
    <w:unhideWhenUsed/>
    <w:rsid w:val="00590095"/>
  </w:style>
  <w:style w:type="character" w:customStyle="1" w:styleId="ya-q-full-text">
    <w:name w:val="ya-q-full-text"/>
    <w:basedOn w:val="Policepardfaut"/>
    <w:rsid w:val="00FE1D40"/>
  </w:style>
  <w:style w:type="paragraph" w:styleId="En-ttedetabledesmatires">
    <w:name w:val="TOC Heading"/>
    <w:basedOn w:val="Titre1"/>
    <w:next w:val="Normal"/>
    <w:uiPriority w:val="39"/>
    <w:unhideWhenUsed/>
    <w:qFormat/>
    <w:rsid w:val="00DC2140"/>
    <w:pPr>
      <w:ind w:left="0" w:firstLine="0"/>
      <w:jc w:val="left"/>
      <w:outlineLvl w:val="9"/>
    </w:pPr>
    <w:rPr>
      <w:rFonts w:asciiTheme="majorHAnsi" w:hAnsiTheme="majorHAnsi"/>
      <w:color w:val="365F91" w:themeColor="accent1" w:themeShade="BF"/>
      <w:lang w:val="en-US" w:eastAsia="ja-JP"/>
    </w:rPr>
  </w:style>
  <w:style w:type="character" w:customStyle="1" w:styleId="Heading1Char1">
    <w:name w:val="Heading 1 Char1"/>
    <w:aliases w:val="PND1 Char1"/>
    <w:basedOn w:val="Policepardfaut"/>
    <w:uiPriority w:val="9"/>
    <w:rsid w:val="00EA6409"/>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PND2 Char1"/>
    <w:basedOn w:val="Policepardfaut"/>
    <w:uiPriority w:val="9"/>
    <w:semiHidden/>
    <w:rsid w:val="00EA6409"/>
    <w:rPr>
      <w:rFonts w:asciiTheme="majorHAnsi" w:eastAsiaTheme="majorEastAsia" w:hAnsiTheme="majorHAnsi" w:cstheme="majorBidi"/>
      <w:b/>
      <w:bCs/>
      <w:color w:val="4F81BD" w:themeColor="accent1"/>
      <w:sz w:val="26"/>
      <w:szCs w:val="26"/>
    </w:rPr>
  </w:style>
  <w:style w:type="character" w:customStyle="1" w:styleId="Heading3Char1">
    <w:name w:val="Heading 3 Char1"/>
    <w:aliases w:val="PND3 Char1"/>
    <w:basedOn w:val="Policepardfaut"/>
    <w:uiPriority w:val="9"/>
    <w:semiHidden/>
    <w:rsid w:val="00EA6409"/>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PND4 Char1"/>
    <w:basedOn w:val="Policepardfaut"/>
    <w:uiPriority w:val="9"/>
    <w:semiHidden/>
    <w:rsid w:val="00EA6409"/>
    <w:rPr>
      <w:rFonts w:asciiTheme="majorHAnsi" w:eastAsiaTheme="majorEastAsia" w:hAnsiTheme="majorHAnsi" w:cstheme="majorBidi"/>
      <w:b/>
      <w:bCs/>
      <w:i/>
      <w:iCs/>
      <w:color w:val="4F81BD" w:themeColor="accent1"/>
      <w:sz w:val="22"/>
      <w:szCs w:val="22"/>
    </w:rPr>
  </w:style>
  <w:style w:type="character" w:customStyle="1" w:styleId="FootnoteTextChar2">
    <w:name w:val="Footnote Text Char2"/>
    <w:aliases w:val="fn Char1,single space Char1,ALTS FOOTNOTE Char1,ADB Char1,footnote text Char1,ft Char1,Footnote Text Char1 Char1,Footnote Text Char Char Char1,FOOTNOTES Char1,FOOTNOTES Car Car Char1,Footnote Text Char Car Car Char1,fn1 Car Car Char"/>
    <w:basedOn w:val="Policepardfaut"/>
    <w:uiPriority w:val="99"/>
    <w:semiHidden/>
    <w:rsid w:val="00EA6409"/>
  </w:style>
  <w:style w:type="character" w:customStyle="1" w:styleId="TitleChar1">
    <w:name w:val="Title Char1"/>
    <w:aliases w:val="TabPND Char1"/>
    <w:basedOn w:val="Policepardfaut"/>
    <w:uiPriority w:val="10"/>
    <w:rsid w:val="00EA6409"/>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aliases w:val="GraphPND Char1"/>
    <w:basedOn w:val="Policepardfaut"/>
    <w:uiPriority w:val="11"/>
    <w:rsid w:val="00EA6409"/>
    <w:rPr>
      <w:rFonts w:asciiTheme="majorHAnsi" w:eastAsiaTheme="majorEastAsia" w:hAnsiTheme="majorHAnsi" w:cstheme="majorBidi"/>
      <w:i/>
      <w:iCs/>
      <w:color w:val="4F81BD" w:themeColor="accent1"/>
      <w:spacing w:val="15"/>
      <w:sz w:val="24"/>
      <w:szCs w:val="24"/>
    </w:rPr>
  </w:style>
  <w:style w:type="paragraph" w:customStyle="1" w:styleId="font0">
    <w:name w:val="font0"/>
    <w:basedOn w:val="Normal"/>
    <w:uiPriority w:val="99"/>
    <w:rsid w:val="00EA6409"/>
    <w:pPr>
      <w:spacing w:before="100" w:beforeAutospacing="1" w:after="100" w:afterAutospacing="1" w:line="240" w:lineRule="auto"/>
    </w:pPr>
    <w:rPr>
      <w:rFonts w:ascii="Calibri" w:eastAsia="Times New Roman" w:hAnsi="Calibri" w:cs="Times New Roman"/>
      <w:color w:val="000000"/>
      <w:lang w:eastAsia="fr-FR"/>
    </w:rPr>
  </w:style>
  <w:style w:type="paragraph" w:customStyle="1" w:styleId="font5">
    <w:name w:val="font5"/>
    <w:basedOn w:val="Normal"/>
    <w:uiPriority w:val="99"/>
    <w:rsid w:val="00EA6409"/>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uiPriority w:val="99"/>
    <w:rsid w:val="00EA6409"/>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7">
    <w:name w:val="font7"/>
    <w:basedOn w:val="Normal"/>
    <w:uiPriority w:val="99"/>
    <w:rsid w:val="00EA6409"/>
    <w:pPr>
      <w:spacing w:before="100" w:beforeAutospacing="1" w:after="100" w:afterAutospacing="1" w:line="240" w:lineRule="auto"/>
    </w:pPr>
    <w:rPr>
      <w:rFonts w:ascii="Times New Roman" w:eastAsia="Times New Roman" w:hAnsi="Times New Roman" w:cs="Times New Roman"/>
      <w:i/>
      <w:iCs/>
      <w:color w:val="000000"/>
      <w:sz w:val="20"/>
      <w:szCs w:val="20"/>
      <w:lang w:eastAsia="fr-FR"/>
    </w:rPr>
  </w:style>
  <w:style w:type="paragraph" w:customStyle="1" w:styleId="font8">
    <w:name w:val="font8"/>
    <w:basedOn w:val="Normal"/>
    <w:uiPriority w:val="99"/>
    <w:rsid w:val="00EA6409"/>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9">
    <w:name w:val="font9"/>
    <w:basedOn w:val="Normal"/>
    <w:uiPriority w:val="99"/>
    <w:rsid w:val="00EA6409"/>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xl65">
    <w:name w:val="xl65"/>
    <w:basedOn w:val="Normal"/>
    <w:uiPriority w:val="99"/>
    <w:rsid w:val="00EA6409"/>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66">
    <w:name w:val="xl66"/>
    <w:basedOn w:val="Normal"/>
    <w:uiPriority w:val="99"/>
    <w:rsid w:val="00EA6409"/>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67">
    <w:name w:val="xl67"/>
    <w:basedOn w:val="Normal"/>
    <w:uiPriority w:val="99"/>
    <w:rsid w:val="00EA640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68">
    <w:name w:val="xl68"/>
    <w:basedOn w:val="Normal"/>
    <w:uiPriority w:val="99"/>
    <w:rsid w:val="00EA6409"/>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69">
    <w:name w:val="xl69"/>
    <w:basedOn w:val="Normal"/>
    <w:uiPriority w:val="99"/>
    <w:rsid w:val="00EA6409"/>
    <w:pPr>
      <w:pBdr>
        <w:top w:val="single" w:sz="4" w:space="0" w:color="auto"/>
        <w:left w:val="single" w:sz="4" w:space="0" w:color="auto"/>
        <w:bottom w:val="single" w:sz="4" w:space="0" w:color="auto"/>
        <w:right w:val="single" w:sz="4" w:space="0" w:color="auto"/>
      </w:pBdr>
      <w:shd w:val="clear" w:color="auto" w:fill="FBD4B4"/>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70">
    <w:name w:val="xl70"/>
    <w:basedOn w:val="Normal"/>
    <w:uiPriority w:val="99"/>
    <w:rsid w:val="00EA6409"/>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71">
    <w:name w:val="xl71"/>
    <w:basedOn w:val="Normal"/>
    <w:uiPriority w:val="99"/>
    <w:rsid w:val="00EA64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72">
    <w:name w:val="xl72"/>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73">
    <w:name w:val="xl73"/>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74">
    <w:name w:val="xl74"/>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Book Antiqua" w:eastAsia="Times New Roman" w:hAnsi="Book Antiqua" w:cs="Times New Roman"/>
      <w:sz w:val="20"/>
      <w:szCs w:val="20"/>
      <w:lang w:eastAsia="fr-FR"/>
    </w:rPr>
  </w:style>
  <w:style w:type="paragraph" w:customStyle="1" w:styleId="xl75">
    <w:name w:val="xl75"/>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Book Antiqua" w:eastAsia="Times New Roman" w:hAnsi="Book Antiqua" w:cs="Times New Roman"/>
      <w:sz w:val="20"/>
      <w:szCs w:val="20"/>
      <w:lang w:eastAsia="fr-FR"/>
    </w:rPr>
  </w:style>
  <w:style w:type="paragraph" w:customStyle="1" w:styleId="xl76">
    <w:name w:val="xl76"/>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77">
    <w:name w:val="xl77"/>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78">
    <w:name w:val="xl78"/>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79">
    <w:name w:val="xl79"/>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0">
    <w:name w:val="xl80"/>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81">
    <w:name w:val="xl81"/>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b/>
      <w:bCs/>
      <w:color w:val="000000"/>
      <w:sz w:val="24"/>
      <w:szCs w:val="24"/>
      <w:lang w:eastAsia="fr-FR"/>
    </w:rPr>
  </w:style>
  <w:style w:type="paragraph" w:customStyle="1" w:styleId="xl82">
    <w:name w:val="xl82"/>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b/>
      <w:bCs/>
      <w:color w:val="000000"/>
      <w:sz w:val="24"/>
      <w:szCs w:val="24"/>
      <w:lang w:eastAsia="fr-FR"/>
    </w:rPr>
  </w:style>
  <w:style w:type="paragraph" w:customStyle="1" w:styleId="xl83">
    <w:name w:val="xl83"/>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84">
    <w:name w:val="xl84"/>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85">
    <w:name w:val="xl85"/>
    <w:basedOn w:val="Normal"/>
    <w:uiPriority w:val="99"/>
    <w:rsid w:val="00EA6409"/>
    <w:pPr>
      <w:pBdr>
        <w:top w:val="single" w:sz="4" w:space="0" w:color="auto"/>
        <w:left w:val="single" w:sz="4" w:space="0" w:color="auto"/>
        <w:bottom w:val="single" w:sz="4" w:space="0" w:color="auto"/>
        <w:right w:val="single" w:sz="4" w:space="0" w:color="auto"/>
      </w:pBdr>
      <w:shd w:val="clear" w:color="auto" w:fill="C6D9F1"/>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86">
    <w:name w:val="xl86"/>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87">
    <w:name w:val="xl87"/>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88">
    <w:name w:val="xl88"/>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89">
    <w:name w:val="xl89"/>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90">
    <w:name w:val="xl90"/>
    <w:basedOn w:val="Normal"/>
    <w:uiPriority w:val="99"/>
    <w:rsid w:val="00EA6409"/>
    <w:pPr>
      <w:pBdr>
        <w:top w:val="single" w:sz="4" w:space="0" w:color="auto"/>
        <w:left w:val="single" w:sz="4" w:space="0" w:color="auto"/>
        <w:bottom w:val="single" w:sz="4" w:space="0" w:color="auto"/>
        <w:right w:val="single" w:sz="4" w:space="0" w:color="auto"/>
      </w:pBdr>
      <w:shd w:val="clear" w:color="auto" w:fill="C6D9F1"/>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91">
    <w:name w:val="xl91"/>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92">
    <w:name w:val="xl92"/>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93">
    <w:name w:val="xl93"/>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18"/>
      <w:szCs w:val="18"/>
      <w:lang w:eastAsia="fr-FR"/>
    </w:rPr>
  </w:style>
  <w:style w:type="paragraph" w:customStyle="1" w:styleId="xl94">
    <w:name w:val="xl94"/>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95">
    <w:name w:val="xl95"/>
    <w:basedOn w:val="Normal"/>
    <w:uiPriority w:val="99"/>
    <w:rsid w:val="00EA640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96">
    <w:name w:val="xl96"/>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97">
    <w:name w:val="xl97"/>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sz w:val="20"/>
      <w:szCs w:val="20"/>
      <w:lang w:eastAsia="fr-FR"/>
    </w:rPr>
  </w:style>
  <w:style w:type="paragraph" w:customStyle="1" w:styleId="xl98">
    <w:name w:val="xl98"/>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sz w:val="20"/>
      <w:szCs w:val="20"/>
      <w:lang w:eastAsia="fr-FR"/>
    </w:rPr>
  </w:style>
  <w:style w:type="paragraph" w:customStyle="1" w:styleId="xl99">
    <w:name w:val="xl99"/>
    <w:basedOn w:val="Normal"/>
    <w:uiPriority w:val="99"/>
    <w:rsid w:val="00EA6409"/>
    <w:pPr>
      <w:pBdr>
        <w:top w:val="single" w:sz="4" w:space="0" w:color="auto"/>
        <w:left w:val="single" w:sz="4" w:space="0" w:color="auto"/>
        <w:bottom w:val="single" w:sz="4" w:space="0" w:color="auto"/>
        <w:right w:val="single" w:sz="4" w:space="0" w:color="auto"/>
      </w:pBdr>
      <w:shd w:val="clear" w:color="auto" w:fill="C6D9F1"/>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00">
    <w:name w:val="xl100"/>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01">
    <w:name w:val="xl101"/>
    <w:basedOn w:val="Normal"/>
    <w:uiPriority w:val="99"/>
    <w:rsid w:val="00EA6409"/>
    <w:pPr>
      <w:pBdr>
        <w:top w:val="single" w:sz="4" w:space="0" w:color="auto"/>
        <w:left w:val="single" w:sz="4" w:space="0" w:color="auto"/>
        <w:bottom w:val="single" w:sz="4" w:space="0" w:color="auto"/>
        <w:right w:val="single" w:sz="4" w:space="0" w:color="auto"/>
      </w:pBdr>
      <w:shd w:val="clear" w:color="auto" w:fill="B6DDE8"/>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102">
    <w:name w:val="xl102"/>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03">
    <w:name w:val="xl103"/>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04">
    <w:name w:val="xl104"/>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05">
    <w:name w:val="xl105"/>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106">
    <w:name w:val="xl106"/>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107">
    <w:name w:val="xl107"/>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paragraph" w:customStyle="1" w:styleId="xl108">
    <w:name w:val="xl108"/>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color w:val="FF0000"/>
      <w:sz w:val="24"/>
      <w:szCs w:val="24"/>
      <w:lang w:eastAsia="fr-FR"/>
    </w:rPr>
  </w:style>
  <w:style w:type="paragraph" w:customStyle="1" w:styleId="xl109">
    <w:name w:val="xl109"/>
    <w:basedOn w:val="Normal"/>
    <w:uiPriority w:val="99"/>
    <w:rsid w:val="00EA6409"/>
    <w:pPr>
      <w:pBdr>
        <w:top w:val="single" w:sz="4" w:space="0" w:color="auto"/>
        <w:left w:val="single" w:sz="4" w:space="31" w:color="auto"/>
        <w:bottom w:val="single" w:sz="4" w:space="0" w:color="auto"/>
        <w:right w:val="single" w:sz="4" w:space="0" w:color="auto"/>
      </w:pBdr>
      <w:shd w:val="clear" w:color="auto" w:fill="FFC000"/>
      <w:spacing w:before="100" w:beforeAutospacing="1" w:after="100" w:afterAutospacing="1" w:line="240" w:lineRule="auto"/>
      <w:ind w:firstLineChars="1000" w:firstLine="1000"/>
    </w:pPr>
    <w:rPr>
      <w:rFonts w:ascii="Times New Roman" w:eastAsia="Times New Roman" w:hAnsi="Times New Roman" w:cs="Times New Roman"/>
      <w:sz w:val="24"/>
      <w:szCs w:val="24"/>
      <w:lang w:eastAsia="fr-FR"/>
    </w:rPr>
  </w:style>
  <w:style w:type="paragraph" w:customStyle="1" w:styleId="xl110">
    <w:name w:val="xl110"/>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111">
    <w:name w:val="xl111"/>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112">
    <w:name w:val="xl112"/>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113">
    <w:name w:val="xl113"/>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114">
    <w:name w:val="xl114"/>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i/>
      <w:iCs/>
      <w:sz w:val="20"/>
      <w:szCs w:val="20"/>
      <w:lang w:eastAsia="fr-FR"/>
    </w:rPr>
  </w:style>
  <w:style w:type="paragraph" w:customStyle="1" w:styleId="xl115">
    <w:name w:val="xl115"/>
    <w:basedOn w:val="Normal"/>
    <w:uiPriority w:val="99"/>
    <w:rsid w:val="00EA6409"/>
    <w:pPr>
      <w:pBdr>
        <w:top w:val="single" w:sz="4" w:space="0" w:color="auto"/>
        <w:left w:val="single" w:sz="4" w:space="0" w:color="auto"/>
        <w:bottom w:val="single" w:sz="4" w:space="0" w:color="auto"/>
        <w:right w:val="single" w:sz="4" w:space="0" w:color="auto"/>
      </w:pBdr>
      <w:shd w:val="clear" w:color="auto" w:fill="C6D9F1"/>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16">
    <w:name w:val="xl116"/>
    <w:basedOn w:val="Normal"/>
    <w:uiPriority w:val="99"/>
    <w:rsid w:val="00EA64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17">
    <w:name w:val="xl117"/>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color w:val="000000"/>
      <w:sz w:val="24"/>
      <w:szCs w:val="24"/>
      <w:lang w:eastAsia="fr-FR"/>
    </w:rPr>
  </w:style>
  <w:style w:type="paragraph" w:customStyle="1" w:styleId="xl118">
    <w:name w:val="xl118"/>
    <w:basedOn w:val="Normal"/>
    <w:uiPriority w:val="99"/>
    <w:rsid w:val="00EA6409"/>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119">
    <w:name w:val="xl119"/>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b/>
      <w:bCs/>
      <w:sz w:val="24"/>
      <w:szCs w:val="24"/>
      <w:lang w:eastAsia="fr-FR"/>
    </w:rPr>
  </w:style>
  <w:style w:type="paragraph" w:customStyle="1" w:styleId="xl120">
    <w:name w:val="xl120"/>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color w:val="243F60"/>
      <w:sz w:val="20"/>
      <w:szCs w:val="20"/>
      <w:lang w:eastAsia="fr-FR"/>
    </w:rPr>
  </w:style>
  <w:style w:type="paragraph" w:customStyle="1" w:styleId="xl121">
    <w:name w:val="xl121"/>
    <w:basedOn w:val="Normal"/>
    <w:uiPriority w:val="99"/>
    <w:rsid w:val="00EA6409"/>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jc w:val="both"/>
    </w:pPr>
    <w:rPr>
      <w:rFonts w:ascii="Times New Roman" w:eastAsia="Times New Roman" w:hAnsi="Times New Roman" w:cs="Times New Roman"/>
      <w:color w:val="000000"/>
      <w:sz w:val="20"/>
      <w:szCs w:val="20"/>
      <w:lang w:eastAsia="fr-FR"/>
    </w:rPr>
  </w:style>
  <w:style w:type="paragraph" w:customStyle="1" w:styleId="xl122">
    <w:name w:val="xl122"/>
    <w:basedOn w:val="Normal"/>
    <w:uiPriority w:val="99"/>
    <w:rsid w:val="00EA6409"/>
    <w:pPr>
      <w:pBdr>
        <w:top w:val="single" w:sz="4" w:space="0" w:color="auto"/>
        <w:left w:val="single" w:sz="4" w:space="0" w:color="auto"/>
        <w:bottom w:val="single" w:sz="4" w:space="0" w:color="auto"/>
        <w:right w:val="single" w:sz="4" w:space="0" w:color="auto"/>
      </w:pBdr>
      <w:shd w:val="clear" w:color="auto" w:fill="DBE5F1"/>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123">
    <w:name w:val="xl123"/>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124">
    <w:name w:val="xl124"/>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customStyle="1" w:styleId="xl125">
    <w:name w:val="xl125"/>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color w:val="000000"/>
      <w:sz w:val="24"/>
      <w:szCs w:val="24"/>
      <w:lang w:eastAsia="fr-FR"/>
    </w:rPr>
  </w:style>
  <w:style w:type="paragraph" w:customStyle="1" w:styleId="xl126">
    <w:name w:val="xl126"/>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127">
    <w:name w:val="xl127"/>
    <w:basedOn w:val="Normal"/>
    <w:uiPriority w:val="99"/>
    <w:rsid w:val="00EA6409"/>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both"/>
    </w:pPr>
    <w:rPr>
      <w:rFonts w:ascii="Times New Roman" w:eastAsia="Times New Roman" w:hAnsi="Times New Roman" w:cs="Times New Roman"/>
      <w:b/>
      <w:bCs/>
      <w:color w:val="000000"/>
      <w:sz w:val="20"/>
      <w:szCs w:val="20"/>
      <w:lang w:eastAsia="fr-FR"/>
    </w:rPr>
  </w:style>
  <w:style w:type="paragraph" w:customStyle="1" w:styleId="xl128">
    <w:name w:val="xl128"/>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129">
    <w:name w:val="xl129"/>
    <w:basedOn w:val="Normal"/>
    <w:uiPriority w:val="99"/>
    <w:rsid w:val="00EA640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sz w:val="20"/>
      <w:szCs w:val="20"/>
      <w:lang w:eastAsia="fr-FR"/>
    </w:rPr>
  </w:style>
  <w:style w:type="paragraph" w:customStyle="1" w:styleId="xl130">
    <w:name w:val="xl130"/>
    <w:basedOn w:val="Normal"/>
    <w:uiPriority w:val="99"/>
    <w:rsid w:val="00EA640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paragraph" w:customStyle="1" w:styleId="xl131">
    <w:name w:val="xl131"/>
    <w:basedOn w:val="Normal"/>
    <w:uiPriority w:val="99"/>
    <w:rsid w:val="00EA6409"/>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pPr>
    <w:rPr>
      <w:rFonts w:ascii="Times New Roman" w:eastAsia="Times New Roman" w:hAnsi="Times New Roman" w:cs="Times New Roman"/>
      <w:b/>
      <w:bCs/>
      <w:sz w:val="20"/>
      <w:szCs w:val="20"/>
      <w:lang w:eastAsia="fr-FR"/>
    </w:rPr>
  </w:style>
  <w:style w:type="paragraph" w:customStyle="1" w:styleId="xl132">
    <w:name w:val="xl132"/>
    <w:basedOn w:val="Normal"/>
    <w:uiPriority w:val="99"/>
    <w:rsid w:val="00EA640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xl133">
    <w:name w:val="xl133"/>
    <w:basedOn w:val="Normal"/>
    <w:uiPriority w:val="99"/>
    <w:rsid w:val="00EA6409"/>
    <w:pP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134">
    <w:name w:val="xl134"/>
    <w:basedOn w:val="Normal"/>
    <w:uiPriority w:val="99"/>
    <w:rsid w:val="00EA6409"/>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pPr>
    <w:rPr>
      <w:rFonts w:ascii="Times New Roman" w:eastAsia="Times New Roman" w:hAnsi="Times New Roman" w:cs="Times New Roman"/>
      <w:b/>
      <w:bCs/>
      <w:color w:val="000000"/>
      <w:sz w:val="20"/>
      <w:szCs w:val="20"/>
      <w:lang w:eastAsia="fr-FR"/>
    </w:rPr>
  </w:style>
  <w:style w:type="character" w:customStyle="1" w:styleId="DocumentMapChar1">
    <w:name w:val="Document Map Char1"/>
    <w:basedOn w:val="Policepardfaut"/>
    <w:uiPriority w:val="99"/>
    <w:semiHidden/>
    <w:rsid w:val="00EA6409"/>
    <w:rPr>
      <w:rFonts w:ascii="Tahoma" w:hAnsi="Tahoma" w:cs="Tahoma" w:hint="default"/>
      <w:sz w:val="16"/>
      <w:szCs w:val="16"/>
    </w:rPr>
  </w:style>
  <w:style w:type="character" w:customStyle="1" w:styleId="CommentTextChar1">
    <w:name w:val="Comment Text Char1"/>
    <w:basedOn w:val="Policepardfaut"/>
    <w:uiPriority w:val="99"/>
    <w:semiHidden/>
    <w:rsid w:val="00EA6409"/>
    <w:rPr>
      <w:sz w:val="20"/>
      <w:szCs w:val="20"/>
    </w:rPr>
  </w:style>
  <w:style w:type="character" w:customStyle="1" w:styleId="CommentSubjectChar1">
    <w:name w:val="Comment Subject Char1"/>
    <w:basedOn w:val="CommentTextChar1"/>
    <w:uiPriority w:val="99"/>
    <w:semiHidden/>
    <w:rsid w:val="00EA6409"/>
    <w:rPr>
      <w:b/>
      <w:bCs/>
      <w:sz w:val="20"/>
      <w:szCs w:val="20"/>
    </w:rPr>
  </w:style>
  <w:style w:type="table" w:customStyle="1" w:styleId="Grilledutableau1">
    <w:name w:val="Grille du tableau1"/>
    <w:basedOn w:val="TableauNormal"/>
    <w:uiPriority w:val="59"/>
    <w:rsid w:val="00EA6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Accent111">
    <w:name w:val="Grille claire - Accent 111"/>
    <w:basedOn w:val="TableauNormal"/>
    <w:uiPriority w:val="62"/>
    <w:rsid w:val="00EA64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lleclaire-Accent51">
    <w:name w:val="Grille claire - Accent 51"/>
    <w:basedOn w:val="TableauNormal"/>
    <w:uiPriority w:val="62"/>
    <w:rsid w:val="00EA640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lledutableau2">
    <w:name w:val="Grille du tableau2"/>
    <w:basedOn w:val="TableauNormal"/>
    <w:uiPriority w:val="59"/>
    <w:rsid w:val="00EA6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claire-Accent112">
    <w:name w:val="Grille claire - Accent 112"/>
    <w:basedOn w:val="TableauNormal"/>
    <w:uiPriority w:val="62"/>
    <w:rsid w:val="00EA64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lleclaire-Accent52">
    <w:name w:val="Grille claire - Accent 52"/>
    <w:basedOn w:val="TableauNormal"/>
    <w:uiPriority w:val="62"/>
    <w:rsid w:val="00EA640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950911">
      <w:bodyDiv w:val="1"/>
      <w:marLeft w:val="0"/>
      <w:marRight w:val="0"/>
      <w:marTop w:val="0"/>
      <w:marBottom w:val="0"/>
      <w:divBdr>
        <w:top w:val="none" w:sz="0" w:space="0" w:color="auto"/>
        <w:left w:val="none" w:sz="0" w:space="0" w:color="auto"/>
        <w:bottom w:val="none" w:sz="0" w:space="0" w:color="auto"/>
        <w:right w:val="none" w:sz="0" w:space="0" w:color="auto"/>
      </w:divBdr>
    </w:div>
    <w:div w:id="297490279">
      <w:bodyDiv w:val="1"/>
      <w:marLeft w:val="0"/>
      <w:marRight w:val="0"/>
      <w:marTop w:val="0"/>
      <w:marBottom w:val="0"/>
      <w:divBdr>
        <w:top w:val="none" w:sz="0" w:space="0" w:color="auto"/>
        <w:left w:val="none" w:sz="0" w:space="0" w:color="auto"/>
        <w:bottom w:val="none" w:sz="0" w:space="0" w:color="auto"/>
        <w:right w:val="none" w:sz="0" w:space="0" w:color="auto"/>
      </w:divBdr>
    </w:div>
    <w:div w:id="383408750">
      <w:bodyDiv w:val="1"/>
      <w:marLeft w:val="0"/>
      <w:marRight w:val="0"/>
      <w:marTop w:val="0"/>
      <w:marBottom w:val="0"/>
      <w:divBdr>
        <w:top w:val="none" w:sz="0" w:space="0" w:color="auto"/>
        <w:left w:val="none" w:sz="0" w:space="0" w:color="auto"/>
        <w:bottom w:val="none" w:sz="0" w:space="0" w:color="auto"/>
        <w:right w:val="none" w:sz="0" w:space="0" w:color="auto"/>
      </w:divBdr>
    </w:div>
    <w:div w:id="473184421">
      <w:bodyDiv w:val="1"/>
      <w:marLeft w:val="0"/>
      <w:marRight w:val="0"/>
      <w:marTop w:val="0"/>
      <w:marBottom w:val="0"/>
      <w:divBdr>
        <w:top w:val="none" w:sz="0" w:space="0" w:color="auto"/>
        <w:left w:val="none" w:sz="0" w:space="0" w:color="auto"/>
        <w:bottom w:val="none" w:sz="0" w:space="0" w:color="auto"/>
        <w:right w:val="none" w:sz="0" w:space="0" w:color="auto"/>
      </w:divBdr>
    </w:div>
    <w:div w:id="488522193">
      <w:bodyDiv w:val="1"/>
      <w:marLeft w:val="0"/>
      <w:marRight w:val="0"/>
      <w:marTop w:val="0"/>
      <w:marBottom w:val="0"/>
      <w:divBdr>
        <w:top w:val="none" w:sz="0" w:space="0" w:color="auto"/>
        <w:left w:val="none" w:sz="0" w:space="0" w:color="auto"/>
        <w:bottom w:val="none" w:sz="0" w:space="0" w:color="auto"/>
        <w:right w:val="none" w:sz="0" w:space="0" w:color="auto"/>
      </w:divBdr>
    </w:div>
    <w:div w:id="510142257">
      <w:bodyDiv w:val="1"/>
      <w:marLeft w:val="0"/>
      <w:marRight w:val="0"/>
      <w:marTop w:val="0"/>
      <w:marBottom w:val="0"/>
      <w:divBdr>
        <w:top w:val="none" w:sz="0" w:space="0" w:color="auto"/>
        <w:left w:val="none" w:sz="0" w:space="0" w:color="auto"/>
        <w:bottom w:val="none" w:sz="0" w:space="0" w:color="auto"/>
        <w:right w:val="none" w:sz="0" w:space="0" w:color="auto"/>
      </w:divBdr>
    </w:div>
    <w:div w:id="556477577">
      <w:bodyDiv w:val="1"/>
      <w:marLeft w:val="0"/>
      <w:marRight w:val="0"/>
      <w:marTop w:val="0"/>
      <w:marBottom w:val="0"/>
      <w:divBdr>
        <w:top w:val="none" w:sz="0" w:space="0" w:color="auto"/>
        <w:left w:val="none" w:sz="0" w:space="0" w:color="auto"/>
        <w:bottom w:val="none" w:sz="0" w:space="0" w:color="auto"/>
        <w:right w:val="none" w:sz="0" w:space="0" w:color="auto"/>
      </w:divBdr>
    </w:div>
    <w:div w:id="854265328">
      <w:bodyDiv w:val="1"/>
      <w:marLeft w:val="0"/>
      <w:marRight w:val="0"/>
      <w:marTop w:val="0"/>
      <w:marBottom w:val="0"/>
      <w:divBdr>
        <w:top w:val="none" w:sz="0" w:space="0" w:color="auto"/>
        <w:left w:val="none" w:sz="0" w:space="0" w:color="auto"/>
        <w:bottom w:val="none" w:sz="0" w:space="0" w:color="auto"/>
        <w:right w:val="none" w:sz="0" w:space="0" w:color="auto"/>
      </w:divBdr>
    </w:div>
    <w:div w:id="864750725">
      <w:bodyDiv w:val="1"/>
      <w:marLeft w:val="0"/>
      <w:marRight w:val="0"/>
      <w:marTop w:val="0"/>
      <w:marBottom w:val="0"/>
      <w:divBdr>
        <w:top w:val="none" w:sz="0" w:space="0" w:color="auto"/>
        <w:left w:val="none" w:sz="0" w:space="0" w:color="auto"/>
        <w:bottom w:val="none" w:sz="0" w:space="0" w:color="auto"/>
        <w:right w:val="none" w:sz="0" w:space="0" w:color="auto"/>
      </w:divBdr>
    </w:div>
    <w:div w:id="914823237">
      <w:bodyDiv w:val="1"/>
      <w:marLeft w:val="0"/>
      <w:marRight w:val="0"/>
      <w:marTop w:val="0"/>
      <w:marBottom w:val="0"/>
      <w:divBdr>
        <w:top w:val="none" w:sz="0" w:space="0" w:color="auto"/>
        <w:left w:val="none" w:sz="0" w:space="0" w:color="auto"/>
        <w:bottom w:val="none" w:sz="0" w:space="0" w:color="auto"/>
        <w:right w:val="none" w:sz="0" w:space="0" w:color="auto"/>
      </w:divBdr>
      <w:divsChild>
        <w:div w:id="1790933242">
          <w:marLeft w:val="547"/>
          <w:marRight w:val="0"/>
          <w:marTop w:val="0"/>
          <w:marBottom w:val="0"/>
          <w:divBdr>
            <w:top w:val="none" w:sz="0" w:space="0" w:color="auto"/>
            <w:left w:val="none" w:sz="0" w:space="0" w:color="auto"/>
            <w:bottom w:val="none" w:sz="0" w:space="0" w:color="auto"/>
            <w:right w:val="none" w:sz="0" w:space="0" w:color="auto"/>
          </w:divBdr>
        </w:div>
      </w:divsChild>
    </w:div>
    <w:div w:id="1245991063">
      <w:bodyDiv w:val="1"/>
      <w:marLeft w:val="0"/>
      <w:marRight w:val="0"/>
      <w:marTop w:val="0"/>
      <w:marBottom w:val="0"/>
      <w:divBdr>
        <w:top w:val="none" w:sz="0" w:space="0" w:color="auto"/>
        <w:left w:val="none" w:sz="0" w:space="0" w:color="auto"/>
        <w:bottom w:val="none" w:sz="0" w:space="0" w:color="auto"/>
        <w:right w:val="none" w:sz="0" w:space="0" w:color="auto"/>
      </w:divBdr>
      <w:divsChild>
        <w:div w:id="1942949073">
          <w:marLeft w:val="547"/>
          <w:marRight w:val="0"/>
          <w:marTop w:val="0"/>
          <w:marBottom w:val="0"/>
          <w:divBdr>
            <w:top w:val="none" w:sz="0" w:space="0" w:color="auto"/>
            <w:left w:val="none" w:sz="0" w:space="0" w:color="auto"/>
            <w:bottom w:val="none" w:sz="0" w:space="0" w:color="auto"/>
            <w:right w:val="none" w:sz="0" w:space="0" w:color="auto"/>
          </w:divBdr>
        </w:div>
      </w:divsChild>
    </w:div>
    <w:div w:id="1309633610">
      <w:bodyDiv w:val="1"/>
      <w:marLeft w:val="0"/>
      <w:marRight w:val="0"/>
      <w:marTop w:val="0"/>
      <w:marBottom w:val="0"/>
      <w:divBdr>
        <w:top w:val="none" w:sz="0" w:space="0" w:color="auto"/>
        <w:left w:val="none" w:sz="0" w:space="0" w:color="auto"/>
        <w:bottom w:val="none" w:sz="0" w:space="0" w:color="auto"/>
        <w:right w:val="none" w:sz="0" w:space="0" w:color="auto"/>
      </w:divBdr>
    </w:div>
    <w:div w:id="1366054516">
      <w:bodyDiv w:val="1"/>
      <w:marLeft w:val="0"/>
      <w:marRight w:val="0"/>
      <w:marTop w:val="0"/>
      <w:marBottom w:val="0"/>
      <w:divBdr>
        <w:top w:val="none" w:sz="0" w:space="0" w:color="auto"/>
        <w:left w:val="none" w:sz="0" w:space="0" w:color="auto"/>
        <w:bottom w:val="none" w:sz="0" w:space="0" w:color="auto"/>
        <w:right w:val="none" w:sz="0" w:space="0" w:color="auto"/>
      </w:divBdr>
    </w:div>
    <w:div w:id="1459488134">
      <w:bodyDiv w:val="1"/>
      <w:marLeft w:val="0"/>
      <w:marRight w:val="0"/>
      <w:marTop w:val="0"/>
      <w:marBottom w:val="0"/>
      <w:divBdr>
        <w:top w:val="none" w:sz="0" w:space="0" w:color="auto"/>
        <w:left w:val="none" w:sz="0" w:space="0" w:color="auto"/>
        <w:bottom w:val="none" w:sz="0" w:space="0" w:color="auto"/>
        <w:right w:val="none" w:sz="0" w:space="0" w:color="auto"/>
      </w:divBdr>
    </w:div>
    <w:div w:id="1756710064">
      <w:bodyDiv w:val="1"/>
      <w:marLeft w:val="0"/>
      <w:marRight w:val="0"/>
      <w:marTop w:val="0"/>
      <w:marBottom w:val="0"/>
      <w:divBdr>
        <w:top w:val="none" w:sz="0" w:space="0" w:color="auto"/>
        <w:left w:val="none" w:sz="0" w:space="0" w:color="auto"/>
        <w:bottom w:val="none" w:sz="0" w:space="0" w:color="auto"/>
        <w:right w:val="none" w:sz="0" w:space="0" w:color="auto"/>
      </w:divBdr>
    </w:div>
    <w:div w:id="1809467036">
      <w:bodyDiv w:val="1"/>
      <w:marLeft w:val="0"/>
      <w:marRight w:val="0"/>
      <w:marTop w:val="0"/>
      <w:marBottom w:val="0"/>
      <w:divBdr>
        <w:top w:val="none" w:sz="0" w:space="0" w:color="auto"/>
        <w:left w:val="none" w:sz="0" w:space="0" w:color="auto"/>
        <w:bottom w:val="none" w:sz="0" w:space="0" w:color="auto"/>
        <w:right w:val="none" w:sz="0" w:space="0" w:color="auto"/>
      </w:divBdr>
    </w:div>
    <w:div w:id="2035111468">
      <w:bodyDiv w:val="1"/>
      <w:marLeft w:val="0"/>
      <w:marRight w:val="0"/>
      <w:marTop w:val="0"/>
      <w:marBottom w:val="0"/>
      <w:divBdr>
        <w:top w:val="none" w:sz="0" w:space="0" w:color="auto"/>
        <w:left w:val="none" w:sz="0" w:space="0" w:color="auto"/>
        <w:bottom w:val="none" w:sz="0" w:space="0" w:color="auto"/>
        <w:right w:val="none" w:sz="0" w:space="0" w:color="auto"/>
      </w:divBdr>
    </w:div>
    <w:div w:id="2048798265">
      <w:bodyDiv w:val="1"/>
      <w:marLeft w:val="0"/>
      <w:marRight w:val="0"/>
      <w:marTop w:val="0"/>
      <w:marBottom w:val="0"/>
      <w:divBdr>
        <w:top w:val="none" w:sz="0" w:space="0" w:color="auto"/>
        <w:left w:val="none" w:sz="0" w:space="0" w:color="auto"/>
        <w:bottom w:val="none" w:sz="0" w:space="0" w:color="auto"/>
        <w:right w:val="none" w:sz="0" w:space="0" w:color="auto"/>
      </w:divBdr>
      <w:divsChild>
        <w:div w:id="39525384">
          <w:marLeft w:val="547"/>
          <w:marRight w:val="0"/>
          <w:marTop w:val="0"/>
          <w:marBottom w:val="0"/>
          <w:divBdr>
            <w:top w:val="none" w:sz="0" w:space="0" w:color="auto"/>
            <w:left w:val="none" w:sz="0" w:space="0" w:color="auto"/>
            <w:bottom w:val="none" w:sz="0" w:space="0" w:color="auto"/>
            <w:right w:val="none" w:sz="0" w:space="0" w:color="auto"/>
          </w:divBdr>
        </w:div>
      </w:divsChild>
    </w:div>
    <w:div w:id="2088191426">
      <w:bodyDiv w:val="1"/>
      <w:marLeft w:val="0"/>
      <w:marRight w:val="0"/>
      <w:marTop w:val="0"/>
      <w:marBottom w:val="0"/>
      <w:divBdr>
        <w:top w:val="none" w:sz="0" w:space="0" w:color="auto"/>
        <w:left w:val="none" w:sz="0" w:space="0" w:color="auto"/>
        <w:bottom w:val="none" w:sz="0" w:space="0" w:color="auto"/>
        <w:right w:val="none" w:sz="0" w:space="0" w:color="auto"/>
      </w:divBdr>
      <w:divsChild>
        <w:div w:id="2426920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www.google.bi/url?sa=t&amp;rct=j&amp;q=&amp;esrc=s&amp;source=web&amp;cd=1&amp;cad=rja&amp;uact=8&amp;ved=0ahUKEwiR__eXof_XAhUHshQKHZPxCBMQFgglMAA&amp;url=https%3A%2F%2Freliefweb.int%2Freport%2Fburundi%2Fgreat-lakes-initiative-hivaids-glia-support&amp;usg=AOvVaw0LL3qHjSBEvEgxkhD_wgoX" TargetMode="External"/><Relationship Id="rId26" Type="http://schemas.openxmlformats.org/officeDocument/2006/relationships/diagramLayout" Target="diagrams/layout2.xml"/><Relationship Id="rId39" Type="http://schemas.microsoft.com/office/2007/relationships/diagramDrawing" Target="diagrams/drawing3.xm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diagramQuickStyle" Target="diagrams/quickStyle4.xm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microsoft.com/office/2007/relationships/diagramDrawing" Target="diagrams/drawing2.xml"/><Relationship Id="rId11" Type="http://schemas.openxmlformats.org/officeDocument/2006/relationships/diagramLayout" Target="diagrams/layout1.xml"/><Relationship Id="rId24" Type="http://schemas.openxmlformats.org/officeDocument/2006/relationships/header" Target="header4.xml"/><Relationship Id="rId32" Type="http://schemas.openxmlformats.org/officeDocument/2006/relationships/image" Target="media/image6.emf"/><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google.fr/url?sa=t&amp;rct=j&amp;q=&amp;esrc=s&amp;source=web&amp;cd=3&amp;cad=rja&amp;uact=8&amp;ved=0ahUKEwiXmZKY0__XAhXFuhQKHVRNCwwQFgg5MAI&amp;url=http%3A%2F%2Fwww.un.org%2Fen%2Fafrica%2Fosaa%2Fpartnerships%2Fticad.shtml&amp;usg=AOvVaw14QqigV5sq_TMziu7BhB8d" TargetMode="External"/><Relationship Id="rId14" Type="http://schemas.microsoft.com/office/2007/relationships/diagramDrawing" Target="diagrams/drawing1.xml"/><Relationship Id="rId22" Type="http://schemas.openxmlformats.org/officeDocument/2006/relationships/footer" Target="footer3.xml"/><Relationship Id="rId27" Type="http://schemas.openxmlformats.org/officeDocument/2006/relationships/diagramQuickStyle" Target="diagrams/quickStyle2.xml"/><Relationship Id="rId30" Type="http://schemas.openxmlformats.org/officeDocument/2006/relationships/image" Target="media/image4.png"/><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diagramData" Target="diagrams/data2.xml"/><Relationship Id="rId33" Type="http://schemas.openxmlformats.org/officeDocument/2006/relationships/image" Target="media/image7.png"/><Relationship Id="rId38" Type="http://schemas.openxmlformats.org/officeDocument/2006/relationships/diagramColors" Target="diagrams/colors3.xml"/><Relationship Id="rId46" Type="http://schemas.openxmlformats.org/officeDocument/2006/relationships/image" Target="media/image12.png"/><Relationship Id="rId59" Type="http://schemas.openxmlformats.org/officeDocument/2006/relationships/image" Target="media/image25.png"/><Relationship Id="rId20" Type="http://schemas.openxmlformats.org/officeDocument/2006/relationships/header" Target="header2.xml"/><Relationship Id="rId41" Type="http://schemas.openxmlformats.org/officeDocument/2006/relationships/diagramLayout" Target="diagrams/layout4.xml"/><Relationship Id="rId54" Type="http://schemas.openxmlformats.org/officeDocument/2006/relationships/image" Target="media/image2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diagramColors" Target="diagrams/colors2.xml"/><Relationship Id="rId36" Type="http://schemas.openxmlformats.org/officeDocument/2006/relationships/diagramLayout" Target="diagrams/layout3.xm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diagramData" Target="diagrams/data1.xml"/><Relationship Id="rId31" Type="http://schemas.openxmlformats.org/officeDocument/2006/relationships/image" Target="media/image5.png"/><Relationship Id="rId44" Type="http://schemas.microsoft.com/office/2007/relationships/diagramDrawing" Target="diagrams/drawing4.xml"/><Relationship Id="rId52" Type="http://schemas.openxmlformats.org/officeDocument/2006/relationships/image" Target="media/image18.png"/><Relationship Id="rId60"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3.xml.rels><?xml version="1.0" encoding="UTF-8" standalone="yes"?>
<Relationships xmlns="http://schemas.openxmlformats.org/package/2006/relationships"><Relationship Id="rId1" Type="http://schemas.openxmlformats.org/officeDocument/2006/relationships/image" Target="../media/image9.jpeg"/></Relationships>
</file>

<file path=word/diagrams/_rels/data4.xml.rels><?xml version="1.0" encoding="UTF-8" standalone="yes"?>
<Relationships xmlns="http://schemas.openxmlformats.org/package/2006/relationships"><Relationship Id="rId1" Type="http://schemas.openxmlformats.org/officeDocument/2006/relationships/image" Target="../media/image10.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1160B8-036F-4A43-ABFD-89A7448B96FC}" type="doc">
      <dgm:prSet loTypeId="urn:microsoft.com/office/officeart/2009/3/layout/RandomtoResultProcess" loCatId="process" qsTypeId="urn:microsoft.com/office/officeart/2005/8/quickstyle/3d2#1" qsCatId="3D" csTypeId="urn:microsoft.com/office/officeart/2005/8/colors/colorful2" csCatId="colorful" phldr="1"/>
      <dgm:spPr/>
      <dgm:t>
        <a:bodyPr/>
        <a:lstStyle/>
        <a:p>
          <a:endParaRPr lang="fr-FR"/>
        </a:p>
      </dgm:t>
    </dgm:pt>
    <dgm:pt modelId="{1AAA7F8A-DB13-44D7-9632-AD9BF4C649D1}">
      <dgm:prSet phldrT="[Texte]" custT="1"/>
      <dgm:spPr/>
      <dgm:t>
        <a:bodyPr/>
        <a:lstStyle/>
        <a:p>
          <a:pPr algn="ctr"/>
          <a:r>
            <a:rPr lang="fr-FR" sz="1600" b="1"/>
            <a:t>Transformation Structurelle de l'Economie </a:t>
          </a:r>
        </a:p>
      </dgm:t>
    </dgm:pt>
    <dgm:pt modelId="{918EDC11-9E4A-48D3-8D56-E99E12B5E7FB}" type="parTrans" cxnId="{D5999321-C7A9-4E09-82FA-BF51A8B05C3C}">
      <dgm:prSet/>
      <dgm:spPr/>
      <dgm:t>
        <a:bodyPr/>
        <a:lstStyle/>
        <a:p>
          <a:pPr algn="ctr"/>
          <a:endParaRPr lang="fr-FR"/>
        </a:p>
      </dgm:t>
    </dgm:pt>
    <dgm:pt modelId="{42B8191B-EDD7-4D7E-B348-A2BB7E16A1AC}" type="sibTrans" cxnId="{D5999321-C7A9-4E09-82FA-BF51A8B05C3C}">
      <dgm:prSet/>
      <dgm:spPr/>
      <dgm:t>
        <a:bodyPr/>
        <a:lstStyle/>
        <a:p>
          <a:pPr algn="ctr"/>
          <a:endParaRPr lang="fr-FR"/>
        </a:p>
      </dgm:t>
    </dgm:pt>
    <dgm:pt modelId="{55FA6FE5-5840-4BFC-91EA-75A094C14E39}">
      <dgm:prSet phldrT="[Texte]" custT="1"/>
      <dgm:spPr/>
      <dgm:t>
        <a:bodyPr/>
        <a:lstStyle/>
        <a:p>
          <a:pPr algn="ctr"/>
          <a:r>
            <a:rPr lang="fr-FR" sz="1600" b="1"/>
            <a:t>Une  Croissance Soutenue et Inclusive  pour  un Développement Durable au Burundi </a:t>
          </a:r>
        </a:p>
      </dgm:t>
    </dgm:pt>
    <dgm:pt modelId="{5DCB23F3-5AA5-4803-8251-538CF53F7326}" type="parTrans" cxnId="{53F24E1F-B1C0-4C09-B9CA-3C8C8DF11F82}">
      <dgm:prSet/>
      <dgm:spPr/>
      <dgm:t>
        <a:bodyPr/>
        <a:lstStyle/>
        <a:p>
          <a:pPr algn="ctr"/>
          <a:endParaRPr lang="fr-FR"/>
        </a:p>
      </dgm:t>
    </dgm:pt>
    <dgm:pt modelId="{A1C44274-D8B6-4115-8E14-BD9CBEE2F716}" type="sibTrans" cxnId="{53F24E1F-B1C0-4C09-B9CA-3C8C8DF11F82}">
      <dgm:prSet/>
      <dgm:spPr/>
      <dgm:t>
        <a:bodyPr/>
        <a:lstStyle/>
        <a:p>
          <a:pPr algn="ctr"/>
          <a:endParaRPr lang="fr-FR"/>
        </a:p>
      </dgm:t>
    </dgm:pt>
    <dgm:pt modelId="{C6D36702-6407-4BB9-80AA-6B086B6D8F53}" type="pres">
      <dgm:prSet presAssocID="{241160B8-036F-4A43-ABFD-89A7448B96FC}" presName="Name0" presStyleCnt="0">
        <dgm:presLayoutVars>
          <dgm:dir/>
          <dgm:animOne val="branch"/>
          <dgm:animLvl val="lvl"/>
        </dgm:presLayoutVars>
      </dgm:prSet>
      <dgm:spPr/>
    </dgm:pt>
    <dgm:pt modelId="{DB625E07-B718-4011-B976-C75B2C1621F5}" type="pres">
      <dgm:prSet presAssocID="{1AAA7F8A-DB13-44D7-9632-AD9BF4C649D1}" presName="chaos" presStyleCnt="0"/>
      <dgm:spPr/>
    </dgm:pt>
    <dgm:pt modelId="{89326790-2DC4-46DA-8868-6C7CE30A37A1}" type="pres">
      <dgm:prSet presAssocID="{1AAA7F8A-DB13-44D7-9632-AD9BF4C649D1}" presName="parTx1" presStyleLbl="revTx" presStyleIdx="0" presStyleCnt="1" custScaleY="205250"/>
      <dgm:spPr/>
    </dgm:pt>
    <dgm:pt modelId="{3ACDE2BE-AC11-4675-B066-E666332DA5DF}" type="pres">
      <dgm:prSet presAssocID="{1AAA7F8A-DB13-44D7-9632-AD9BF4C649D1}" presName="c1" presStyleLbl="node1" presStyleIdx="0" presStyleCnt="19"/>
      <dgm:spPr/>
    </dgm:pt>
    <dgm:pt modelId="{D2692850-C1BC-4ABE-B1B2-C02F71496D0A}" type="pres">
      <dgm:prSet presAssocID="{1AAA7F8A-DB13-44D7-9632-AD9BF4C649D1}" presName="c2" presStyleLbl="node1" presStyleIdx="1" presStyleCnt="19"/>
      <dgm:spPr/>
    </dgm:pt>
    <dgm:pt modelId="{CC70B62E-35F7-42A4-AFFD-789050CF8C74}" type="pres">
      <dgm:prSet presAssocID="{1AAA7F8A-DB13-44D7-9632-AD9BF4C649D1}" presName="c3" presStyleLbl="node1" presStyleIdx="2" presStyleCnt="19"/>
      <dgm:spPr/>
    </dgm:pt>
    <dgm:pt modelId="{8666E0F1-F8E6-48B6-99FB-A5570C47569A}" type="pres">
      <dgm:prSet presAssocID="{1AAA7F8A-DB13-44D7-9632-AD9BF4C649D1}" presName="c4" presStyleLbl="node1" presStyleIdx="3" presStyleCnt="19"/>
      <dgm:spPr/>
    </dgm:pt>
    <dgm:pt modelId="{4B9C7978-4F5D-4134-80FF-FB089833B064}" type="pres">
      <dgm:prSet presAssocID="{1AAA7F8A-DB13-44D7-9632-AD9BF4C649D1}" presName="c5" presStyleLbl="node1" presStyleIdx="4" presStyleCnt="19"/>
      <dgm:spPr/>
    </dgm:pt>
    <dgm:pt modelId="{6DE3F59C-D893-4A56-9ED5-6A448788B094}" type="pres">
      <dgm:prSet presAssocID="{1AAA7F8A-DB13-44D7-9632-AD9BF4C649D1}" presName="c6" presStyleLbl="node1" presStyleIdx="5" presStyleCnt="19"/>
      <dgm:spPr/>
    </dgm:pt>
    <dgm:pt modelId="{DF2A36B6-7A30-40D7-A2B7-F9926A9EA4A8}" type="pres">
      <dgm:prSet presAssocID="{1AAA7F8A-DB13-44D7-9632-AD9BF4C649D1}" presName="c7" presStyleLbl="node1" presStyleIdx="6" presStyleCnt="19"/>
      <dgm:spPr/>
    </dgm:pt>
    <dgm:pt modelId="{294E9B83-5B5E-432E-8A86-2D9413071A42}" type="pres">
      <dgm:prSet presAssocID="{1AAA7F8A-DB13-44D7-9632-AD9BF4C649D1}" presName="c8" presStyleLbl="node1" presStyleIdx="7" presStyleCnt="19"/>
      <dgm:spPr/>
    </dgm:pt>
    <dgm:pt modelId="{5CA9D4D9-7A10-4E2A-875C-FFD701D24D4F}" type="pres">
      <dgm:prSet presAssocID="{1AAA7F8A-DB13-44D7-9632-AD9BF4C649D1}" presName="c9" presStyleLbl="node1" presStyleIdx="8" presStyleCnt="19"/>
      <dgm:spPr/>
    </dgm:pt>
    <dgm:pt modelId="{0316A65C-DF45-449A-8DF4-8FF9DB6BFFC4}" type="pres">
      <dgm:prSet presAssocID="{1AAA7F8A-DB13-44D7-9632-AD9BF4C649D1}" presName="c10" presStyleLbl="node1" presStyleIdx="9" presStyleCnt="19"/>
      <dgm:spPr/>
    </dgm:pt>
    <dgm:pt modelId="{6ADB1EF1-C572-45E4-96D2-01D430504E7F}" type="pres">
      <dgm:prSet presAssocID="{1AAA7F8A-DB13-44D7-9632-AD9BF4C649D1}" presName="c11" presStyleLbl="node1" presStyleIdx="10" presStyleCnt="19"/>
      <dgm:spPr/>
    </dgm:pt>
    <dgm:pt modelId="{DB98A9BA-18BD-4566-A474-CEA81F67B6DF}" type="pres">
      <dgm:prSet presAssocID="{1AAA7F8A-DB13-44D7-9632-AD9BF4C649D1}" presName="c12" presStyleLbl="node1" presStyleIdx="11" presStyleCnt="19"/>
      <dgm:spPr/>
    </dgm:pt>
    <dgm:pt modelId="{CB3BB241-0A34-4A2D-8E96-558F7E19F9C2}" type="pres">
      <dgm:prSet presAssocID="{1AAA7F8A-DB13-44D7-9632-AD9BF4C649D1}" presName="c13" presStyleLbl="node1" presStyleIdx="12" presStyleCnt="19"/>
      <dgm:spPr/>
    </dgm:pt>
    <dgm:pt modelId="{99158B45-05DC-4D1C-8F59-51A0D43F1933}" type="pres">
      <dgm:prSet presAssocID="{1AAA7F8A-DB13-44D7-9632-AD9BF4C649D1}" presName="c14" presStyleLbl="node1" presStyleIdx="13" presStyleCnt="19"/>
      <dgm:spPr/>
    </dgm:pt>
    <dgm:pt modelId="{C1DD0A5D-DCAA-4E9B-BD26-5D7260C2C58D}" type="pres">
      <dgm:prSet presAssocID="{1AAA7F8A-DB13-44D7-9632-AD9BF4C649D1}" presName="c15" presStyleLbl="node1" presStyleIdx="14" presStyleCnt="19"/>
      <dgm:spPr/>
    </dgm:pt>
    <dgm:pt modelId="{71886982-2BB6-4AB4-BD15-88A4DE3AFA09}" type="pres">
      <dgm:prSet presAssocID="{1AAA7F8A-DB13-44D7-9632-AD9BF4C649D1}" presName="c16" presStyleLbl="node1" presStyleIdx="15" presStyleCnt="19"/>
      <dgm:spPr/>
    </dgm:pt>
    <dgm:pt modelId="{A3C0F769-3FD6-4E95-920D-2BF5FB396C23}" type="pres">
      <dgm:prSet presAssocID="{1AAA7F8A-DB13-44D7-9632-AD9BF4C649D1}" presName="c17" presStyleLbl="node1" presStyleIdx="16" presStyleCnt="19"/>
      <dgm:spPr/>
    </dgm:pt>
    <dgm:pt modelId="{16B880CE-BAB9-42CF-B274-D4AE1B05E282}" type="pres">
      <dgm:prSet presAssocID="{1AAA7F8A-DB13-44D7-9632-AD9BF4C649D1}" presName="c18" presStyleLbl="node1" presStyleIdx="17" presStyleCnt="19"/>
      <dgm:spPr/>
    </dgm:pt>
    <dgm:pt modelId="{4332240B-6D5E-4102-AD4A-99BE73A0EC1F}" type="pres">
      <dgm:prSet presAssocID="{42B8191B-EDD7-4D7E-B348-A2BB7E16A1AC}" presName="chevronComposite1" presStyleCnt="0"/>
      <dgm:spPr/>
    </dgm:pt>
    <dgm:pt modelId="{C81BF244-395E-4867-9D1A-4B68E59E9C50}" type="pres">
      <dgm:prSet presAssocID="{42B8191B-EDD7-4D7E-B348-A2BB7E16A1AC}" presName="chevron1" presStyleLbl="sibTrans2D1" presStyleIdx="0" presStyleCnt="2"/>
      <dgm:spPr/>
    </dgm:pt>
    <dgm:pt modelId="{EF4F04F5-1A75-4192-829D-410743EE796C}" type="pres">
      <dgm:prSet presAssocID="{42B8191B-EDD7-4D7E-B348-A2BB7E16A1AC}" presName="spChevron1" presStyleCnt="0"/>
      <dgm:spPr/>
    </dgm:pt>
    <dgm:pt modelId="{1E29EFE8-6DD1-421D-BE2D-CFD472D0ED57}" type="pres">
      <dgm:prSet presAssocID="{42B8191B-EDD7-4D7E-B348-A2BB7E16A1AC}" presName="overlap" presStyleCnt="0"/>
      <dgm:spPr/>
    </dgm:pt>
    <dgm:pt modelId="{C701300C-C2E9-4A8A-A2FB-D526F3F68738}" type="pres">
      <dgm:prSet presAssocID="{42B8191B-EDD7-4D7E-B348-A2BB7E16A1AC}" presName="chevronComposite2" presStyleCnt="0"/>
      <dgm:spPr/>
    </dgm:pt>
    <dgm:pt modelId="{57DD3D5C-FAD3-4578-85FE-09B7114F31C8}" type="pres">
      <dgm:prSet presAssocID="{42B8191B-EDD7-4D7E-B348-A2BB7E16A1AC}" presName="chevron2" presStyleLbl="sibTrans2D1" presStyleIdx="1" presStyleCnt="2"/>
      <dgm:spPr>
        <a:solidFill>
          <a:srgbClr val="14D663"/>
        </a:solidFill>
      </dgm:spPr>
    </dgm:pt>
    <dgm:pt modelId="{D8439597-3A16-46B5-B09B-E9F09DEB0BDE}" type="pres">
      <dgm:prSet presAssocID="{42B8191B-EDD7-4D7E-B348-A2BB7E16A1AC}" presName="spChevron2" presStyleCnt="0"/>
      <dgm:spPr/>
    </dgm:pt>
    <dgm:pt modelId="{6D92850B-F560-4F0E-8413-032759954981}" type="pres">
      <dgm:prSet presAssocID="{55FA6FE5-5840-4BFC-91EA-75A094C14E39}" presName="last" presStyleCnt="0"/>
      <dgm:spPr/>
    </dgm:pt>
    <dgm:pt modelId="{D6E72A63-B5D6-441B-982B-FC4B26371B3F}" type="pres">
      <dgm:prSet presAssocID="{55FA6FE5-5840-4BFC-91EA-75A094C14E39}" presName="circleTx" presStyleLbl="node1" presStyleIdx="18" presStyleCnt="19" custScaleX="174788" custScaleY="153976" custLinFactNeighborX="15398" custLinFactNeighborY="55"/>
      <dgm:spPr/>
    </dgm:pt>
    <dgm:pt modelId="{2F5175EA-0098-4ECF-99A0-E4995B0D8B08}" type="pres">
      <dgm:prSet presAssocID="{55FA6FE5-5840-4BFC-91EA-75A094C14E39}" presName="spN" presStyleCnt="0"/>
      <dgm:spPr/>
    </dgm:pt>
  </dgm:ptLst>
  <dgm:cxnLst>
    <dgm:cxn modelId="{05272A03-7C91-46C1-AC25-3B14F3D8C0A5}" type="presOf" srcId="{55FA6FE5-5840-4BFC-91EA-75A094C14E39}" destId="{D6E72A63-B5D6-441B-982B-FC4B26371B3F}" srcOrd="0" destOrd="0" presId="urn:microsoft.com/office/officeart/2009/3/layout/RandomtoResultProcess"/>
    <dgm:cxn modelId="{53F24E1F-B1C0-4C09-B9CA-3C8C8DF11F82}" srcId="{241160B8-036F-4A43-ABFD-89A7448B96FC}" destId="{55FA6FE5-5840-4BFC-91EA-75A094C14E39}" srcOrd="1" destOrd="0" parTransId="{5DCB23F3-5AA5-4803-8251-538CF53F7326}" sibTransId="{A1C44274-D8B6-4115-8E14-BD9CBEE2F716}"/>
    <dgm:cxn modelId="{D5999321-C7A9-4E09-82FA-BF51A8B05C3C}" srcId="{241160B8-036F-4A43-ABFD-89A7448B96FC}" destId="{1AAA7F8A-DB13-44D7-9632-AD9BF4C649D1}" srcOrd="0" destOrd="0" parTransId="{918EDC11-9E4A-48D3-8D56-E99E12B5E7FB}" sibTransId="{42B8191B-EDD7-4D7E-B348-A2BB7E16A1AC}"/>
    <dgm:cxn modelId="{876D7169-A661-4406-9167-385D552F7721}" type="presOf" srcId="{1AAA7F8A-DB13-44D7-9632-AD9BF4C649D1}" destId="{89326790-2DC4-46DA-8868-6C7CE30A37A1}" srcOrd="0" destOrd="0" presId="urn:microsoft.com/office/officeart/2009/3/layout/RandomtoResultProcess"/>
    <dgm:cxn modelId="{108F75D8-D6D0-4EFD-B648-A30CD76B3731}" type="presOf" srcId="{241160B8-036F-4A43-ABFD-89A7448B96FC}" destId="{C6D36702-6407-4BB9-80AA-6B086B6D8F53}" srcOrd="0" destOrd="0" presId="urn:microsoft.com/office/officeart/2009/3/layout/RandomtoResultProcess"/>
    <dgm:cxn modelId="{6C29928B-3703-46CF-8B7C-8D01F9A06F3C}" type="presParOf" srcId="{C6D36702-6407-4BB9-80AA-6B086B6D8F53}" destId="{DB625E07-B718-4011-B976-C75B2C1621F5}" srcOrd="0" destOrd="0" presId="urn:microsoft.com/office/officeart/2009/3/layout/RandomtoResultProcess"/>
    <dgm:cxn modelId="{EA133057-197F-44A0-A6B0-5337B521C42F}" type="presParOf" srcId="{DB625E07-B718-4011-B976-C75B2C1621F5}" destId="{89326790-2DC4-46DA-8868-6C7CE30A37A1}" srcOrd="0" destOrd="0" presId="urn:microsoft.com/office/officeart/2009/3/layout/RandomtoResultProcess"/>
    <dgm:cxn modelId="{67E2BC07-F24C-4120-A2CB-27B8E516ADEC}" type="presParOf" srcId="{DB625E07-B718-4011-B976-C75B2C1621F5}" destId="{3ACDE2BE-AC11-4675-B066-E666332DA5DF}" srcOrd="1" destOrd="0" presId="urn:microsoft.com/office/officeart/2009/3/layout/RandomtoResultProcess"/>
    <dgm:cxn modelId="{8EA07598-087A-47B6-A107-A369783D7AEA}" type="presParOf" srcId="{DB625E07-B718-4011-B976-C75B2C1621F5}" destId="{D2692850-C1BC-4ABE-B1B2-C02F71496D0A}" srcOrd="2" destOrd="0" presId="urn:microsoft.com/office/officeart/2009/3/layout/RandomtoResultProcess"/>
    <dgm:cxn modelId="{9D5D2755-C8BF-4765-AE56-5B6FBED961FA}" type="presParOf" srcId="{DB625E07-B718-4011-B976-C75B2C1621F5}" destId="{CC70B62E-35F7-42A4-AFFD-789050CF8C74}" srcOrd="3" destOrd="0" presId="urn:microsoft.com/office/officeart/2009/3/layout/RandomtoResultProcess"/>
    <dgm:cxn modelId="{EF7373ED-FEAF-450D-B10B-0E0EC367BC22}" type="presParOf" srcId="{DB625E07-B718-4011-B976-C75B2C1621F5}" destId="{8666E0F1-F8E6-48B6-99FB-A5570C47569A}" srcOrd="4" destOrd="0" presId="urn:microsoft.com/office/officeart/2009/3/layout/RandomtoResultProcess"/>
    <dgm:cxn modelId="{D736977D-4FCC-4E11-917F-2BA40A3EA6E1}" type="presParOf" srcId="{DB625E07-B718-4011-B976-C75B2C1621F5}" destId="{4B9C7978-4F5D-4134-80FF-FB089833B064}" srcOrd="5" destOrd="0" presId="urn:microsoft.com/office/officeart/2009/3/layout/RandomtoResultProcess"/>
    <dgm:cxn modelId="{A7E79D4E-F432-40E0-A4CF-990336153446}" type="presParOf" srcId="{DB625E07-B718-4011-B976-C75B2C1621F5}" destId="{6DE3F59C-D893-4A56-9ED5-6A448788B094}" srcOrd="6" destOrd="0" presId="urn:microsoft.com/office/officeart/2009/3/layout/RandomtoResultProcess"/>
    <dgm:cxn modelId="{014091B5-4CBC-46B2-ADB7-AD1AAF403B50}" type="presParOf" srcId="{DB625E07-B718-4011-B976-C75B2C1621F5}" destId="{DF2A36B6-7A30-40D7-A2B7-F9926A9EA4A8}" srcOrd="7" destOrd="0" presId="urn:microsoft.com/office/officeart/2009/3/layout/RandomtoResultProcess"/>
    <dgm:cxn modelId="{BB252208-05DF-4DBD-91B9-A0003D426D1A}" type="presParOf" srcId="{DB625E07-B718-4011-B976-C75B2C1621F5}" destId="{294E9B83-5B5E-432E-8A86-2D9413071A42}" srcOrd="8" destOrd="0" presId="urn:microsoft.com/office/officeart/2009/3/layout/RandomtoResultProcess"/>
    <dgm:cxn modelId="{7427A07D-9FA9-41C3-AFB6-F38049F6E61D}" type="presParOf" srcId="{DB625E07-B718-4011-B976-C75B2C1621F5}" destId="{5CA9D4D9-7A10-4E2A-875C-FFD701D24D4F}" srcOrd="9" destOrd="0" presId="urn:microsoft.com/office/officeart/2009/3/layout/RandomtoResultProcess"/>
    <dgm:cxn modelId="{5FC2CDBB-3288-49BF-B9AB-64BBE978991A}" type="presParOf" srcId="{DB625E07-B718-4011-B976-C75B2C1621F5}" destId="{0316A65C-DF45-449A-8DF4-8FF9DB6BFFC4}" srcOrd="10" destOrd="0" presId="urn:microsoft.com/office/officeart/2009/3/layout/RandomtoResultProcess"/>
    <dgm:cxn modelId="{1093B17A-A37E-44DE-8E1E-193064FCF5D1}" type="presParOf" srcId="{DB625E07-B718-4011-B976-C75B2C1621F5}" destId="{6ADB1EF1-C572-45E4-96D2-01D430504E7F}" srcOrd="11" destOrd="0" presId="urn:microsoft.com/office/officeart/2009/3/layout/RandomtoResultProcess"/>
    <dgm:cxn modelId="{CA580F24-F901-426F-97AE-7069AA0A88AD}" type="presParOf" srcId="{DB625E07-B718-4011-B976-C75B2C1621F5}" destId="{DB98A9BA-18BD-4566-A474-CEA81F67B6DF}" srcOrd="12" destOrd="0" presId="urn:microsoft.com/office/officeart/2009/3/layout/RandomtoResultProcess"/>
    <dgm:cxn modelId="{33F31054-9BDF-4187-A3F7-188CADBC4D85}" type="presParOf" srcId="{DB625E07-B718-4011-B976-C75B2C1621F5}" destId="{CB3BB241-0A34-4A2D-8E96-558F7E19F9C2}" srcOrd="13" destOrd="0" presId="urn:microsoft.com/office/officeart/2009/3/layout/RandomtoResultProcess"/>
    <dgm:cxn modelId="{406B3EF8-4088-44D2-BB85-D4BFC4E263A2}" type="presParOf" srcId="{DB625E07-B718-4011-B976-C75B2C1621F5}" destId="{99158B45-05DC-4D1C-8F59-51A0D43F1933}" srcOrd="14" destOrd="0" presId="urn:microsoft.com/office/officeart/2009/3/layout/RandomtoResultProcess"/>
    <dgm:cxn modelId="{C245BBDB-E405-488C-B954-CB22A6F87898}" type="presParOf" srcId="{DB625E07-B718-4011-B976-C75B2C1621F5}" destId="{C1DD0A5D-DCAA-4E9B-BD26-5D7260C2C58D}" srcOrd="15" destOrd="0" presId="urn:microsoft.com/office/officeart/2009/3/layout/RandomtoResultProcess"/>
    <dgm:cxn modelId="{7E5CD8F8-8BDA-4730-9373-E3491537324A}" type="presParOf" srcId="{DB625E07-B718-4011-B976-C75B2C1621F5}" destId="{71886982-2BB6-4AB4-BD15-88A4DE3AFA09}" srcOrd="16" destOrd="0" presId="urn:microsoft.com/office/officeart/2009/3/layout/RandomtoResultProcess"/>
    <dgm:cxn modelId="{2BA00EBB-9D86-4FC8-94AC-61496276416D}" type="presParOf" srcId="{DB625E07-B718-4011-B976-C75B2C1621F5}" destId="{A3C0F769-3FD6-4E95-920D-2BF5FB396C23}" srcOrd="17" destOrd="0" presId="urn:microsoft.com/office/officeart/2009/3/layout/RandomtoResultProcess"/>
    <dgm:cxn modelId="{26C2FA7E-AD20-45D0-BED9-B6E9406E65E4}" type="presParOf" srcId="{DB625E07-B718-4011-B976-C75B2C1621F5}" destId="{16B880CE-BAB9-42CF-B274-D4AE1B05E282}" srcOrd="18" destOrd="0" presId="urn:microsoft.com/office/officeart/2009/3/layout/RandomtoResultProcess"/>
    <dgm:cxn modelId="{BA59DA50-EBB9-4EC1-8B7B-DEE908A8D468}" type="presParOf" srcId="{C6D36702-6407-4BB9-80AA-6B086B6D8F53}" destId="{4332240B-6D5E-4102-AD4A-99BE73A0EC1F}" srcOrd="1" destOrd="0" presId="urn:microsoft.com/office/officeart/2009/3/layout/RandomtoResultProcess"/>
    <dgm:cxn modelId="{BB0CB17C-1CA7-4FAC-8E34-DA10E2582E4D}" type="presParOf" srcId="{4332240B-6D5E-4102-AD4A-99BE73A0EC1F}" destId="{C81BF244-395E-4867-9D1A-4B68E59E9C50}" srcOrd="0" destOrd="0" presId="urn:microsoft.com/office/officeart/2009/3/layout/RandomtoResultProcess"/>
    <dgm:cxn modelId="{E4804915-495D-44D6-9DA7-5F2BBDBE08F7}" type="presParOf" srcId="{4332240B-6D5E-4102-AD4A-99BE73A0EC1F}" destId="{EF4F04F5-1A75-4192-829D-410743EE796C}" srcOrd="1" destOrd="0" presId="urn:microsoft.com/office/officeart/2009/3/layout/RandomtoResultProcess"/>
    <dgm:cxn modelId="{55E9232E-6B7B-4364-B67A-08D79B529E69}" type="presParOf" srcId="{C6D36702-6407-4BB9-80AA-6B086B6D8F53}" destId="{1E29EFE8-6DD1-421D-BE2D-CFD472D0ED57}" srcOrd="2" destOrd="0" presId="urn:microsoft.com/office/officeart/2009/3/layout/RandomtoResultProcess"/>
    <dgm:cxn modelId="{A9051344-52DB-41F6-8A4D-5C9ED52282B9}" type="presParOf" srcId="{C6D36702-6407-4BB9-80AA-6B086B6D8F53}" destId="{C701300C-C2E9-4A8A-A2FB-D526F3F68738}" srcOrd="3" destOrd="0" presId="urn:microsoft.com/office/officeart/2009/3/layout/RandomtoResultProcess"/>
    <dgm:cxn modelId="{7D0218B6-0441-4019-A3C2-470D87407C46}" type="presParOf" srcId="{C701300C-C2E9-4A8A-A2FB-D526F3F68738}" destId="{57DD3D5C-FAD3-4578-85FE-09B7114F31C8}" srcOrd="0" destOrd="0" presId="urn:microsoft.com/office/officeart/2009/3/layout/RandomtoResultProcess"/>
    <dgm:cxn modelId="{CE73841A-6F0E-475E-8AB0-7B413E483462}" type="presParOf" srcId="{C701300C-C2E9-4A8A-A2FB-D526F3F68738}" destId="{D8439597-3A16-46B5-B09B-E9F09DEB0BDE}" srcOrd="1" destOrd="0" presId="urn:microsoft.com/office/officeart/2009/3/layout/RandomtoResultProcess"/>
    <dgm:cxn modelId="{31A192A0-9793-4FEE-A0CD-819A539C5619}" type="presParOf" srcId="{C6D36702-6407-4BB9-80AA-6B086B6D8F53}" destId="{6D92850B-F560-4F0E-8413-032759954981}" srcOrd="4" destOrd="0" presId="urn:microsoft.com/office/officeart/2009/3/layout/RandomtoResultProcess"/>
    <dgm:cxn modelId="{AB65C717-0C85-4B09-A299-ECE241A140C3}" type="presParOf" srcId="{6D92850B-F560-4F0E-8413-032759954981}" destId="{D6E72A63-B5D6-441B-982B-FC4B26371B3F}" srcOrd="0" destOrd="0" presId="urn:microsoft.com/office/officeart/2009/3/layout/RandomtoResultProcess"/>
    <dgm:cxn modelId="{608E5983-5B3E-4147-A153-A24C5AFD1A58}" type="presParOf" srcId="{6D92850B-F560-4F0E-8413-032759954981}" destId="{2F5175EA-0098-4ECF-99A0-E4995B0D8B08}" srcOrd="1" destOrd="0" presId="urn:microsoft.com/office/officeart/2009/3/layout/RandomtoResult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2056F6-3E1E-4DF0-8375-F5B9B10DB3C4}" type="doc">
      <dgm:prSet loTypeId="urn:microsoft.com/office/officeart/2005/8/layout/hProcess4" loCatId="process" qsTypeId="urn:microsoft.com/office/officeart/2005/8/quickstyle/simple1" qsCatId="simple" csTypeId="urn:microsoft.com/office/officeart/2005/8/colors/colorful2" csCatId="colorful" phldr="1"/>
      <dgm:spPr/>
      <dgm:t>
        <a:bodyPr/>
        <a:lstStyle/>
        <a:p>
          <a:endParaRPr lang="fr-FR"/>
        </a:p>
      </dgm:t>
    </dgm:pt>
    <dgm:pt modelId="{2E5E4F43-ECBE-431A-8F63-075E52CB07C1}">
      <dgm:prSet phldrT="[Texte]" custT="1"/>
      <dgm:spPr/>
      <dgm:t>
        <a:bodyPr/>
        <a:lstStyle/>
        <a:p>
          <a:r>
            <a:rPr lang="fr-FR" sz="1000" b="1"/>
            <a:t>Piliers de la Transformation structurelle  de l'économie  du Burundi</a:t>
          </a:r>
        </a:p>
      </dgm:t>
    </dgm:pt>
    <dgm:pt modelId="{74D387DD-F806-45A0-AB8D-3CB9211804DC}" type="parTrans" cxnId="{445A72E9-CA43-4612-9D3F-DE11F391C50A}">
      <dgm:prSet/>
      <dgm:spPr/>
      <dgm:t>
        <a:bodyPr/>
        <a:lstStyle/>
        <a:p>
          <a:endParaRPr lang="fr-FR"/>
        </a:p>
      </dgm:t>
    </dgm:pt>
    <dgm:pt modelId="{AB9469D0-1F7B-4C8F-88EE-9EF446CC6915}" type="sibTrans" cxnId="{445A72E9-CA43-4612-9D3F-DE11F391C50A}">
      <dgm:prSet/>
      <dgm:spPr/>
      <dgm:t>
        <a:bodyPr/>
        <a:lstStyle/>
        <a:p>
          <a:endParaRPr lang="fr-FR"/>
        </a:p>
      </dgm:t>
    </dgm:pt>
    <dgm:pt modelId="{5168E7B2-6D43-4BA0-80BC-C5597B4F6BEE}">
      <dgm:prSet phldrT="[Texte]" custT="1"/>
      <dgm:spPr/>
      <dgm:t>
        <a:bodyPr/>
        <a:lstStyle/>
        <a:p>
          <a:r>
            <a:rPr lang="fr-FR" sz="800" b="1"/>
            <a:t>Agriculture</a:t>
          </a:r>
        </a:p>
      </dgm:t>
    </dgm:pt>
    <dgm:pt modelId="{60221B6F-610F-474C-8D2B-4C7B1F5F4A7E}" type="parTrans" cxnId="{24E322C8-1852-457D-84F9-4FD63FD6658B}">
      <dgm:prSet/>
      <dgm:spPr/>
      <dgm:t>
        <a:bodyPr/>
        <a:lstStyle/>
        <a:p>
          <a:endParaRPr lang="fr-FR"/>
        </a:p>
      </dgm:t>
    </dgm:pt>
    <dgm:pt modelId="{569DDE7F-D9A9-43D4-9209-8BAA9095367F}" type="sibTrans" cxnId="{24E322C8-1852-457D-84F9-4FD63FD6658B}">
      <dgm:prSet/>
      <dgm:spPr/>
      <dgm:t>
        <a:bodyPr/>
        <a:lstStyle/>
        <a:p>
          <a:endParaRPr lang="fr-FR"/>
        </a:p>
      </dgm:t>
    </dgm:pt>
    <dgm:pt modelId="{990DE2D3-BB58-48C9-B0D6-1DF55B0FE891}">
      <dgm:prSet phldrT="[Texte]" custT="1"/>
      <dgm:spPr/>
      <dgm:t>
        <a:bodyPr/>
        <a:lstStyle/>
        <a:p>
          <a:r>
            <a:rPr lang="fr-FR" sz="1200" b="1"/>
            <a:t>Objectif Général  du PND Burundi 2018-2027</a:t>
          </a:r>
        </a:p>
      </dgm:t>
    </dgm:pt>
    <dgm:pt modelId="{C5F017CC-8307-452B-8819-94F0F1620323}" type="parTrans" cxnId="{D2ED7285-D7F2-4813-8F6A-567A2DCAC0E7}">
      <dgm:prSet/>
      <dgm:spPr/>
      <dgm:t>
        <a:bodyPr/>
        <a:lstStyle/>
        <a:p>
          <a:endParaRPr lang="fr-FR"/>
        </a:p>
      </dgm:t>
    </dgm:pt>
    <dgm:pt modelId="{F603A20F-3619-4670-BA16-0BBEE7B4ADD5}" type="sibTrans" cxnId="{D2ED7285-D7F2-4813-8F6A-567A2DCAC0E7}">
      <dgm:prSet/>
      <dgm:spPr/>
      <dgm:t>
        <a:bodyPr/>
        <a:lstStyle/>
        <a:p>
          <a:endParaRPr lang="fr-FR"/>
        </a:p>
      </dgm:t>
    </dgm:pt>
    <dgm:pt modelId="{A7F31297-F20C-4685-84AE-E97FBE224125}">
      <dgm:prSet phldrT="[Texte]" custT="1"/>
      <dgm:spPr/>
      <dgm:t>
        <a:bodyPr/>
        <a:lstStyle/>
        <a:p>
          <a:pPr algn="just"/>
          <a:r>
            <a:rPr lang="fr-FR" sz="800" b="1"/>
            <a:t>Transformer structurellement l’économie burundaise, pour une croissance forte, durable, résiliente, inclusive, créatrice d’emplois décents pour tous et induisant l’amélioration du bien-être social</a:t>
          </a:r>
          <a:endParaRPr lang="fr-FR" sz="800"/>
        </a:p>
      </dgm:t>
    </dgm:pt>
    <dgm:pt modelId="{5CFDCF11-D4EE-41B3-914E-AC512AB72CD6}" type="parTrans" cxnId="{3FFBF9EA-00AB-4905-ADB7-ED99CEA9E61E}">
      <dgm:prSet/>
      <dgm:spPr/>
      <dgm:t>
        <a:bodyPr/>
        <a:lstStyle/>
        <a:p>
          <a:endParaRPr lang="fr-FR"/>
        </a:p>
      </dgm:t>
    </dgm:pt>
    <dgm:pt modelId="{7A758FA6-4C72-4067-8724-05583614CCA4}" type="sibTrans" cxnId="{3FFBF9EA-00AB-4905-ADB7-ED99CEA9E61E}">
      <dgm:prSet/>
      <dgm:spPr/>
      <dgm:t>
        <a:bodyPr/>
        <a:lstStyle/>
        <a:p>
          <a:endParaRPr lang="fr-FR"/>
        </a:p>
      </dgm:t>
    </dgm:pt>
    <dgm:pt modelId="{F41BA272-35A5-403C-86CC-FDEA988D726A}">
      <dgm:prSet phldrT="[Texte]" custT="1"/>
      <dgm:spPr/>
      <dgm:t>
        <a:bodyPr/>
        <a:lstStyle/>
        <a:p>
          <a:r>
            <a:rPr lang="fr-FR" sz="1050" b="1"/>
            <a:t>VISION du PND Burundi 2018-2027</a:t>
          </a:r>
        </a:p>
      </dgm:t>
    </dgm:pt>
    <dgm:pt modelId="{CFCF4AA9-1E34-4C55-BEEE-B4A0A7F1ECCA}" type="parTrans" cxnId="{5692CCD1-BF13-483F-9BA2-681937CE44C1}">
      <dgm:prSet/>
      <dgm:spPr/>
      <dgm:t>
        <a:bodyPr/>
        <a:lstStyle/>
        <a:p>
          <a:endParaRPr lang="fr-FR"/>
        </a:p>
      </dgm:t>
    </dgm:pt>
    <dgm:pt modelId="{37A15137-B1A6-490A-BEE7-01D0D4FACD0E}" type="sibTrans" cxnId="{5692CCD1-BF13-483F-9BA2-681937CE44C1}">
      <dgm:prSet/>
      <dgm:spPr/>
      <dgm:t>
        <a:bodyPr/>
        <a:lstStyle/>
        <a:p>
          <a:endParaRPr lang="fr-FR"/>
        </a:p>
      </dgm:t>
    </dgm:pt>
    <dgm:pt modelId="{DFB81F59-9EC2-4206-A6BC-6DE6A6E093E6}">
      <dgm:prSet custT="1"/>
      <dgm:spPr/>
      <dgm:t>
        <a:bodyPr/>
        <a:lstStyle/>
        <a:p>
          <a:r>
            <a:rPr lang="fr-FR" sz="800" b="1"/>
            <a:t>Energie</a:t>
          </a:r>
        </a:p>
      </dgm:t>
    </dgm:pt>
    <dgm:pt modelId="{8EE65C35-6A64-414E-9FDD-69B7801EE8D4}" type="parTrans" cxnId="{843018E3-4ADA-4857-9623-E7B230E0D3A7}">
      <dgm:prSet/>
      <dgm:spPr/>
      <dgm:t>
        <a:bodyPr/>
        <a:lstStyle/>
        <a:p>
          <a:endParaRPr lang="fr-FR"/>
        </a:p>
      </dgm:t>
    </dgm:pt>
    <dgm:pt modelId="{DEC74D6C-A477-428B-A132-683583BD914D}" type="sibTrans" cxnId="{843018E3-4ADA-4857-9623-E7B230E0D3A7}">
      <dgm:prSet/>
      <dgm:spPr/>
      <dgm:t>
        <a:bodyPr/>
        <a:lstStyle/>
        <a:p>
          <a:endParaRPr lang="fr-FR"/>
        </a:p>
      </dgm:t>
    </dgm:pt>
    <dgm:pt modelId="{752C2FE9-67F5-49E4-AEF2-C9FA751DCD8C}">
      <dgm:prSet custT="1"/>
      <dgm:spPr/>
      <dgm:t>
        <a:bodyPr/>
        <a:lstStyle/>
        <a:p>
          <a:r>
            <a:rPr lang="fr-FR" sz="800" b="1"/>
            <a:t>Technologie et savoir-faire </a:t>
          </a:r>
        </a:p>
      </dgm:t>
    </dgm:pt>
    <dgm:pt modelId="{78F2DBC9-3352-4606-BE1D-36877A056593}" type="parTrans" cxnId="{D49D10BA-2BFD-4D61-BE49-78A60BF48D5E}">
      <dgm:prSet/>
      <dgm:spPr/>
      <dgm:t>
        <a:bodyPr/>
        <a:lstStyle/>
        <a:p>
          <a:endParaRPr lang="fr-FR"/>
        </a:p>
      </dgm:t>
    </dgm:pt>
    <dgm:pt modelId="{159F5298-8F94-4316-8829-22D73713A3CF}" type="sibTrans" cxnId="{D49D10BA-2BFD-4D61-BE49-78A60BF48D5E}">
      <dgm:prSet/>
      <dgm:spPr/>
      <dgm:t>
        <a:bodyPr/>
        <a:lstStyle/>
        <a:p>
          <a:endParaRPr lang="fr-FR"/>
        </a:p>
      </dgm:t>
    </dgm:pt>
    <dgm:pt modelId="{8C32B194-63E9-4873-9204-D3359EB6888A}">
      <dgm:prSet custT="1"/>
      <dgm:spPr/>
      <dgm:t>
        <a:bodyPr/>
        <a:lstStyle/>
        <a:p>
          <a:r>
            <a:rPr lang="fr-FR" sz="800" b="1"/>
            <a:t>Ressources naturelles </a:t>
          </a:r>
        </a:p>
      </dgm:t>
    </dgm:pt>
    <dgm:pt modelId="{056236B7-CF91-419C-920E-257830670643}" type="parTrans" cxnId="{B6710D7C-5046-473C-A268-3005D7E24F11}">
      <dgm:prSet/>
      <dgm:spPr/>
      <dgm:t>
        <a:bodyPr/>
        <a:lstStyle/>
        <a:p>
          <a:endParaRPr lang="fr-FR"/>
        </a:p>
      </dgm:t>
    </dgm:pt>
    <dgm:pt modelId="{64BD1EAA-1FE4-48D3-885E-D622187E0CB6}" type="sibTrans" cxnId="{B6710D7C-5046-473C-A268-3005D7E24F11}">
      <dgm:prSet/>
      <dgm:spPr/>
      <dgm:t>
        <a:bodyPr/>
        <a:lstStyle/>
        <a:p>
          <a:endParaRPr lang="fr-FR"/>
        </a:p>
      </dgm:t>
    </dgm:pt>
    <dgm:pt modelId="{67E02E62-27BF-4456-9F69-D83D7D33CD41}">
      <dgm:prSet custT="1"/>
      <dgm:spPr/>
      <dgm:t>
        <a:bodyPr/>
        <a:lstStyle/>
        <a:p>
          <a:r>
            <a:rPr lang="fr-FR" sz="800" b="1"/>
            <a:t>Compétititivité</a:t>
          </a:r>
        </a:p>
      </dgm:t>
    </dgm:pt>
    <dgm:pt modelId="{125FC539-3A1E-41C2-9FCC-496386328ACE}" type="parTrans" cxnId="{7B8AB7EF-110F-43AA-9C7A-A7F32DEFEB6F}">
      <dgm:prSet/>
      <dgm:spPr/>
      <dgm:t>
        <a:bodyPr/>
        <a:lstStyle/>
        <a:p>
          <a:endParaRPr lang="fr-FR"/>
        </a:p>
      </dgm:t>
    </dgm:pt>
    <dgm:pt modelId="{782F71BC-4074-4A8A-910C-94812CF18CFF}" type="sibTrans" cxnId="{7B8AB7EF-110F-43AA-9C7A-A7F32DEFEB6F}">
      <dgm:prSet/>
      <dgm:spPr/>
      <dgm:t>
        <a:bodyPr/>
        <a:lstStyle/>
        <a:p>
          <a:endParaRPr lang="fr-FR"/>
        </a:p>
      </dgm:t>
    </dgm:pt>
    <dgm:pt modelId="{65D1FE8C-C414-4DDC-9AB2-93677DD7D1FE}">
      <dgm:prSet custT="1"/>
      <dgm:spPr/>
      <dgm:t>
        <a:bodyPr/>
        <a:lstStyle/>
        <a:p>
          <a:r>
            <a:rPr lang="fr-FR" sz="800" b="1"/>
            <a:t>Capital humain</a:t>
          </a:r>
        </a:p>
      </dgm:t>
    </dgm:pt>
    <dgm:pt modelId="{FC0279E9-FE06-4B6D-9B13-3A55A1F7806A}" type="parTrans" cxnId="{3531C9D0-65A6-463F-8ED9-05B54E93B5B7}">
      <dgm:prSet/>
      <dgm:spPr/>
      <dgm:t>
        <a:bodyPr/>
        <a:lstStyle/>
        <a:p>
          <a:endParaRPr lang="fr-FR"/>
        </a:p>
      </dgm:t>
    </dgm:pt>
    <dgm:pt modelId="{DE1D59DB-2609-4E87-8369-83AD168D6480}" type="sibTrans" cxnId="{3531C9D0-65A6-463F-8ED9-05B54E93B5B7}">
      <dgm:prSet/>
      <dgm:spPr/>
      <dgm:t>
        <a:bodyPr/>
        <a:lstStyle/>
        <a:p>
          <a:endParaRPr lang="fr-FR"/>
        </a:p>
      </dgm:t>
    </dgm:pt>
    <dgm:pt modelId="{4DCE1E0B-7193-473E-8990-F66689FBC3D7}">
      <dgm:prSet custT="1"/>
      <dgm:spPr/>
      <dgm:t>
        <a:bodyPr/>
        <a:lstStyle/>
        <a:p>
          <a:r>
            <a:rPr lang="fr-FR" sz="800" b="1"/>
            <a:t>Infrastructures</a:t>
          </a:r>
        </a:p>
      </dgm:t>
    </dgm:pt>
    <dgm:pt modelId="{DE6F6748-B59D-4762-BDC8-81D21E460899}" type="parTrans" cxnId="{3A3CB1C4-3DAC-4C9A-8C0F-FADEB358ECAD}">
      <dgm:prSet/>
      <dgm:spPr/>
      <dgm:t>
        <a:bodyPr/>
        <a:lstStyle/>
        <a:p>
          <a:endParaRPr lang="fr-FR"/>
        </a:p>
      </dgm:t>
    </dgm:pt>
    <dgm:pt modelId="{14806634-3310-495C-A2B6-2B423359B061}" type="sibTrans" cxnId="{3A3CB1C4-3DAC-4C9A-8C0F-FADEB358ECAD}">
      <dgm:prSet/>
      <dgm:spPr/>
      <dgm:t>
        <a:bodyPr/>
        <a:lstStyle/>
        <a:p>
          <a:endParaRPr lang="fr-FR"/>
        </a:p>
      </dgm:t>
    </dgm:pt>
    <dgm:pt modelId="{188B512B-D0A5-4305-A234-B3BE00D5D4CB}">
      <dgm:prSet custT="1"/>
      <dgm:spPr/>
      <dgm:t>
        <a:bodyPr/>
        <a:lstStyle/>
        <a:p>
          <a:r>
            <a:rPr lang="fr-FR" sz="800" b="1"/>
            <a:t>Tourisme</a:t>
          </a:r>
        </a:p>
      </dgm:t>
    </dgm:pt>
    <dgm:pt modelId="{FFEE86DA-E4E2-4C60-92D9-CD73ADB9F889}" type="parTrans" cxnId="{F0895ECD-F727-4FFD-B6E7-B80FB0ABDC1C}">
      <dgm:prSet/>
      <dgm:spPr/>
      <dgm:t>
        <a:bodyPr/>
        <a:lstStyle/>
        <a:p>
          <a:endParaRPr lang="fr-FR"/>
        </a:p>
      </dgm:t>
    </dgm:pt>
    <dgm:pt modelId="{84976311-75F3-4227-864A-923CB6464630}" type="sibTrans" cxnId="{F0895ECD-F727-4FFD-B6E7-B80FB0ABDC1C}">
      <dgm:prSet/>
      <dgm:spPr/>
      <dgm:t>
        <a:bodyPr/>
        <a:lstStyle/>
        <a:p>
          <a:endParaRPr lang="fr-FR"/>
        </a:p>
      </dgm:t>
    </dgm:pt>
    <dgm:pt modelId="{755F151D-C8D1-46D8-9C0C-38E802F10758}">
      <dgm:prSet custT="1"/>
      <dgm:spPr/>
      <dgm:t>
        <a:bodyPr/>
        <a:lstStyle/>
        <a:p>
          <a:r>
            <a:rPr lang="fr-FR" sz="800" b="1"/>
            <a:t>Partenariats public-privé </a:t>
          </a:r>
        </a:p>
      </dgm:t>
    </dgm:pt>
    <dgm:pt modelId="{B73A3E03-70A3-4ECC-91BE-9084D05BE3AF}" type="parTrans" cxnId="{3BFF62C6-4D92-4342-8671-FC48713C84E2}">
      <dgm:prSet/>
      <dgm:spPr/>
      <dgm:t>
        <a:bodyPr/>
        <a:lstStyle/>
        <a:p>
          <a:endParaRPr lang="fr-FR"/>
        </a:p>
      </dgm:t>
    </dgm:pt>
    <dgm:pt modelId="{AE16BAFD-6E8C-42D3-8E95-AE056B5276D9}" type="sibTrans" cxnId="{3BFF62C6-4D92-4342-8671-FC48713C84E2}">
      <dgm:prSet/>
      <dgm:spPr/>
      <dgm:t>
        <a:bodyPr/>
        <a:lstStyle/>
        <a:p>
          <a:endParaRPr lang="fr-FR"/>
        </a:p>
      </dgm:t>
    </dgm:pt>
    <dgm:pt modelId="{DE6C1DCC-8173-447E-B916-2181C70F0529}">
      <dgm:prSet custT="1"/>
      <dgm:spPr/>
      <dgm:t>
        <a:bodyPr/>
        <a:lstStyle/>
        <a:p>
          <a:r>
            <a:rPr lang="fr-FR" sz="800" b="1"/>
            <a:t>Intégration régionale et coopération</a:t>
          </a:r>
        </a:p>
      </dgm:t>
    </dgm:pt>
    <dgm:pt modelId="{4088A149-8962-49BA-B35D-048E9A6FB3E2}" type="parTrans" cxnId="{E7B4BB88-835D-40F5-84F2-CB9A53E7229C}">
      <dgm:prSet/>
      <dgm:spPr/>
      <dgm:t>
        <a:bodyPr/>
        <a:lstStyle/>
        <a:p>
          <a:endParaRPr lang="fr-FR"/>
        </a:p>
      </dgm:t>
    </dgm:pt>
    <dgm:pt modelId="{6A6DF0D0-FF7A-409C-BC35-A1C8AB666AB4}" type="sibTrans" cxnId="{E7B4BB88-835D-40F5-84F2-CB9A53E7229C}">
      <dgm:prSet/>
      <dgm:spPr/>
      <dgm:t>
        <a:bodyPr/>
        <a:lstStyle/>
        <a:p>
          <a:endParaRPr lang="fr-FR"/>
        </a:p>
      </dgm:t>
    </dgm:pt>
    <dgm:pt modelId="{BAAE2DF3-A265-419D-97F4-74A6643AECFC}">
      <dgm:prSet phldrT="[Texte]" custT="1"/>
      <dgm:spPr/>
      <dgm:t>
        <a:bodyPr/>
        <a:lstStyle/>
        <a:p>
          <a:pPr algn="just"/>
          <a:r>
            <a:rPr lang="fr-FR" sz="800" b="1"/>
            <a:t>Une nation solidaire, démocratique et prospère, à travers une transformation structurelle de l'économie nationale pour la mettre sur une nouvelle trajectoire de forte croissance, en réduisant profondément les inégalités sociales et la pauvreté rurale et urbaine.</a:t>
          </a:r>
          <a:endParaRPr lang="fr-FR" sz="800"/>
        </a:p>
      </dgm:t>
    </dgm:pt>
    <dgm:pt modelId="{913E16BA-C3C1-4F8F-917A-6CA89703DB50}" type="parTrans" cxnId="{739ABACF-9D2B-452D-BCB7-1D2B78365159}">
      <dgm:prSet/>
      <dgm:spPr/>
      <dgm:t>
        <a:bodyPr/>
        <a:lstStyle/>
        <a:p>
          <a:endParaRPr lang="fr-FR"/>
        </a:p>
      </dgm:t>
    </dgm:pt>
    <dgm:pt modelId="{D843FDFD-4D93-43F6-BD77-05234CC06D1B}" type="sibTrans" cxnId="{739ABACF-9D2B-452D-BCB7-1D2B78365159}">
      <dgm:prSet/>
      <dgm:spPr/>
      <dgm:t>
        <a:bodyPr/>
        <a:lstStyle/>
        <a:p>
          <a:endParaRPr lang="fr-FR"/>
        </a:p>
      </dgm:t>
    </dgm:pt>
    <dgm:pt modelId="{EFEA7ECC-6C58-4479-A59F-C89F2D35987E}">
      <dgm:prSet custT="1"/>
      <dgm:spPr/>
      <dgm:t>
        <a:bodyPr/>
        <a:lstStyle/>
        <a:p>
          <a:r>
            <a:rPr lang="fr-FR" sz="800" b="1"/>
            <a:t>Industrialisation  </a:t>
          </a:r>
        </a:p>
      </dgm:t>
    </dgm:pt>
    <dgm:pt modelId="{5860DD09-E468-46EF-BDE2-B0DDB1875CEF}" type="parTrans" cxnId="{AAAB7F41-BDC6-478C-8AE9-99C7BE8C6C6B}">
      <dgm:prSet/>
      <dgm:spPr/>
      <dgm:t>
        <a:bodyPr/>
        <a:lstStyle/>
        <a:p>
          <a:endParaRPr lang="fr-FR"/>
        </a:p>
      </dgm:t>
    </dgm:pt>
    <dgm:pt modelId="{97F9A63B-A1CE-4A2E-874F-B7E27B2FFE32}" type="sibTrans" cxnId="{AAAB7F41-BDC6-478C-8AE9-99C7BE8C6C6B}">
      <dgm:prSet/>
      <dgm:spPr/>
      <dgm:t>
        <a:bodyPr/>
        <a:lstStyle/>
        <a:p>
          <a:endParaRPr lang="fr-FR"/>
        </a:p>
      </dgm:t>
    </dgm:pt>
    <dgm:pt modelId="{19798515-896A-4E08-A56B-79901DE20401}" type="pres">
      <dgm:prSet presAssocID="{4C2056F6-3E1E-4DF0-8375-F5B9B10DB3C4}" presName="Name0" presStyleCnt="0">
        <dgm:presLayoutVars>
          <dgm:dir/>
          <dgm:animLvl val="lvl"/>
          <dgm:resizeHandles val="exact"/>
        </dgm:presLayoutVars>
      </dgm:prSet>
      <dgm:spPr/>
    </dgm:pt>
    <dgm:pt modelId="{3E1C6ED5-7F54-4A76-B6BD-5A763A4DA5F7}" type="pres">
      <dgm:prSet presAssocID="{4C2056F6-3E1E-4DF0-8375-F5B9B10DB3C4}" presName="tSp" presStyleCnt="0"/>
      <dgm:spPr/>
    </dgm:pt>
    <dgm:pt modelId="{2ABA91C8-C950-4F00-82D6-964FE9C57934}" type="pres">
      <dgm:prSet presAssocID="{4C2056F6-3E1E-4DF0-8375-F5B9B10DB3C4}" presName="bSp" presStyleCnt="0"/>
      <dgm:spPr/>
    </dgm:pt>
    <dgm:pt modelId="{E2765E14-A7F6-4E50-950D-D88DBE504A30}" type="pres">
      <dgm:prSet presAssocID="{4C2056F6-3E1E-4DF0-8375-F5B9B10DB3C4}" presName="process" presStyleCnt="0"/>
      <dgm:spPr/>
    </dgm:pt>
    <dgm:pt modelId="{FBA0112E-78D3-4DA5-B767-75CCBC08E789}" type="pres">
      <dgm:prSet presAssocID="{2E5E4F43-ECBE-431A-8F63-075E52CB07C1}" presName="composite1" presStyleCnt="0"/>
      <dgm:spPr/>
    </dgm:pt>
    <dgm:pt modelId="{58202C85-533D-4679-BCC0-A1C501239CC7}" type="pres">
      <dgm:prSet presAssocID="{2E5E4F43-ECBE-431A-8F63-075E52CB07C1}" presName="dummyNode1" presStyleLbl="node1" presStyleIdx="0" presStyleCnt="3"/>
      <dgm:spPr/>
    </dgm:pt>
    <dgm:pt modelId="{3AFD9CA7-45AA-40BB-87A6-16AF866DC4D4}" type="pres">
      <dgm:prSet presAssocID="{2E5E4F43-ECBE-431A-8F63-075E52CB07C1}" presName="childNode1" presStyleLbl="bgAcc1" presStyleIdx="0" presStyleCnt="3" custScaleX="152066" custScaleY="217935" custLinFactNeighborX="8753" custLinFactNeighborY="-12397">
        <dgm:presLayoutVars>
          <dgm:bulletEnabled val="1"/>
        </dgm:presLayoutVars>
      </dgm:prSet>
      <dgm:spPr/>
    </dgm:pt>
    <dgm:pt modelId="{1BB9E739-33B9-45E2-B7F0-938A0C6FBA8E}" type="pres">
      <dgm:prSet presAssocID="{2E5E4F43-ECBE-431A-8F63-075E52CB07C1}" presName="childNode1tx" presStyleLbl="bgAcc1" presStyleIdx="0" presStyleCnt="3">
        <dgm:presLayoutVars>
          <dgm:bulletEnabled val="1"/>
        </dgm:presLayoutVars>
      </dgm:prSet>
      <dgm:spPr/>
    </dgm:pt>
    <dgm:pt modelId="{A62AFE7B-EE5E-4497-BE42-75945399E01E}" type="pres">
      <dgm:prSet presAssocID="{2E5E4F43-ECBE-431A-8F63-075E52CB07C1}" presName="parentNode1" presStyleLbl="node1" presStyleIdx="0" presStyleCnt="3" custScaleX="190498" custScaleY="137916" custLinFactY="41404" custLinFactNeighborX="-12508" custLinFactNeighborY="100000">
        <dgm:presLayoutVars>
          <dgm:chMax val="1"/>
          <dgm:bulletEnabled val="1"/>
        </dgm:presLayoutVars>
      </dgm:prSet>
      <dgm:spPr/>
    </dgm:pt>
    <dgm:pt modelId="{8BA9A342-60F5-44AE-B3E6-8C07F8678B0F}" type="pres">
      <dgm:prSet presAssocID="{2E5E4F43-ECBE-431A-8F63-075E52CB07C1}" presName="connSite1" presStyleCnt="0"/>
      <dgm:spPr/>
    </dgm:pt>
    <dgm:pt modelId="{0858B260-F860-4A33-AC6A-CC7660271742}" type="pres">
      <dgm:prSet presAssocID="{AB9469D0-1F7B-4C8F-88EE-9EF446CC6915}" presName="Name9" presStyleLbl="sibTrans2D1" presStyleIdx="0" presStyleCnt="2"/>
      <dgm:spPr/>
    </dgm:pt>
    <dgm:pt modelId="{45F33C15-CC27-46DD-BD27-46589619FEF8}" type="pres">
      <dgm:prSet presAssocID="{990DE2D3-BB58-48C9-B0D6-1DF55B0FE891}" presName="composite2" presStyleCnt="0"/>
      <dgm:spPr/>
    </dgm:pt>
    <dgm:pt modelId="{8CADA7F5-9003-4D69-91B2-0C8F04F47F6E}" type="pres">
      <dgm:prSet presAssocID="{990DE2D3-BB58-48C9-B0D6-1DF55B0FE891}" presName="dummyNode2" presStyleLbl="node1" presStyleIdx="0" presStyleCnt="3"/>
      <dgm:spPr/>
    </dgm:pt>
    <dgm:pt modelId="{25CB7530-A755-43F4-90B2-147E8EA9C5FD}" type="pres">
      <dgm:prSet presAssocID="{990DE2D3-BB58-48C9-B0D6-1DF55B0FE891}" presName="childNode2" presStyleLbl="bgAcc1" presStyleIdx="1" presStyleCnt="3" custScaleX="165171" custScaleY="142085">
        <dgm:presLayoutVars>
          <dgm:bulletEnabled val="1"/>
        </dgm:presLayoutVars>
      </dgm:prSet>
      <dgm:spPr/>
    </dgm:pt>
    <dgm:pt modelId="{DB4C5622-F201-4D41-A188-4CE266130CD7}" type="pres">
      <dgm:prSet presAssocID="{990DE2D3-BB58-48C9-B0D6-1DF55B0FE891}" presName="childNode2tx" presStyleLbl="bgAcc1" presStyleIdx="1" presStyleCnt="3">
        <dgm:presLayoutVars>
          <dgm:bulletEnabled val="1"/>
        </dgm:presLayoutVars>
      </dgm:prSet>
      <dgm:spPr/>
    </dgm:pt>
    <dgm:pt modelId="{54A5C026-095A-4F1E-8A97-A9D920578D00}" type="pres">
      <dgm:prSet presAssocID="{990DE2D3-BB58-48C9-B0D6-1DF55B0FE891}" presName="parentNode2" presStyleLbl="node1" presStyleIdx="1" presStyleCnt="3" custScaleX="176971" custLinFactNeighborX="-19309" custLinFactNeighborY="-5567">
        <dgm:presLayoutVars>
          <dgm:chMax val="0"/>
          <dgm:bulletEnabled val="1"/>
        </dgm:presLayoutVars>
      </dgm:prSet>
      <dgm:spPr/>
    </dgm:pt>
    <dgm:pt modelId="{91FA74D8-B3FB-484B-804C-6784311C6343}" type="pres">
      <dgm:prSet presAssocID="{990DE2D3-BB58-48C9-B0D6-1DF55B0FE891}" presName="connSite2" presStyleCnt="0"/>
      <dgm:spPr/>
    </dgm:pt>
    <dgm:pt modelId="{9F2E3CDF-CC06-4314-B182-DA2147411DC9}" type="pres">
      <dgm:prSet presAssocID="{F603A20F-3619-4670-BA16-0BBEE7B4ADD5}" presName="Name18" presStyleLbl="sibTrans2D1" presStyleIdx="1" presStyleCnt="2" custScaleX="99688" custScaleY="121228"/>
      <dgm:spPr/>
    </dgm:pt>
    <dgm:pt modelId="{B3F0C514-C9A7-4FE0-9DAD-FD52A252B68F}" type="pres">
      <dgm:prSet presAssocID="{F41BA272-35A5-403C-86CC-FDEA988D726A}" presName="composite1" presStyleCnt="0"/>
      <dgm:spPr/>
    </dgm:pt>
    <dgm:pt modelId="{92315C6E-CCAD-4D44-9FA7-BBD12F4A68CC}" type="pres">
      <dgm:prSet presAssocID="{F41BA272-35A5-403C-86CC-FDEA988D726A}" presName="dummyNode1" presStyleLbl="node1" presStyleIdx="1" presStyleCnt="3"/>
      <dgm:spPr/>
    </dgm:pt>
    <dgm:pt modelId="{E9130982-34DE-42C2-A82C-03C8C821AD97}" type="pres">
      <dgm:prSet presAssocID="{F41BA272-35A5-403C-86CC-FDEA988D726A}" presName="childNode1" presStyleLbl="bgAcc1" presStyleIdx="2" presStyleCnt="3" custScaleX="161107" custScaleY="163664" custLinFactNeighborX="5532" custLinFactNeighborY="-2843">
        <dgm:presLayoutVars>
          <dgm:bulletEnabled val="1"/>
        </dgm:presLayoutVars>
      </dgm:prSet>
      <dgm:spPr/>
    </dgm:pt>
    <dgm:pt modelId="{0651565D-3104-416B-A38F-4EE7867D26EE}" type="pres">
      <dgm:prSet presAssocID="{F41BA272-35A5-403C-86CC-FDEA988D726A}" presName="childNode1tx" presStyleLbl="bgAcc1" presStyleIdx="2" presStyleCnt="3">
        <dgm:presLayoutVars>
          <dgm:bulletEnabled val="1"/>
        </dgm:presLayoutVars>
      </dgm:prSet>
      <dgm:spPr/>
    </dgm:pt>
    <dgm:pt modelId="{A47B16DF-FD76-46BB-A51C-3798C1072CF3}" type="pres">
      <dgm:prSet presAssocID="{F41BA272-35A5-403C-86CC-FDEA988D726A}" presName="parentNode1" presStyleLbl="node1" presStyleIdx="2" presStyleCnt="3" custScaleX="174086" custScaleY="114365" custLinFactY="26146" custLinFactNeighborX="-15141" custLinFactNeighborY="100000">
        <dgm:presLayoutVars>
          <dgm:chMax val="1"/>
          <dgm:bulletEnabled val="1"/>
        </dgm:presLayoutVars>
      </dgm:prSet>
      <dgm:spPr/>
    </dgm:pt>
    <dgm:pt modelId="{FC1B675A-1FA9-4B82-B85D-A35858F854E8}" type="pres">
      <dgm:prSet presAssocID="{F41BA272-35A5-403C-86CC-FDEA988D726A}" presName="connSite1" presStyleCnt="0"/>
      <dgm:spPr/>
    </dgm:pt>
  </dgm:ptLst>
  <dgm:cxnLst>
    <dgm:cxn modelId="{DD2A4106-6FD6-4C5E-9B05-38028475C513}" type="presOf" srcId="{BAAE2DF3-A265-419D-97F4-74A6643AECFC}" destId="{0651565D-3104-416B-A38F-4EE7867D26EE}" srcOrd="1" destOrd="0" presId="urn:microsoft.com/office/officeart/2005/8/layout/hProcess4"/>
    <dgm:cxn modelId="{24B15908-7097-4E4C-955E-AB594287E971}" type="presOf" srcId="{5168E7B2-6D43-4BA0-80BC-C5597B4F6BEE}" destId="{3AFD9CA7-45AA-40BB-87A6-16AF866DC4D4}" srcOrd="0" destOrd="0" presId="urn:microsoft.com/office/officeart/2005/8/layout/hProcess4"/>
    <dgm:cxn modelId="{F0FDF90B-F0CD-40BB-A305-641F27FBB767}" type="presOf" srcId="{4DCE1E0B-7193-473E-8990-F66689FBC3D7}" destId="{3AFD9CA7-45AA-40BB-87A6-16AF866DC4D4}" srcOrd="0" destOrd="7" presId="urn:microsoft.com/office/officeart/2005/8/layout/hProcess4"/>
    <dgm:cxn modelId="{CBF8420E-4415-4246-A32F-F222F545462E}" type="presOf" srcId="{752C2FE9-67F5-49E4-AEF2-C9FA751DCD8C}" destId="{1BB9E739-33B9-45E2-B7F0-938A0C6FBA8E}" srcOrd="1" destOrd="2" presId="urn:microsoft.com/office/officeart/2005/8/layout/hProcess4"/>
    <dgm:cxn modelId="{725B6910-E77E-4BCA-AF6E-E6330F156AE7}" type="presOf" srcId="{EFEA7ECC-6C58-4479-A59F-C89F2D35987E}" destId="{3AFD9CA7-45AA-40BB-87A6-16AF866DC4D4}" srcOrd="0" destOrd="6" presId="urn:microsoft.com/office/officeart/2005/8/layout/hProcess4"/>
    <dgm:cxn modelId="{ED4E0111-01AF-428D-A385-BF7907825280}" type="presOf" srcId="{188B512B-D0A5-4305-A234-B3BE00D5D4CB}" destId="{3AFD9CA7-45AA-40BB-87A6-16AF866DC4D4}" srcOrd="0" destOrd="8" presId="urn:microsoft.com/office/officeart/2005/8/layout/hProcess4"/>
    <dgm:cxn modelId="{2C229114-E27E-4AA9-B619-B814FAACDE7C}" type="presOf" srcId="{EFEA7ECC-6C58-4479-A59F-C89F2D35987E}" destId="{1BB9E739-33B9-45E2-B7F0-938A0C6FBA8E}" srcOrd="1" destOrd="6" presId="urn:microsoft.com/office/officeart/2005/8/layout/hProcess4"/>
    <dgm:cxn modelId="{C11CDB1E-A41B-4AA0-92C0-F2433B7C9EF9}" type="presOf" srcId="{990DE2D3-BB58-48C9-B0D6-1DF55B0FE891}" destId="{54A5C026-095A-4F1E-8A97-A9D920578D00}" srcOrd="0" destOrd="0" presId="urn:microsoft.com/office/officeart/2005/8/layout/hProcess4"/>
    <dgm:cxn modelId="{74AB8820-0C59-4EE2-A172-4DCE1394C36D}" type="presOf" srcId="{2E5E4F43-ECBE-431A-8F63-075E52CB07C1}" destId="{A62AFE7B-EE5E-4497-BE42-75945399E01E}" srcOrd="0" destOrd="0" presId="urn:microsoft.com/office/officeart/2005/8/layout/hProcess4"/>
    <dgm:cxn modelId="{6CA4A52B-9E52-48B9-813F-5979C34FA09F}" type="presOf" srcId="{DFB81F59-9EC2-4206-A6BC-6DE6A6E093E6}" destId="{3AFD9CA7-45AA-40BB-87A6-16AF866DC4D4}" srcOrd="0" destOrd="1" presId="urn:microsoft.com/office/officeart/2005/8/layout/hProcess4"/>
    <dgm:cxn modelId="{50C56038-E570-4AB3-8B39-B8E3B54A274B}" type="presOf" srcId="{755F151D-C8D1-46D8-9C0C-38E802F10758}" destId="{1BB9E739-33B9-45E2-B7F0-938A0C6FBA8E}" srcOrd="1" destOrd="9" presId="urn:microsoft.com/office/officeart/2005/8/layout/hProcess4"/>
    <dgm:cxn modelId="{AAAB7F41-BDC6-478C-8AE9-99C7BE8C6C6B}" srcId="{2E5E4F43-ECBE-431A-8F63-075E52CB07C1}" destId="{EFEA7ECC-6C58-4479-A59F-C89F2D35987E}" srcOrd="6" destOrd="0" parTransId="{5860DD09-E468-46EF-BDE2-B0DDB1875CEF}" sibTransId="{97F9A63B-A1CE-4A2E-874F-B7E27B2FFE32}"/>
    <dgm:cxn modelId="{C4468365-3ECF-42CB-998F-A2EBD1B53754}" type="presOf" srcId="{DFB81F59-9EC2-4206-A6BC-6DE6A6E093E6}" destId="{1BB9E739-33B9-45E2-B7F0-938A0C6FBA8E}" srcOrd="1" destOrd="1" presId="urn:microsoft.com/office/officeart/2005/8/layout/hProcess4"/>
    <dgm:cxn modelId="{10B83646-E97A-436C-A2E4-39B2ECBDEAD9}" type="presOf" srcId="{4C2056F6-3E1E-4DF0-8375-F5B9B10DB3C4}" destId="{19798515-896A-4E08-A56B-79901DE20401}" srcOrd="0" destOrd="0" presId="urn:microsoft.com/office/officeart/2005/8/layout/hProcess4"/>
    <dgm:cxn modelId="{81269346-54A6-490C-B446-AD3619021834}" type="presOf" srcId="{5168E7B2-6D43-4BA0-80BC-C5597B4F6BEE}" destId="{1BB9E739-33B9-45E2-B7F0-938A0C6FBA8E}" srcOrd="1" destOrd="0" presId="urn:microsoft.com/office/officeart/2005/8/layout/hProcess4"/>
    <dgm:cxn modelId="{B662EA46-6710-4B35-B37E-14FF8B598ACF}" type="presOf" srcId="{F41BA272-35A5-403C-86CC-FDEA988D726A}" destId="{A47B16DF-FD76-46BB-A51C-3798C1072CF3}" srcOrd="0" destOrd="0" presId="urn:microsoft.com/office/officeart/2005/8/layout/hProcess4"/>
    <dgm:cxn modelId="{FEA0EA73-6508-456D-BE74-E8948B6BBF16}" type="presOf" srcId="{AB9469D0-1F7B-4C8F-88EE-9EF446CC6915}" destId="{0858B260-F860-4A33-AC6A-CC7660271742}" srcOrd="0" destOrd="0" presId="urn:microsoft.com/office/officeart/2005/8/layout/hProcess4"/>
    <dgm:cxn modelId="{B6710D7C-5046-473C-A268-3005D7E24F11}" srcId="{2E5E4F43-ECBE-431A-8F63-075E52CB07C1}" destId="{8C32B194-63E9-4873-9204-D3359EB6888A}" srcOrd="3" destOrd="0" parTransId="{056236B7-CF91-419C-920E-257830670643}" sibTransId="{64BD1EAA-1FE4-48D3-885E-D622187E0CB6}"/>
    <dgm:cxn modelId="{C9610983-7341-45B5-AA34-4D82F050903C}" type="presOf" srcId="{BAAE2DF3-A265-419D-97F4-74A6643AECFC}" destId="{E9130982-34DE-42C2-A82C-03C8C821AD97}" srcOrd="0" destOrd="0" presId="urn:microsoft.com/office/officeart/2005/8/layout/hProcess4"/>
    <dgm:cxn modelId="{1EFEB884-052E-4401-B29F-CAC4B55D87D3}" type="presOf" srcId="{65D1FE8C-C414-4DDC-9AB2-93677DD7D1FE}" destId="{3AFD9CA7-45AA-40BB-87A6-16AF866DC4D4}" srcOrd="0" destOrd="5" presId="urn:microsoft.com/office/officeart/2005/8/layout/hProcess4"/>
    <dgm:cxn modelId="{D2ED7285-D7F2-4813-8F6A-567A2DCAC0E7}" srcId="{4C2056F6-3E1E-4DF0-8375-F5B9B10DB3C4}" destId="{990DE2D3-BB58-48C9-B0D6-1DF55B0FE891}" srcOrd="1" destOrd="0" parTransId="{C5F017CC-8307-452B-8819-94F0F1620323}" sibTransId="{F603A20F-3619-4670-BA16-0BBEE7B4ADD5}"/>
    <dgm:cxn modelId="{E7B4BB88-835D-40F5-84F2-CB9A53E7229C}" srcId="{2E5E4F43-ECBE-431A-8F63-075E52CB07C1}" destId="{DE6C1DCC-8173-447E-B916-2181C70F0529}" srcOrd="10" destOrd="0" parTransId="{4088A149-8962-49BA-B35D-048E9A6FB3E2}" sibTransId="{6A6DF0D0-FF7A-409C-BC35-A1C8AB666AB4}"/>
    <dgm:cxn modelId="{7C96098C-9EF8-4B7F-9267-C91DFCD5408D}" type="presOf" srcId="{DE6C1DCC-8173-447E-B916-2181C70F0529}" destId="{1BB9E739-33B9-45E2-B7F0-938A0C6FBA8E}" srcOrd="1" destOrd="10" presId="urn:microsoft.com/office/officeart/2005/8/layout/hProcess4"/>
    <dgm:cxn modelId="{99B071AE-B904-4070-8834-75C85D39AA08}" type="presOf" srcId="{A7F31297-F20C-4685-84AE-E97FBE224125}" destId="{25CB7530-A755-43F4-90B2-147E8EA9C5FD}" srcOrd="0" destOrd="0" presId="urn:microsoft.com/office/officeart/2005/8/layout/hProcess4"/>
    <dgm:cxn modelId="{E51FDFB1-3AEF-44D2-ACA1-B41C38659DE4}" type="presOf" srcId="{F603A20F-3619-4670-BA16-0BBEE7B4ADD5}" destId="{9F2E3CDF-CC06-4314-B182-DA2147411DC9}" srcOrd="0" destOrd="0" presId="urn:microsoft.com/office/officeart/2005/8/layout/hProcess4"/>
    <dgm:cxn modelId="{B11AA6B3-0015-41D3-9B9B-E4826CF94D1D}" type="presOf" srcId="{A7F31297-F20C-4685-84AE-E97FBE224125}" destId="{DB4C5622-F201-4D41-A188-4CE266130CD7}" srcOrd="1" destOrd="0" presId="urn:microsoft.com/office/officeart/2005/8/layout/hProcess4"/>
    <dgm:cxn modelId="{2545D9B5-63CA-42A0-B067-336517C1DAC1}" type="presOf" srcId="{4DCE1E0B-7193-473E-8990-F66689FBC3D7}" destId="{1BB9E739-33B9-45E2-B7F0-938A0C6FBA8E}" srcOrd="1" destOrd="7" presId="urn:microsoft.com/office/officeart/2005/8/layout/hProcess4"/>
    <dgm:cxn modelId="{4272C2B7-A7A9-4419-B03C-BF7FC8A4BAE9}" type="presOf" srcId="{65D1FE8C-C414-4DDC-9AB2-93677DD7D1FE}" destId="{1BB9E739-33B9-45E2-B7F0-938A0C6FBA8E}" srcOrd="1" destOrd="5" presId="urn:microsoft.com/office/officeart/2005/8/layout/hProcess4"/>
    <dgm:cxn modelId="{D49D10BA-2BFD-4D61-BE49-78A60BF48D5E}" srcId="{2E5E4F43-ECBE-431A-8F63-075E52CB07C1}" destId="{752C2FE9-67F5-49E4-AEF2-C9FA751DCD8C}" srcOrd="2" destOrd="0" parTransId="{78F2DBC9-3352-4606-BE1D-36877A056593}" sibTransId="{159F5298-8F94-4316-8829-22D73713A3CF}"/>
    <dgm:cxn modelId="{DAE1B0BF-F5CC-4C83-A2AF-7C46D8C6820A}" type="presOf" srcId="{67E02E62-27BF-4456-9F69-D83D7D33CD41}" destId="{1BB9E739-33B9-45E2-B7F0-938A0C6FBA8E}" srcOrd="1" destOrd="4" presId="urn:microsoft.com/office/officeart/2005/8/layout/hProcess4"/>
    <dgm:cxn modelId="{3A3CB1C4-3DAC-4C9A-8C0F-FADEB358ECAD}" srcId="{2E5E4F43-ECBE-431A-8F63-075E52CB07C1}" destId="{4DCE1E0B-7193-473E-8990-F66689FBC3D7}" srcOrd="7" destOrd="0" parTransId="{DE6F6748-B59D-4762-BDC8-81D21E460899}" sibTransId="{14806634-3310-495C-A2B6-2B423359B061}"/>
    <dgm:cxn modelId="{3BFF62C6-4D92-4342-8671-FC48713C84E2}" srcId="{2E5E4F43-ECBE-431A-8F63-075E52CB07C1}" destId="{755F151D-C8D1-46D8-9C0C-38E802F10758}" srcOrd="9" destOrd="0" parTransId="{B73A3E03-70A3-4ECC-91BE-9084D05BE3AF}" sibTransId="{AE16BAFD-6E8C-42D3-8E95-AE056B5276D9}"/>
    <dgm:cxn modelId="{24E322C8-1852-457D-84F9-4FD63FD6658B}" srcId="{2E5E4F43-ECBE-431A-8F63-075E52CB07C1}" destId="{5168E7B2-6D43-4BA0-80BC-C5597B4F6BEE}" srcOrd="0" destOrd="0" parTransId="{60221B6F-610F-474C-8D2B-4C7B1F5F4A7E}" sibTransId="{569DDE7F-D9A9-43D4-9209-8BAA9095367F}"/>
    <dgm:cxn modelId="{E0A51ECA-9CE1-4540-AD1E-C6819D5111AC}" type="presOf" srcId="{8C32B194-63E9-4873-9204-D3359EB6888A}" destId="{1BB9E739-33B9-45E2-B7F0-938A0C6FBA8E}" srcOrd="1" destOrd="3" presId="urn:microsoft.com/office/officeart/2005/8/layout/hProcess4"/>
    <dgm:cxn modelId="{F0895ECD-F727-4FFD-B6E7-B80FB0ABDC1C}" srcId="{2E5E4F43-ECBE-431A-8F63-075E52CB07C1}" destId="{188B512B-D0A5-4305-A234-B3BE00D5D4CB}" srcOrd="8" destOrd="0" parTransId="{FFEE86DA-E4E2-4C60-92D9-CD73ADB9F889}" sibTransId="{84976311-75F3-4227-864A-923CB6464630}"/>
    <dgm:cxn modelId="{739ABACF-9D2B-452D-BCB7-1D2B78365159}" srcId="{F41BA272-35A5-403C-86CC-FDEA988D726A}" destId="{BAAE2DF3-A265-419D-97F4-74A6643AECFC}" srcOrd="0" destOrd="0" parTransId="{913E16BA-C3C1-4F8F-917A-6CA89703DB50}" sibTransId="{D843FDFD-4D93-43F6-BD77-05234CC06D1B}"/>
    <dgm:cxn modelId="{3531C9D0-65A6-463F-8ED9-05B54E93B5B7}" srcId="{2E5E4F43-ECBE-431A-8F63-075E52CB07C1}" destId="{65D1FE8C-C414-4DDC-9AB2-93677DD7D1FE}" srcOrd="5" destOrd="0" parTransId="{FC0279E9-FE06-4B6D-9B13-3A55A1F7806A}" sibTransId="{DE1D59DB-2609-4E87-8369-83AD168D6480}"/>
    <dgm:cxn modelId="{5692CCD1-BF13-483F-9BA2-681937CE44C1}" srcId="{4C2056F6-3E1E-4DF0-8375-F5B9B10DB3C4}" destId="{F41BA272-35A5-403C-86CC-FDEA988D726A}" srcOrd="2" destOrd="0" parTransId="{CFCF4AA9-1E34-4C55-BEEE-B4A0A7F1ECCA}" sibTransId="{37A15137-B1A6-490A-BEE7-01D0D4FACD0E}"/>
    <dgm:cxn modelId="{12D02FD6-E117-4EB7-858F-4B2DEAC93C39}" type="presOf" srcId="{DE6C1DCC-8173-447E-B916-2181C70F0529}" destId="{3AFD9CA7-45AA-40BB-87A6-16AF866DC4D4}" srcOrd="0" destOrd="10" presId="urn:microsoft.com/office/officeart/2005/8/layout/hProcess4"/>
    <dgm:cxn modelId="{5E56E7DE-555E-4962-8DE0-FB71A4998E8B}" type="presOf" srcId="{8C32B194-63E9-4873-9204-D3359EB6888A}" destId="{3AFD9CA7-45AA-40BB-87A6-16AF866DC4D4}" srcOrd="0" destOrd="3" presId="urn:microsoft.com/office/officeart/2005/8/layout/hProcess4"/>
    <dgm:cxn modelId="{E566BCE1-BB09-4B27-B52C-36A189E3738B}" type="presOf" srcId="{752C2FE9-67F5-49E4-AEF2-C9FA751DCD8C}" destId="{3AFD9CA7-45AA-40BB-87A6-16AF866DC4D4}" srcOrd="0" destOrd="2" presId="urn:microsoft.com/office/officeart/2005/8/layout/hProcess4"/>
    <dgm:cxn modelId="{2D764CE2-97D4-4C97-9B66-4ACF7DB80335}" type="presOf" srcId="{188B512B-D0A5-4305-A234-B3BE00D5D4CB}" destId="{1BB9E739-33B9-45E2-B7F0-938A0C6FBA8E}" srcOrd="1" destOrd="8" presId="urn:microsoft.com/office/officeart/2005/8/layout/hProcess4"/>
    <dgm:cxn modelId="{843018E3-4ADA-4857-9623-E7B230E0D3A7}" srcId="{2E5E4F43-ECBE-431A-8F63-075E52CB07C1}" destId="{DFB81F59-9EC2-4206-A6BC-6DE6A6E093E6}" srcOrd="1" destOrd="0" parTransId="{8EE65C35-6A64-414E-9FDD-69B7801EE8D4}" sibTransId="{DEC74D6C-A477-428B-A132-683583BD914D}"/>
    <dgm:cxn modelId="{445A72E9-CA43-4612-9D3F-DE11F391C50A}" srcId="{4C2056F6-3E1E-4DF0-8375-F5B9B10DB3C4}" destId="{2E5E4F43-ECBE-431A-8F63-075E52CB07C1}" srcOrd="0" destOrd="0" parTransId="{74D387DD-F806-45A0-AB8D-3CB9211804DC}" sibTransId="{AB9469D0-1F7B-4C8F-88EE-9EF446CC6915}"/>
    <dgm:cxn modelId="{3FFBF9EA-00AB-4905-ADB7-ED99CEA9E61E}" srcId="{990DE2D3-BB58-48C9-B0D6-1DF55B0FE891}" destId="{A7F31297-F20C-4685-84AE-E97FBE224125}" srcOrd="0" destOrd="0" parTransId="{5CFDCF11-D4EE-41B3-914E-AC512AB72CD6}" sibTransId="{7A758FA6-4C72-4067-8724-05583614CCA4}"/>
    <dgm:cxn modelId="{7B8AB7EF-110F-43AA-9C7A-A7F32DEFEB6F}" srcId="{2E5E4F43-ECBE-431A-8F63-075E52CB07C1}" destId="{67E02E62-27BF-4456-9F69-D83D7D33CD41}" srcOrd="4" destOrd="0" parTransId="{125FC539-3A1E-41C2-9FCC-496386328ACE}" sibTransId="{782F71BC-4074-4A8A-910C-94812CF18CFF}"/>
    <dgm:cxn modelId="{D36599F1-3707-4714-BAA5-2DB9B7440860}" type="presOf" srcId="{755F151D-C8D1-46D8-9C0C-38E802F10758}" destId="{3AFD9CA7-45AA-40BB-87A6-16AF866DC4D4}" srcOrd="0" destOrd="9" presId="urn:microsoft.com/office/officeart/2005/8/layout/hProcess4"/>
    <dgm:cxn modelId="{1E01E6F4-C0B1-484C-9F1E-B783B00086A2}" type="presOf" srcId="{67E02E62-27BF-4456-9F69-D83D7D33CD41}" destId="{3AFD9CA7-45AA-40BB-87A6-16AF866DC4D4}" srcOrd="0" destOrd="4" presId="urn:microsoft.com/office/officeart/2005/8/layout/hProcess4"/>
    <dgm:cxn modelId="{94D2C097-FB71-40ED-8D4D-D9C2851EBE47}" type="presParOf" srcId="{19798515-896A-4E08-A56B-79901DE20401}" destId="{3E1C6ED5-7F54-4A76-B6BD-5A763A4DA5F7}" srcOrd="0" destOrd="0" presId="urn:microsoft.com/office/officeart/2005/8/layout/hProcess4"/>
    <dgm:cxn modelId="{F416A196-5069-4583-AA19-8BAAD38D9827}" type="presParOf" srcId="{19798515-896A-4E08-A56B-79901DE20401}" destId="{2ABA91C8-C950-4F00-82D6-964FE9C57934}" srcOrd="1" destOrd="0" presId="urn:microsoft.com/office/officeart/2005/8/layout/hProcess4"/>
    <dgm:cxn modelId="{8D9C4EC6-4EC9-4B18-A5F6-006D84FE3C4B}" type="presParOf" srcId="{19798515-896A-4E08-A56B-79901DE20401}" destId="{E2765E14-A7F6-4E50-950D-D88DBE504A30}" srcOrd="2" destOrd="0" presId="urn:microsoft.com/office/officeart/2005/8/layout/hProcess4"/>
    <dgm:cxn modelId="{F36AFDB4-6948-4AC6-BBB5-BEC326EB2EC1}" type="presParOf" srcId="{E2765E14-A7F6-4E50-950D-D88DBE504A30}" destId="{FBA0112E-78D3-4DA5-B767-75CCBC08E789}" srcOrd="0" destOrd="0" presId="urn:microsoft.com/office/officeart/2005/8/layout/hProcess4"/>
    <dgm:cxn modelId="{76A93137-3EB0-4F37-AF44-AF5C703CD44D}" type="presParOf" srcId="{FBA0112E-78D3-4DA5-B767-75CCBC08E789}" destId="{58202C85-533D-4679-BCC0-A1C501239CC7}" srcOrd="0" destOrd="0" presId="urn:microsoft.com/office/officeart/2005/8/layout/hProcess4"/>
    <dgm:cxn modelId="{A6854FDB-8401-4EEF-BAF2-3E929965ECEB}" type="presParOf" srcId="{FBA0112E-78D3-4DA5-B767-75CCBC08E789}" destId="{3AFD9CA7-45AA-40BB-87A6-16AF866DC4D4}" srcOrd="1" destOrd="0" presId="urn:microsoft.com/office/officeart/2005/8/layout/hProcess4"/>
    <dgm:cxn modelId="{07FA5ACF-362D-42AB-B0FB-E9887C7320F1}" type="presParOf" srcId="{FBA0112E-78D3-4DA5-B767-75CCBC08E789}" destId="{1BB9E739-33B9-45E2-B7F0-938A0C6FBA8E}" srcOrd="2" destOrd="0" presId="urn:microsoft.com/office/officeart/2005/8/layout/hProcess4"/>
    <dgm:cxn modelId="{9B811894-C484-46E3-9866-BED3DD5E0EE8}" type="presParOf" srcId="{FBA0112E-78D3-4DA5-B767-75CCBC08E789}" destId="{A62AFE7B-EE5E-4497-BE42-75945399E01E}" srcOrd="3" destOrd="0" presId="urn:microsoft.com/office/officeart/2005/8/layout/hProcess4"/>
    <dgm:cxn modelId="{406C5CF3-25E4-4987-9BD5-83259F4757C6}" type="presParOf" srcId="{FBA0112E-78D3-4DA5-B767-75CCBC08E789}" destId="{8BA9A342-60F5-44AE-B3E6-8C07F8678B0F}" srcOrd="4" destOrd="0" presId="urn:microsoft.com/office/officeart/2005/8/layout/hProcess4"/>
    <dgm:cxn modelId="{56919437-96B4-44FF-9308-4EDC41751A53}" type="presParOf" srcId="{E2765E14-A7F6-4E50-950D-D88DBE504A30}" destId="{0858B260-F860-4A33-AC6A-CC7660271742}" srcOrd="1" destOrd="0" presId="urn:microsoft.com/office/officeart/2005/8/layout/hProcess4"/>
    <dgm:cxn modelId="{B6E0B8D8-FC7E-4BFB-B7E5-6DB5474252BA}" type="presParOf" srcId="{E2765E14-A7F6-4E50-950D-D88DBE504A30}" destId="{45F33C15-CC27-46DD-BD27-46589619FEF8}" srcOrd="2" destOrd="0" presId="urn:microsoft.com/office/officeart/2005/8/layout/hProcess4"/>
    <dgm:cxn modelId="{0199DC7E-C190-46B5-8D4F-45D00B8B4966}" type="presParOf" srcId="{45F33C15-CC27-46DD-BD27-46589619FEF8}" destId="{8CADA7F5-9003-4D69-91B2-0C8F04F47F6E}" srcOrd="0" destOrd="0" presId="urn:microsoft.com/office/officeart/2005/8/layout/hProcess4"/>
    <dgm:cxn modelId="{3C9A988E-5DAE-4038-B396-8EBC3C94B437}" type="presParOf" srcId="{45F33C15-CC27-46DD-BD27-46589619FEF8}" destId="{25CB7530-A755-43F4-90B2-147E8EA9C5FD}" srcOrd="1" destOrd="0" presId="urn:microsoft.com/office/officeart/2005/8/layout/hProcess4"/>
    <dgm:cxn modelId="{2F4A734E-23B9-4C78-8D5F-01E559956427}" type="presParOf" srcId="{45F33C15-CC27-46DD-BD27-46589619FEF8}" destId="{DB4C5622-F201-4D41-A188-4CE266130CD7}" srcOrd="2" destOrd="0" presId="urn:microsoft.com/office/officeart/2005/8/layout/hProcess4"/>
    <dgm:cxn modelId="{D3C4A10E-779C-4269-AC65-62AF29336CB9}" type="presParOf" srcId="{45F33C15-CC27-46DD-BD27-46589619FEF8}" destId="{54A5C026-095A-4F1E-8A97-A9D920578D00}" srcOrd="3" destOrd="0" presId="urn:microsoft.com/office/officeart/2005/8/layout/hProcess4"/>
    <dgm:cxn modelId="{C9300B0F-1716-41B0-95B5-1A1EBBA5B036}" type="presParOf" srcId="{45F33C15-CC27-46DD-BD27-46589619FEF8}" destId="{91FA74D8-B3FB-484B-804C-6784311C6343}" srcOrd="4" destOrd="0" presId="urn:microsoft.com/office/officeart/2005/8/layout/hProcess4"/>
    <dgm:cxn modelId="{5BFAFFC3-00CB-41F8-89EB-7DFF1D84656E}" type="presParOf" srcId="{E2765E14-A7F6-4E50-950D-D88DBE504A30}" destId="{9F2E3CDF-CC06-4314-B182-DA2147411DC9}" srcOrd="3" destOrd="0" presId="urn:microsoft.com/office/officeart/2005/8/layout/hProcess4"/>
    <dgm:cxn modelId="{3C861765-82B8-4A39-AC88-2644AF650839}" type="presParOf" srcId="{E2765E14-A7F6-4E50-950D-D88DBE504A30}" destId="{B3F0C514-C9A7-4FE0-9DAD-FD52A252B68F}" srcOrd="4" destOrd="0" presId="urn:microsoft.com/office/officeart/2005/8/layout/hProcess4"/>
    <dgm:cxn modelId="{8CD47008-7C5C-4EF4-8B99-B94454421D1F}" type="presParOf" srcId="{B3F0C514-C9A7-4FE0-9DAD-FD52A252B68F}" destId="{92315C6E-CCAD-4D44-9FA7-BBD12F4A68CC}" srcOrd="0" destOrd="0" presId="urn:microsoft.com/office/officeart/2005/8/layout/hProcess4"/>
    <dgm:cxn modelId="{7E164A63-36D8-4ED3-A229-5EAB79F615AD}" type="presParOf" srcId="{B3F0C514-C9A7-4FE0-9DAD-FD52A252B68F}" destId="{E9130982-34DE-42C2-A82C-03C8C821AD97}" srcOrd="1" destOrd="0" presId="urn:microsoft.com/office/officeart/2005/8/layout/hProcess4"/>
    <dgm:cxn modelId="{9C46E222-40C7-489D-83F2-1400E5215469}" type="presParOf" srcId="{B3F0C514-C9A7-4FE0-9DAD-FD52A252B68F}" destId="{0651565D-3104-416B-A38F-4EE7867D26EE}" srcOrd="2" destOrd="0" presId="urn:microsoft.com/office/officeart/2005/8/layout/hProcess4"/>
    <dgm:cxn modelId="{2E092BCD-3297-4874-813A-5A2B6E9C9F78}" type="presParOf" srcId="{B3F0C514-C9A7-4FE0-9DAD-FD52A252B68F}" destId="{A47B16DF-FD76-46BB-A51C-3798C1072CF3}" srcOrd="3" destOrd="0" presId="urn:microsoft.com/office/officeart/2005/8/layout/hProcess4"/>
    <dgm:cxn modelId="{0C5B3211-CE67-4A52-8DC4-C8B068E5AA78}" type="presParOf" srcId="{B3F0C514-C9A7-4FE0-9DAD-FD52A252B68F}" destId="{FC1B675A-1FA9-4B82-B85D-A35858F854E8}" srcOrd="4" destOrd="0" presId="urn:microsoft.com/office/officeart/2005/8/layout/h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29DCEC-CD56-4988-B705-93FB56E7E6B4}" type="doc">
      <dgm:prSet loTypeId="urn:microsoft.com/office/officeart/2008/layout/LinedList" loCatId="list" qsTypeId="urn:microsoft.com/office/officeart/2005/8/quickstyle/3d3" qsCatId="3D" csTypeId="urn:microsoft.com/office/officeart/2005/8/colors/accent2_4" csCatId="accent2" phldr="1"/>
      <dgm:spPr/>
      <dgm:t>
        <a:bodyPr/>
        <a:lstStyle/>
        <a:p>
          <a:endParaRPr lang="fr-FR"/>
        </a:p>
      </dgm:t>
    </dgm:pt>
    <dgm:pt modelId="{3CFD7EF6-4BF6-48BF-9A0B-ABE0C9558F8B}">
      <dgm:prSet phldrT="[Texte]" custT="1"/>
      <dgm:spPr/>
      <dgm:t>
        <a:bodyPr/>
        <a:lstStyle/>
        <a:p>
          <a:pPr algn="l"/>
          <a:endParaRPr lang="fr-FR" sz="1400"/>
        </a:p>
        <a:p>
          <a:pPr algn="ctr"/>
          <a:endParaRPr lang="fr-FR" sz="1400"/>
        </a:p>
        <a:p>
          <a:pPr algn="ctr"/>
          <a:endParaRPr lang="fr-FR" sz="1400"/>
        </a:p>
        <a:p>
          <a:pPr algn="ctr"/>
          <a:endParaRPr lang="fr-FR" sz="1400"/>
        </a:p>
        <a:p>
          <a:pPr algn="ctr"/>
          <a:endParaRPr lang="fr-FR" sz="1400" b="1">
            <a:latin typeface="Times New Roman" pitchFamily="18" charset="0"/>
            <a:cs typeface="Times New Roman" pitchFamily="18" charset="0"/>
          </a:endParaRPr>
        </a:p>
        <a:p>
          <a:pPr algn="ctr"/>
          <a:r>
            <a:rPr lang="fr-FR" sz="1000" b="1">
              <a:latin typeface="Times New Roman" pitchFamily="18" charset="0"/>
              <a:cs typeface="Times New Roman" pitchFamily="18" charset="0"/>
            </a:rPr>
            <a:t>Enjeux du PND 2018-2027</a:t>
          </a:r>
        </a:p>
      </dgm:t>
    </dgm:pt>
    <dgm:pt modelId="{B0BD337E-1CDE-4FD2-9CB2-8A6DE5416204}" type="parTrans" cxnId="{3C20486B-F11E-455B-867F-CCFA4B2081D2}">
      <dgm:prSet/>
      <dgm:spPr/>
      <dgm:t>
        <a:bodyPr/>
        <a:lstStyle/>
        <a:p>
          <a:endParaRPr lang="fr-FR"/>
        </a:p>
      </dgm:t>
    </dgm:pt>
    <dgm:pt modelId="{8906934F-1AE1-49B4-AEEA-730B82F40FF9}" type="sibTrans" cxnId="{3C20486B-F11E-455B-867F-CCFA4B2081D2}">
      <dgm:prSet/>
      <dgm:spPr/>
      <dgm:t>
        <a:bodyPr/>
        <a:lstStyle/>
        <a:p>
          <a:endParaRPr lang="fr-FR"/>
        </a:p>
      </dgm:t>
    </dgm:pt>
    <dgm:pt modelId="{1389095B-E32E-43ED-8298-A3893B5A7291}">
      <dgm:prSet phldrT="[Texte]"/>
      <dgm:spPr/>
      <dgm:t>
        <a:bodyPr/>
        <a:lstStyle/>
        <a:p>
          <a:pPr algn="just"/>
          <a:r>
            <a:rPr lang="fr-FR" b="1"/>
            <a:t>Enjeu 2 : </a:t>
          </a:r>
          <a:r>
            <a:rPr lang="fr-FR"/>
            <a:t>Une gouvernance axée sur les principes  démocratiques et la sauvegarde de la  souveraineté nationale</a:t>
          </a:r>
        </a:p>
        <a:p>
          <a:pPr algn="l"/>
          <a:endParaRPr lang="fr-FR"/>
        </a:p>
      </dgm:t>
    </dgm:pt>
    <dgm:pt modelId="{E3FF029B-6BEF-4E9B-9583-0F3BCDE76182}" type="parTrans" cxnId="{3C3BD8C9-52BF-4BDA-82C0-341B4DD2D374}">
      <dgm:prSet/>
      <dgm:spPr/>
      <dgm:t>
        <a:bodyPr/>
        <a:lstStyle/>
        <a:p>
          <a:endParaRPr lang="fr-FR"/>
        </a:p>
      </dgm:t>
    </dgm:pt>
    <dgm:pt modelId="{A3312A0E-B443-4EDA-BDEE-46DDC5CED5CD}" type="sibTrans" cxnId="{3C3BD8C9-52BF-4BDA-82C0-341B4DD2D374}">
      <dgm:prSet/>
      <dgm:spPr/>
      <dgm:t>
        <a:bodyPr/>
        <a:lstStyle/>
        <a:p>
          <a:endParaRPr lang="fr-FR"/>
        </a:p>
      </dgm:t>
    </dgm:pt>
    <dgm:pt modelId="{40CDA9D4-6EE4-49EC-A124-8FC6E675B494}">
      <dgm:prSet phldrT="[Texte]"/>
      <dgm:spPr/>
      <dgm:t>
        <a:bodyPr/>
        <a:lstStyle/>
        <a:p>
          <a:pPr algn="just"/>
          <a:r>
            <a:rPr lang="fr-FR" b="1"/>
            <a:t>Enjeu  1 : </a:t>
          </a:r>
          <a:r>
            <a:rPr lang="fr-FR"/>
            <a:t>Une croissance soutenue et inclusive pour une résilience économique  et un développement durable  </a:t>
          </a:r>
        </a:p>
        <a:p>
          <a:pPr algn="l"/>
          <a:endParaRPr lang="fr-FR"/>
        </a:p>
      </dgm:t>
    </dgm:pt>
    <dgm:pt modelId="{0DFBB78C-A1BB-4FFE-9C08-F1F694D3FB32}" type="parTrans" cxnId="{CED2FAA9-F592-4E3B-8362-4140DDB21F1F}">
      <dgm:prSet/>
      <dgm:spPr/>
      <dgm:t>
        <a:bodyPr/>
        <a:lstStyle/>
        <a:p>
          <a:endParaRPr lang="fr-FR"/>
        </a:p>
      </dgm:t>
    </dgm:pt>
    <dgm:pt modelId="{711D8E91-F69D-4481-BA7E-F1602BA30B0B}" type="sibTrans" cxnId="{CED2FAA9-F592-4E3B-8362-4140DDB21F1F}">
      <dgm:prSet/>
      <dgm:spPr/>
      <dgm:t>
        <a:bodyPr/>
        <a:lstStyle/>
        <a:p>
          <a:endParaRPr lang="fr-FR"/>
        </a:p>
      </dgm:t>
    </dgm:pt>
    <dgm:pt modelId="{ADBF4F8F-17DE-42D1-ACA9-53F4A1CDE1BD}">
      <dgm:prSet phldrT="[Texte]"/>
      <dgm:spPr/>
      <dgm:t>
        <a:bodyPr/>
        <a:lstStyle/>
        <a:p>
          <a:pPr algn="just"/>
          <a:r>
            <a:rPr lang="fr-FR" b="1"/>
            <a:t>Enjeu 3 : </a:t>
          </a:r>
          <a:r>
            <a:rPr lang="fr-FR" b="0"/>
            <a:t>Des</a:t>
          </a:r>
          <a:r>
            <a:rPr lang="fr-FR" b="1"/>
            <a:t> </a:t>
          </a:r>
          <a:r>
            <a:rPr lang="fr-FR"/>
            <a:t>mécanismes efficaces       de mobilisation des ressources, capitalisation de la coopération et recherche du financement innovant</a:t>
          </a:r>
        </a:p>
      </dgm:t>
    </dgm:pt>
    <dgm:pt modelId="{3A52D1E0-7DA8-4CFE-B1F5-F55334CD7D49}" type="parTrans" cxnId="{CA266886-FD57-44E4-8643-0CC37D80E8C4}">
      <dgm:prSet/>
      <dgm:spPr/>
      <dgm:t>
        <a:bodyPr/>
        <a:lstStyle/>
        <a:p>
          <a:endParaRPr lang="fr-FR"/>
        </a:p>
      </dgm:t>
    </dgm:pt>
    <dgm:pt modelId="{F1033657-7852-4422-AF46-00B58ECD78A5}" type="sibTrans" cxnId="{CA266886-FD57-44E4-8643-0CC37D80E8C4}">
      <dgm:prSet/>
      <dgm:spPr/>
      <dgm:t>
        <a:bodyPr/>
        <a:lstStyle/>
        <a:p>
          <a:endParaRPr lang="fr-FR"/>
        </a:p>
      </dgm:t>
    </dgm:pt>
    <dgm:pt modelId="{152F946F-49FC-440F-8426-D7DF5157B0D5}" type="pres">
      <dgm:prSet presAssocID="{8729DCEC-CD56-4988-B705-93FB56E7E6B4}" presName="vert0" presStyleCnt="0">
        <dgm:presLayoutVars>
          <dgm:dir/>
          <dgm:animOne val="branch"/>
          <dgm:animLvl val="lvl"/>
        </dgm:presLayoutVars>
      </dgm:prSet>
      <dgm:spPr/>
    </dgm:pt>
    <dgm:pt modelId="{25667F7F-D410-444D-9C7D-1B73D8C9E504}" type="pres">
      <dgm:prSet presAssocID="{3CFD7EF6-4BF6-48BF-9A0B-ABE0C9558F8B}" presName="thickLine" presStyleLbl="alignNode1" presStyleIdx="0" presStyleCnt="1"/>
      <dgm:spPr/>
    </dgm:pt>
    <dgm:pt modelId="{99EC9BA4-E718-4E4C-B5A9-AFF6EB010321}" type="pres">
      <dgm:prSet presAssocID="{3CFD7EF6-4BF6-48BF-9A0B-ABE0C9558F8B}" presName="horz1" presStyleCnt="0"/>
      <dgm:spPr/>
    </dgm:pt>
    <dgm:pt modelId="{5D835096-9F08-41D9-82D1-4CF0083741F8}" type="pres">
      <dgm:prSet presAssocID="{3CFD7EF6-4BF6-48BF-9A0B-ABE0C9558F8B}" presName="tx1" presStyleLbl="revTx" presStyleIdx="0" presStyleCnt="4" custScaleX="172912" custLinFactNeighborY="-11879"/>
      <dgm:spPr/>
    </dgm:pt>
    <dgm:pt modelId="{A16D11EE-93EA-4831-AAF6-453A925342E5}" type="pres">
      <dgm:prSet presAssocID="{3CFD7EF6-4BF6-48BF-9A0B-ABE0C9558F8B}" presName="vert1" presStyleCnt="0"/>
      <dgm:spPr/>
    </dgm:pt>
    <dgm:pt modelId="{83D08D3A-A449-418F-B5A7-C05B86BE417E}" type="pres">
      <dgm:prSet presAssocID="{1389095B-E32E-43ED-8298-A3893B5A7291}" presName="vertSpace2a" presStyleCnt="0"/>
      <dgm:spPr/>
    </dgm:pt>
    <dgm:pt modelId="{97E5CDDB-7EDA-4E62-9B6E-5E28C2898150}" type="pres">
      <dgm:prSet presAssocID="{1389095B-E32E-43ED-8298-A3893B5A7291}" presName="horz2" presStyleCnt="0"/>
      <dgm:spPr/>
    </dgm:pt>
    <dgm:pt modelId="{B7CB07C3-1645-4E7F-8B2A-B92738944D8E}" type="pres">
      <dgm:prSet presAssocID="{1389095B-E32E-43ED-8298-A3893B5A7291}" presName="horzSpace2" presStyleCnt="0"/>
      <dgm:spPr/>
    </dgm:pt>
    <dgm:pt modelId="{A0681F2A-F3C8-44AE-8E17-E851D860C046}" type="pres">
      <dgm:prSet presAssocID="{1389095B-E32E-43ED-8298-A3893B5A7291}" presName="tx2" presStyleLbl="revTx" presStyleIdx="1" presStyleCnt="4" custScaleX="135783" custLinFactY="11208" custLinFactNeighborX="6394" custLinFactNeighborY="100000"/>
      <dgm:spPr/>
    </dgm:pt>
    <dgm:pt modelId="{35F4F559-216A-4AC6-92BC-3398880EDD5E}" type="pres">
      <dgm:prSet presAssocID="{1389095B-E32E-43ED-8298-A3893B5A7291}" presName="vert2" presStyleCnt="0"/>
      <dgm:spPr/>
    </dgm:pt>
    <dgm:pt modelId="{1E4E7F2E-F534-4794-B93A-34D7837F67E4}" type="pres">
      <dgm:prSet presAssocID="{1389095B-E32E-43ED-8298-A3893B5A7291}" presName="thinLine2b" presStyleLbl="callout" presStyleIdx="0" presStyleCnt="3" custLinFactNeighborX="0" custLinFactNeighborY="-81702"/>
      <dgm:spPr/>
    </dgm:pt>
    <dgm:pt modelId="{FF4F0BB9-DFCA-444C-A1F2-58CCB237EF29}" type="pres">
      <dgm:prSet presAssocID="{1389095B-E32E-43ED-8298-A3893B5A7291}" presName="vertSpace2b" presStyleCnt="0"/>
      <dgm:spPr/>
    </dgm:pt>
    <dgm:pt modelId="{F0F076E2-0D93-41FA-B356-9DB90CFD0D0C}" type="pres">
      <dgm:prSet presAssocID="{40CDA9D4-6EE4-49EC-A124-8FC6E675B494}" presName="horz2" presStyleCnt="0"/>
      <dgm:spPr/>
    </dgm:pt>
    <dgm:pt modelId="{DBF60899-FB37-430E-AF51-BCBCA2A37AB1}" type="pres">
      <dgm:prSet presAssocID="{40CDA9D4-6EE4-49EC-A124-8FC6E675B494}" presName="horzSpace2" presStyleCnt="0"/>
      <dgm:spPr/>
    </dgm:pt>
    <dgm:pt modelId="{FEE06E4A-1661-4415-89EF-7340CD535D19}" type="pres">
      <dgm:prSet presAssocID="{40CDA9D4-6EE4-49EC-A124-8FC6E675B494}" presName="tx2" presStyleLbl="revTx" presStyleIdx="2" presStyleCnt="4" custScaleX="130623" custLinFactNeighborX="-243" custLinFactNeighborY="-85545"/>
      <dgm:spPr/>
    </dgm:pt>
    <dgm:pt modelId="{01EEC9DE-0491-45D1-8B2B-0E6179136FDE}" type="pres">
      <dgm:prSet presAssocID="{40CDA9D4-6EE4-49EC-A124-8FC6E675B494}" presName="vert2" presStyleCnt="0"/>
      <dgm:spPr/>
    </dgm:pt>
    <dgm:pt modelId="{8BEF82FC-89D4-4B4B-A249-122B2043608B}" type="pres">
      <dgm:prSet presAssocID="{40CDA9D4-6EE4-49EC-A124-8FC6E675B494}" presName="thinLine2b" presStyleLbl="callout" presStyleIdx="1" presStyleCnt="3"/>
      <dgm:spPr/>
    </dgm:pt>
    <dgm:pt modelId="{C4FBC5FD-D8A8-43BF-940D-77762484774E}" type="pres">
      <dgm:prSet presAssocID="{40CDA9D4-6EE4-49EC-A124-8FC6E675B494}" presName="vertSpace2b" presStyleCnt="0"/>
      <dgm:spPr/>
    </dgm:pt>
    <dgm:pt modelId="{7B3D1D40-7DF2-4602-9CD1-671A4F7DE427}" type="pres">
      <dgm:prSet presAssocID="{ADBF4F8F-17DE-42D1-ACA9-53F4A1CDE1BD}" presName="horz2" presStyleCnt="0"/>
      <dgm:spPr/>
    </dgm:pt>
    <dgm:pt modelId="{56A73419-EA4A-467C-A7EB-E75312BA6E85}" type="pres">
      <dgm:prSet presAssocID="{ADBF4F8F-17DE-42D1-ACA9-53F4A1CDE1BD}" presName="horzSpace2" presStyleCnt="0"/>
      <dgm:spPr/>
    </dgm:pt>
    <dgm:pt modelId="{44225804-E820-402F-AC8F-A4C47125964C}" type="pres">
      <dgm:prSet presAssocID="{ADBF4F8F-17DE-42D1-ACA9-53F4A1CDE1BD}" presName="tx2" presStyleLbl="revTx" presStyleIdx="3" presStyleCnt="4" custScaleX="127949"/>
      <dgm:spPr/>
    </dgm:pt>
    <dgm:pt modelId="{434CF764-B962-41BC-9322-A23F0E3C3412}" type="pres">
      <dgm:prSet presAssocID="{ADBF4F8F-17DE-42D1-ACA9-53F4A1CDE1BD}" presName="vert2" presStyleCnt="0"/>
      <dgm:spPr/>
    </dgm:pt>
    <dgm:pt modelId="{062879F9-680B-4B90-BAE3-8116A36D8621}" type="pres">
      <dgm:prSet presAssocID="{ADBF4F8F-17DE-42D1-ACA9-53F4A1CDE1BD}" presName="thinLine2b" presStyleLbl="callout" presStyleIdx="2" presStyleCnt="3"/>
      <dgm:spPr/>
    </dgm:pt>
    <dgm:pt modelId="{78548446-42A1-40E9-AC65-AC6720F89D03}" type="pres">
      <dgm:prSet presAssocID="{ADBF4F8F-17DE-42D1-ACA9-53F4A1CDE1BD}" presName="vertSpace2b" presStyleCnt="0"/>
      <dgm:spPr/>
    </dgm:pt>
  </dgm:ptLst>
  <dgm:cxnLst>
    <dgm:cxn modelId="{225BC824-9DA1-4F11-8ECC-38C8108FB7E6}" type="presOf" srcId="{1389095B-E32E-43ED-8298-A3893B5A7291}" destId="{A0681F2A-F3C8-44AE-8E17-E851D860C046}" srcOrd="0" destOrd="0" presId="urn:microsoft.com/office/officeart/2008/layout/LinedList"/>
    <dgm:cxn modelId="{A2681661-409F-4219-BC0E-08AE55FA6A1D}" type="presOf" srcId="{8729DCEC-CD56-4988-B705-93FB56E7E6B4}" destId="{152F946F-49FC-440F-8426-D7DF5157B0D5}" srcOrd="0" destOrd="0" presId="urn:microsoft.com/office/officeart/2008/layout/LinedList"/>
    <dgm:cxn modelId="{3C20486B-F11E-455B-867F-CCFA4B2081D2}" srcId="{8729DCEC-CD56-4988-B705-93FB56E7E6B4}" destId="{3CFD7EF6-4BF6-48BF-9A0B-ABE0C9558F8B}" srcOrd="0" destOrd="0" parTransId="{B0BD337E-1CDE-4FD2-9CB2-8A6DE5416204}" sibTransId="{8906934F-1AE1-49B4-AEEA-730B82F40FF9}"/>
    <dgm:cxn modelId="{CEB83676-1486-43A9-951A-7264CC97C97A}" type="presOf" srcId="{40CDA9D4-6EE4-49EC-A124-8FC6E675B494}" destId="{FEE06E4A-1661-4415-89EF-7340CD535D19}" srcOrd="0" destOrd="0" presId="urn:microsoft.com/office/officeart/2008/layout/LinedList"/>
    <dgm:cxn modelId="{A9C1DA80-02DE-49CD-947F-A989AF5CEB47}" type="presOf" srcId="{ADBF4F8F-17DE-42D1-ACA9-53F4A1CDE1BD}" destId="{44225804-E820-402F-AC8F-A4C47125964C}" srcOrd="0" destOrd="0" presId="urn:microsoft.com/office/officeart/2008/layout/LinedList"/>
    <dgm:cxn modelId="{CA266886-FD57-44E4-8643-0CC37D80E8C4}" srcId="{3CFD7EF6-4BF6-48BF-9A0B-ABE0C9558F8B}" destId="{ADBF4F8F-17DE-42D1-ACA9-53F4A1CDE1BD}" srcOrd="2" destOrd="0" parTransId="{3A52D1E0-7DA8-4CFE-B1F5-F55334CD7D49}" sibTransId="{F1033657-7852-4422-AF46-00B58ECD78A5}"/>
    <dgm:cxn modelId="{CED2FAA9-F592-4E3B-8362-4140DDB21F1F}" srcId="{3CFD7EF6-4BF6-48BF-9A0B-ABE0C9558F8B}" destId="{40CDA9D4-6EE4-49EC-A124-8FC6E675B494}" srcOrd="1" destOrd="0" parTransId="{0DFBB78C-A1BB-4FFE-9C08-F1F694D3FB32}" sibTransId="{711D8E91-F69D-4481-BA7E-F1602BA30B0B}"/>
    <dgm:cxn modelId="{A3928EC6-1DE6-41FA-8D98-DB0347ABD7C9}" type="presOf" srcId="{3CFD7EF6-4BF6-48BF-9A0B-ABE0C9558F8B}" destId="{5D835096-9F08-41D9-82D1-4CF0083741F8}" srcOrd="0" destOrd="0" presId="urn:microsoft.com/office/officeart/2008/layout/LinedList"/>
    <dgm:cxn modelId="{3C3BD8C9-52BF-4BDA-82C0-341B4DD2D374}" srcId="{3CFD7EF6-4BF6-48BF-9A0B-ABE0C9558F8B}" destId="{1389095B-E32E-43ED-8298-A3893B5A7291}" srcOrd="0" destOrd="0" parTransId="{E3FF029B-6BEF-4E9B-9583-0F3BCDE76182}" sibTransId="{A3312A0E-B443-4EDA-BDEE-46DDC5CED5CD}"/>
    <dgm:cxn modelId="{CE476EA6-629C-48C7-9705-D1089131A9DD}" type="presParOf" srcId="{152F946F-49FC-440F-8426-D7DF5157B0D5}" destId="{25667F7F-D410-444D-9C7D-1B73D8C9E504}" srcOrd="0" destOrd="0" presId="urn:microsoft.com/office/officeart/2008/layout/LinedList"/>
    <dgm:cxn modelId="{1590B254-0B9A-461F-B0FE-40266D6267AE}" type="presParOf" srcId="{152F946F-49FC-440F-8426-D7DF5157B0D5}" destId="{99EC9BA4-E718-4E4C-B5A9-AFF6EB010321}" srcOrd="1" destOrd="0" presId="urn:microsoft.com/office/officeart/2008/layout/LinedList"/>
    <dgm:cxn modelId="{BDEF9A39-CA30-40EC-9204-D9F757970EE6}" type="presParOf" srcId="{99EC9BA4-E718-4E4C-B5A9-AFF6EB010321}" destId="{5D835096-9F08-41D9-82D1-4CF0083741F8}" srcOrd="0" destOrd="0" presId="urn:microsoft.com/office/officeart/2008/layout/LinedList"/>
    <dgm:cxn modelId="{9FE4DD00-7981-4A87-99F1-54263E5024FD}" type="presParOf" srcId="{99EC9BA4-E718-4E4C-B5A9-AFF6EB010321}" destId="{A16D11EE-93EA-4831-AAF6-453A925342E5}" srcOrd="1" destOrd="0" presId="urn:microsoft.com/office/officeart/2008/layout/LinedList"/>
    <dgm:cxn modelId="{D2CA8D70-A658-4560-BBF5-9F8B2E99DACD}" type="presParOf" srcId="{A16D11EE-93EA-4831-AAF6-453A925342E5}" destId="{83D08D3A-A449-418F-B5A7-C05B86BE417E}" srcOrd="0" destOrd="0" presId="urn:microsoft.com/office/officeart/2008/layout/LinedList"/>
    <dgm:cxn modelId="{1786035C-0195-4B09-B090-0EAF2FED8A3F}" type="presParOf" srcId="{A16D11EE-93EA-4831-AAF6-453A925342E5}" destId="{97E5CDDB-7EDA-4E62-9B6E-5E28C2898150}" srcOrd="1" destOrd="0" presId="urn:microsoft.com/office/officeart/2008/layout/LinedList"/>
    <dgm:cxn modelId="{6663A562-5EB2-43B6-A6EB-14336133C5BC}" type="presParOf" srcId="{97E5CDDB-7EDA-4E62-9B6E-5E28C2898150}" destId="{B7CB07C3-1645-4E7F-8B2A-B92738944D8E}" srcOrd="0" destOrd="0" presId="urn:microsoft.com/office/officeart/2008/layout/LinedList"/>
    <dgm:cxn modelId="{244A5365-EFC4-4551-84E9-1B4C6C59B118}" type="presParOf" srcId="{97E5CDDB-7EDA-4E62-9B6E-5E28C2898150}" destId="{A0681F2A-F3C8-44AE-8E17-E851D860C046}" srcOrd="1" destOrd="0" presId="urn:microsoft.com/office/officeart/2008/layout/LinedList"/>
    <dgm:cxn modelId="{9ECA7882-9222-4256-BF1D-6D947B474657}" type="presParOf" srcId="{97E5CDDB-7EDA-4E62-9B6E-5E28C2898150}" destId="{35F4F559-216A-4AC6-92BC-3398880EDD5E}" srcOrd="2" destOrd="0" presId="urn:microsoft.com/office/officeart/2008/layout/LinedList"/>
    <dgm:cxn modelId="{B858AFE0-E3A4-46B2-A7CC-9995C8081B46}" type="presParOf" srcId="{A16D11EE-93EA-4831-AAF6-453A925342E5}" destId="{1E4E7F2E-F534-4794-B93A-34D7837F67E4}" srcOrd="2" destOrd="0" presId="urn:microsoft.com/office/officeart/2008/layout/LinedList"/>
    <dgm:cxn modelId="{E43F561A-EBAB-4BD4-B92F-A5F98AB69935}" type="presParOf" srcId="{A16D11EE-93EA-4831-AAF6-453A925342E5}" destId="{FF4F0BB9-DFCA-444C-A1F2-58CCB237EF29}" srcOrd="3" destOrd="0" presId="urn:microsoft.com/office/officeart/2008/layout/LinedList"/>
    <dgm:cxn modelId="{3848F88B-8EF4-43F8-AAB0-F20ED7AFEE66}" type="presParOf" srcId="{A16D11EE-93EA-4831-AAF6-453A925342E5}" destId="{F0F076E2-0D93-41FA-B356-9DB90CFD0D0C}" srcOrd="4" destOrd="0" presId="urn:microsoft.com/office/officeart/2008/layout/LinedList"/>
    <dgm:cxn modelId="{FA78E3D0-55E6-4ACE-96A6-A8A1F6021401}" type="presParOf" srcId="{F0F076E2-0D93-41FA-B356-9DB90CFD0D0C}" destId="{DBF60899-FB37-430E-AF51-BCBCA2A37AB1}" srcOrd="0" destOrd="0" presId="urn:microsoft.com/office/officeart/2008/layout/LinedList"/>
    <dgm:cxn modelId="{68799501-0EB5-4A08-9E8B-4AAC08C13C35}" type="presParOf" srcId="{F0F076E2-0D93-41FA-B356-9DB90CFD0D0C}" destId="{FEE06E4A-1661-4415-89EF-7340CD535D19}" srcOrd="1" destOrd="0" presId="urn:microsoft.com/office/officeart/2008/layout/LinedList"/>
    <dgm:cxn modelId="{4F93D746-9E0B-468C-B084-BDCCE0CE5A09}" type="presParOf" srcId="{F0F076E2-0D93-41FA-B356-9DB90CFD0D0C}" destId="{01EEC9DE-0491-45D1-8B2B-0E6179136FDE}" srcOrd="2" destOrd="0" presId="urn:microsoft.com/office/officeart/2008/layout/LinedList"/>
    <dgm:cxn modelId="{9FBC6129-EB5B-4312-8606-2E34858349FB}" type="presParOf" srcId="{A16D11EE-93EA-4831-AAF6-453A925342E5}" destId="{8BEF82FC-89D4-4B4B-A249-122B2043608B}" srcOrd="5" destOrd="0" presId="urn:microsoft.com/office/officeart/2008/layout/LinedList"/>
    <dgm:cxn modelId="{5E859165-3AF3-4B67-94CC-1E717022A2E8}" type="presParOf" srcId="{A16D11EE-93EA-4831-AAF6-453A925342E5}" destId="{C4FBC5FD-D8A8-43BF-940D-77762484774E}" srcOrd="6" destOrd="0" presId="urn:microsoft.com/office/officeart/2008/layout/LinedList"/>
    <dgm:cxn modelId="{BEA35A7A-32B2-48A7-8304-72EB63004315}" type="presParOf" srcId="{A16D11EE-93EA-4831-AAF6-453A925342E5}" destId="{7B3D1D40-7DF2-4602-9CD1-671A4F7DE427}" srcOrd="7" destOrd="0" presId="urn:microsoft.com/office/officeart/2008/layout/LinedList"/>
    <dgm:cxn modelId="{79D92629-B47D-4083-B98B-7E91698E9B81}" type="presParOf" srcId="{7B3D1D40-7DF2-4602-9CD1-671A4F7DE427}" destId="{56A73419-EA4A-467C-A7EB-E75312BA6E85}" srcOrd="0" destOrd="0" presId="urn:microsoft.com/office/officeart/2008/layout/LinedList"/>
    <dgm:cxn modelId="{7BCDC359-6A03-4239-A54F-FEA9A511BD55}" type="presParOf" srcId="{7B3D1D40-7DF2-4602-9CD1-671A4F7DE427}" destId="{44225804-E820-402F-AC8F-A4C47125964C}" srcOrd="1" destOrd="0" presId="urn:microsoft.com/office/officeart/2008/layout/LinedList"/>
    <dgm:cxn modelId="{82C1DF2B-AC50-450B-9202-4534D7A09881}" type="presParOf" srcId="{7B3D1D40-7DF2-4602-9CD1-671A4F7DE427}" destId="{434CF764-B962-41BC-9322-A23F0E3C3412}" srcOrd="2" destOrd="0" presId="urn:microsoft.com/office/officeart/2008/layout/LinedList"/>
    <dgm:cxn modelId="{E0877639-DB11-4353-AA75-4BD960DD9C0A}" type="presParOf" srcId="{A16D11EE-93EA-4831-AAF6-453A925342E5}" destId="{062879F9-680B-4B90-BAE3-8116A36D8621}" srcOrd="8" destOrd="0" presId="urn:microsoft.com/office/officeart/2008/layout/LinedList"/>
    <dgm:cxn modelId="{0AC85CC6-1A11-45EC-9625-554132C3AF3E}" type="presParOf" srcId="{A16D11EE-93EA-4831-AAF6-453A925342E5}" destId="{78548446-42A1-40E9-AC65-AC6720F89D03}" srcOrd="9" destOrd="0" presId="urn:microsoft.com/office/officeart/2008/layout/LinedList"/>
  </dgm:cxnLst>
  <dgm:bg>
    <a:blipFill>
      <a:blip xmlns:r="http://schemas.openxmlformats.org/officeDocument/2006/relationships" r:embed="rId1"/>
      <a:tile tx="0" ty="0" sx="100000" sy="100000" flip="none" algn="tl"/>
    </a:blip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BA86C48-952C-4679-98F9-370F8C305860}" type="doc">
      <dgm:prSet loTypeId="urn:microsoft.com/office/officeart/2005/8/layout/arrow2" loCatId="process" qsTypeId="urn:microsoft.com/office/officeart/2005/8/quickstyle/3d1" qsCatId="3D" csTypeId="urn:microsoft.com/office/officeart/2005/8/colors/accent6_5" csCatId="accent6" phldr="1"/>
      <dgm:spPr/>
    </dgm:pt>
    <dgm:pt modelId="{275ABAB6-A087-4026-9854-ED3413E0AD53}">
      <dgm:prSet phldrT="[Texte]" custT="1"/>
      <dgm:spPr/>
      <dgm:t>
        <a:bodyPr/>
        <a:lstStyle/>
        <a:p>
          <a:r>
            <a:rPr lang="fr-FR" sz="800" b="1"/>
            <a:t>2018: Reprise( 4,0%)</a:t>
          </a:r>
        </a:p>
      </dgm:t>
    </dgm:pt>
    <dgm:pt modelId="{F2717DF1-663A-43E3-BC92-7A6BDE170F3C}" type="parTrans" cxnId="{BD5D128D-BDEE-4AAA-A9CE-499326649798}">
      <dgm:prSet/>
      <dgm:spPr/>
      <dgm:t>
        <a:bodyPr/>
        <a:lstStyle/>
        <a:p>
          <a:endParaRPr lang="fr-FR"/>
        </a:p>
      </dgm:t>
    </dgm:pt>
    <dgm:pt modelId="{8832A99D-2A2C-49F1-A72A-9A53A74C3AC4}" type="sibTrans" cxnId="{BD5D128D-BDEE-4AAA-A9CE-499326649798}">
      <dgm:prSet/>
      <dgm:spPr/>
      <dgm:t>
        <a:bodyPr/>
        <a:lstStyle/>
        <a:p>
          <a:endParaRPr lang="fr-FR"/>
        </a:p>
      </dgm:t>
    </dgm:pt>
    <dgm:pt modelId="{BE73CD8B-4454-43A8-9571-EFEAAC8F00C8}">
      <dgm:prSet phldrT="[Texte]" custT="1"/>
      <dgm:spPr/>
      <dgm:t>
        <a:bodyPr/>
        <a:lstStyle/>
        <a:p>
          <a:r>
            <a:rPr lang="fr-FR" sz="800" b="1"/>
            <a:t>2020: Décollage(7,1%)</a:t>
          </a:r>
        </a:p>
      </dgm:t>
    </dgm:pt>
    <dgm:pt modelId="{B43A1FBA-07F7-4F8C-8E5C-DA851DAFF910}" type="parTrans" cxnId="{6C78EF93-5750-4CB1-9D0D-F9309F033D76}">
      <dgm:prSet/>
      <dgm:spPr/>
      <dgm:t>
        <a:bodyPr/>
        <a:lstStyle/>
        <a:p>
          <a:endParaRPr lang="fr-FR"/>
        </a:p>
      </dgm:t>
    </dgm:pt>
    <dgm:pt modelId="{D2F0E0E6-3362-457A-8BA3-9C017FC3E61A}" type="sibTrans" cxnId="{6C78EF93-5750-4CB1-9D0D-F9309F033D76}">
      <dgm:prSet/>
      <dgm:spPr/>
      <dgm:t>
        <a:bodyPr/>
        <a:lstStyle/>
        <a:p>
          <a:endParaRPr lang="fr-FR"/>
        </a:p>
      </dgm:t>
    </dgm:pt>
    <dgm:pt modelId="{7D64955A-FB06-41E7-B6A4-AFD6301A7ADD}">
      <dgm:prSet phldrT="[Texte]" custT="1"/>
      <dgm:spPr/>
      <dgm:t>
        <a:bodyPr/>
        <a:lstStyle/>
        <a:p>
          <a:r>
            <a:rPr lang="fr-FR" sz="800" b="1"/>
            <a:t>2024: Croissance Accélérée (9,5%)</a:t>
          </a:r>
        </a:p>
      </dgm:t>
    </dgm:pt>
    <dgm:pt modelId="{EF5BD6F2-0A06-4D00-923A-12D0D5430BC4}" type="parTrans" cxnId="{0DCCAC7E-7FD4-41F2-9159-04F15940D410}">
      <dgm:prSet/>
      <dgm:spPr/>
      <dgm:t>
        <a:bodyPr/>
        <a:lstStyle/>
        <a:p>
          <a:endParaRPr lang="fr-FR"/>
        </a:p>
      </dgm:t>
    </dgm:pt>
    <dgm:pt modelId="{9B2E7462-9DEF-4F8B-84F6-52B1974C5C35}" type="sibTrans" cxnId="{0DCCAC7E-7FD4-41F2-9159-04F15940D410}">
      <dgm:prSet/>
      <dgm:spPr/>
      <dgm:t>
        <a:bodyPr/>
        <a:lstStyle/>
        <a:p>
          <a:endParaRPr lang="fr-FR"/>
        </a:p>
      </dgm:t>
    </dgm:pt>
    <dgm:pt modelId="{1707CA40-5BE4-4181-8E0D-42033E87117B}">
      <dgm:prSet phldrT="[Texte]" custT="1"/>
      <dgm:spPr/>
      <dgm:t>
        <a:bodyPr/>
        <a:lstStyle/>
        <a:p>
          <a:r>
            <a:rPr lang="fr-FR" sz="800" b="1"/>
            <a:t>2027: Croissance soutenue (10,7%)</a:t>
          </a:r>
        </a:p>
      </dgm:t>
    </dgm:pt>
    <dgm:pt modelId="{DC3D7B73-B146-42BF-9A7E-45E074EFFC05}" type="parTrans" cxnId="{1F8BFC7C-1D12-4071-B498-8248D3D2E0FB}">
      <dgm:prSet/>
      <dgm:spPr/>
      <dgm:t>
        <a:bodyPr/>
        <a:lstStyle/>
        <a:p>
          <a:endParaRPr lang="fr-FR"/>
        </a:p>
      </dgm:t>
    </dgm:pt>
    <dgm:pt modelId="{1D423DE7-8C49-4895-B36E-0F8B4AA475B7}" type="sibTrans" cxnId="{1F8BFC7C-1D12-4071-B498-8248D3D2E0FB}">
      <dgm:prSet/>
      <dgm:spPr/>
      <dgm:t>
        <a:bodyPr/>
        <a:lstStyle/>
        <a:p>
          <a:endParaRPr lang="fr-FR"/>
        </a:p>
      </dgm:t>
    </dgm:pt>
    <dgm:pt modelId="{C83687F7-9AB5-435C-8264-31B220F45910}" type="pres">
      <dgm:prSet presAssocID="{8BA86C48-952C-4679-98F9-370F8C305860}" presName="arrowDiagram" presStyleCnt="0">
        <dgm:presLayoutVars>
          <dgm:chMax val="5"/>
          <dgm:dir/>
          <dgm:resizeHandles val="exact"/>
        </dgm:presLayoutVars>
      </dgm:prSet>
      <dgm:spPr/>
    </dgm:pt>
    <dgm:pt modelId="{F28C9FAC-27F4-4246-BFB2-F748535F46C1}" type="pres">
      <dgm:prSet presAssocID="{8BA86C48-952C-4679-98F9-370F8C305860}" presName="arrow" presStyleLbl="bgShp" presStyleIdx="0" presStyleCnt="1" custLinFactY="-15139" custLinFactNeighborX="21855" custLinFactNeighborY="-100000"/>
      <dgm:spPr/>
    </dgm:pt>
    <dgm:pt modelId="{65634BE1-76B8-4851-8139-A1295C360702}" type="pres">
      <dgm:prSet presAssocID="{8BA86C48-952C-4679-98F9-370F8C305860}" presName="arrowDiagram4" presStyleCnt="0"/>
      <dgm:spPr/>
    </dgm:pt>
    <dgm:pt modelId="{E7445483-A678-4A59-BCC5-C5AC5478723B}" type="pres">
      <dgm:prSet presAssocID="{275ABAB6-A087-4026-9854-ED3413E0AD53}" presName="bullet4a" presStyleLbl="node1" presStyleIdx="0" presStyleCnt="4"/>
      <dgm:spPr/>
    </dgm:pt>
    <dgm:pt modelId="{4674EDAC-B5D4-4263-A4E4-9EE72A5693DE}" type="pres">
      <dgm:prSet presAssocID="{275ABAB6-A087-4026-9854-ED3413E0AD53}" presName="textBox4a" presStyleLbl="revTx" presStyleIdx="0" presStyleCnt="4" custScaleX="212089" custLinFactNeighborY="16220">
        <dgm:presLayoutVars>
          <dgm:bulletEnabled val="1"/>
        </dgm:presLayoutVars>
      </dgm:prSet>
      <dgm:spPr/>
    </dgm:pt>
    <dgm:pt modelId="{F876637E-6CC6-43EC-A841-B41EFC837288}" type="pres">
      <dgm:prSet presAssocID="{BE73CD8B-4454-43A8-9571-EFEAAC8F00C8}" presName="bullet4b" presStyleLbl="node1" presStyleIdx="1" presStyleCnt="4"/>
      <dgm:spPr/>
    </dgm:pt>
    <dgm:pt modelId="{9DDE9FA9-79C1-402A-AB28-2D2F7FF9A964}" type="pres">
      <dgm:prSet presAssocID="{BE73CD8B-4454-43A8-9571-EFEAAC8F00C8}" presName="textBox4b" presStyleLbl="revTx" presStyleIdx="1" presStyleCnt="4" custScaleX="137560" custLinFactNeighborX="-1149" custLinFactNeighborY="7603">
        <dgm:presLayoutVars>
          <dgm:bulletEnabled val="1"/>
        </dgm:presLayoutVars>
      </dgm:prSet>
      <dgm:spPr/>
    </dgm:pt>
    <dgm:pt modelId="{FAB42081-BCBB-461D-B3D2-DF2BB9600427}" type="pres">
      <dgm:prSet presAssocID="{7D64955A-FB06-41E7-B6A4-AFD6301A7ADD}" presName="bullet4c" presStyleLbl="node1" presStyleIdx="2" presStyleCnt="4"/>
      <dgm:spPr/>
    </dgm:pt>
    <dgm:pt modelId="{FCB7B802-50B2-4035-B956-0A7B36BAC001}" type="pres">
      <dgm:prSet presAssocID="{7D64955A-FB06-41E7-B6A4-AFD6301A7ADD}" presName="textBox4c" presStyleLbl="revTx" presStyleIdx="2" presStyleCnt="4" custScaleX="164756" custLinFactNeighborX="-1149" custLinFactNeighborY="9995">
        <dgm:presLayoutVars>
          <dgm:bulletEnabled val="1"/>
        </dgm:presLayoutVars>
      </dgm:prSet>
      <dgm:spPr/>
    </dgm:pt>
    <dgm:pt modelId="{EF34C9C4-5AAB-4561-9106-4171929890FF}" type="pres">
      <dgm:prSet presAssocID="{1707CA40-5BE4-4181-8E0D-42033E87117B}" presName="bullet4d" presStyleLbl="node1" presStyleIdx="3" presStyleCnt="4"/>
      <dgm:spPr>
        <a:blipFill rotWithShape="0">
          <a:blip xmlns:r="http://schemas.openxmlformats.org/officeDocument/2006/relationships" r:embed="rId1"/>
          <a:stretch>
            <a:fillRect/>
          </a:stretch>
        </a:blipFill>
      </dgm:spPr>
    </dgm:pt>
    <dgm:pt modelId="{374F06C2-70E2-4962-A925-3EB2EDFA8DB3}" type="pres">
      <dgm:prSet presAssocID="{1707CA40-5BE4-4181-8E0D-42033E87117B}" presName="textBox4d" presStyleLbl="revTx" presStyleIdx="3" presStyleCnt="4" custScaleX="170111" custScaleY="84750" custLinFactNeighborX="7838" custLinFactNeighborY="-5877">
        <dgm:presLayoutVars>
          <dgm:bulletEnabled val="1"/>
        </dgm:presLayoutVars>
      </dgm:prSet>
      <dgm:spPr/>
    </dgm:pt>
  </dgm:ptLst>
  <dgm:cxnLst>
    <dgm:cxn modelId="{24A7BA0A-30FF-4014-BCB7-802942121967}" type="presOf" srcId="{BE73CD8B-4454-43A8-9571-EFEAAC8F00C8}" destId="{9DDE9FA9-79C1-402A-AB28-2D2F7FF9A964}" srcOrd="0" destOrd="0" presId="urn:microsoft.com/office/officeart/2005/8/layout/arrow2"/>
    <dgm:cxn modelId="{67C1CF51-C943-4760-9201-0089EE50B3A8}" type="presOf" srcId="{275ABAB6-A087-4026-9854-ED3413E0AD53}" destId="{4674EDAC-B5D4-4263-A4E4-9EE72A5693DE}" srcOrd="0" destOrd="0" presId="urn:microsoft.com/office/officeart/2005/8/layout/arrow2"/>
    <dgm:cxn modelId="{1F8BFC7C-1D12-4071-B498-8248D3D2E0FB}" srcId="{8BA86C48-952C-4679-98F9-370F8C305860}" destId="{1707CA40-5BE4-4181-8E0D-42033E87117B}" srcOrd="3" destOrd="0" parTransId="{DC3D7B73-B146-42BF-9A7E-45E074EFFC05}" sibTransId="{1D423DE7-8C49-4895-B36E-0F8B4AA475B7}"/>
    <dgm:cxn modelId="{0DCCAC7E-7FD4-41F2-9159-04F15940D410}" srcId="{8BA86C48-952C-4679-98F9-370F8C305860}" destId="{7D64955A-FB06-41E7-B6A4-AFD6301A7ADD}" srcOrd="2" destOrd="0" parTransId="{EF5BD6F2-0A06-4D00-923A-12D0D5430BC4}" sibTransId="{9B2E7462-9DEF-4F8B-84F6-52B1974C5C35}"/>
    <dgm:cxn modelId="{9FDF6E85-53B7-4A0B-828E-801C1493281A}" type="presOf" srcId="{8BA86C48-952C-4679-98F9-370F8C305860}" destId="{C83687F7-9AB5-435C-8264-31B220F45910}" srcOrd="0" destOrd="0" presId="urn:microsoft.com/office/officeart/2005/8/layout/arrow2"/>
    <dgm:cxn modelId="{BD5D128D-BDEE-4AAA-A9CE-499326649798}" srcId="{8BA86C48-952C-4679-98F9-370F8C305860}" destId="{275ABAB6-A087-4026-9854-ED3413E0AD53}" srcOrd="0" destOrd="0" parTransId="{F2717DF1-663A-43E3-BC92-7A6BDE170F3C}" sibTransId="{8832A99D-2A2C-49F1-A72A-9A53A74C3AC4}"/>
    <dgm:cxn modelId="{6C78EF93-5750-4CB1-9D0D-F9309F033D76}" srcId="{8BA86C48-952C-4679-98F9-370F8C305860}" destId="{BE73CD8B-4454-43A8-9571-EFEAAC8F00C8}" srcOrd="1" destOrd="0" parTransId="{B43A1FBA-07F7-4F8C-8E5C-DA851DAFF910}" sibTransId="{D2F0E0E6-3362-457A-8BA3-9C017FC3E61A}"/>
    <dgm:cxn modelId="{0C5EC3D8-F7FF-4E4A-9D42-5306106156B4}" type="presOf" srcId="{1707CA40-5BE4-4181-8E0D-42033E87117B}" destId="{374F06C2-70E2-4962-A925-3EB2EDFA8DB3}" srcOrd="0" destOrd="0" presId="urn:microsoft.com/office/officeart/2005/8/layout/arrow2"/>
    <dgm:cxn modelId="{0E785CDB-9E95-4A23-94FA-8F6315990563}" type="presOf" srcId="{7D64955A-FB06-41E7-B6A4-AFD6301A7ADD}" destId="{FCB7B802-50B2-4035-B956-0A7B36BAC001}" srcOrd="0" destOrd="0" presId="urn:microsoft.com/office/officeart/2005/8/layout/arrow2"/>
    <dgm:cxn modelId="{47B6A321-6D0D-4A3C-9711-E8A70B303C73}" type="presParOf" srcId="{C83687F7-9AB5-435C-8264-31B220F45910}" destId="{F28C9FAC-27F4-4246-BFB2-F748535F46C1}" srcOrd="0" destOrd="0" presId="urn:microsoft.com/office/officeart/2005/8/layout/arrow2"/>
    <dgm:cxn modelId="{18FB08EA-484C-42F8-A046-34262A23EFE3}" type="presParOf" srcId="{C83687F7-9AB5-435C-8264-31B220F45910}" destId="{65634BE1-76B8-4851-8139-A1295C360702}" srcOrd="1" destOrd="0" presId="urn:microsoft.com/office/officeart/2005/8/layout/arrow2"/>
    <dgm:cxn modelId="{A1870356-ABA2-4129-BD88-1200C7248604}" type="presParOf" srcId="{65634BE1-76B8-4851-8139-A1295C360702}" destId="{E7445483-A678-4A59-BCC5-C5AC5478723B}" srcOrd="0" destOrd="0" presId="urn:microsoft.com/office/officeart/2005/8/layout/arrow2"/>
    <dgm:cxn modelId="{7FD6576B-36A7-4EFA-B2C9-78AB4E9AE26C}" type="presParOf" srcId="{65634BE1-76B8-4851-8139-A1295C360702}" destId="{4674EDAC-B5D4-4263-A4E4-9EE72A5693DE}" srcOrd="1" destOrd="0" presId="urn:microsoft.com/office/officeart/2005/8/layout/arrow2"/>
    <dgm:cxn modelId="{50C36A23-39DB-4B32-B278-C28FED38684A}" type="presParOf" srcId="{65634BE1-76B8-4851-8139-A1295C360702}" destId="{F876637E-6CC6-43EC-A841-B41EFC837288}" srcOrd="2" destOrd="0" presId="urn:microsoft.com/office/officeart/2005/8/layout/arrow2"/>
    <dgm:cxn modelId="{99653C72-2BC5-40AD-B48E-6578C501507D}" type="presParOf" srcId="{65634BE1-76B8-4851-8139-A1295C360702}" destId="{9DDE9FA9-79C1-402A-AB28-2D2F7FF9A964}" srcOrd="3" destOrd="0" presId="urn:microsoft.com/office/officeart/2005/8/layout/arrow2"/>
    <dgm:cxn modelId="{510B0DCA-FC3A-4B00-A718-F9017DFC07FD}" type="presParOf" srcId="{65634BE1-76B8-4851-8139-A1295C360702}" destId="{FAB42081-BCBB-461D-B3D2-DF2BB9600427}" srcOrd="4" destOrd="0" presId="urn:microsoft.com/office/officeart/2005/8/layout/arrow2"/>
    <dgm:cxn modelId="{CE452F1B-3954-4604-9499-2A5F4F211F64}" type="presParOf" srcId="{65634BE1-76B8-4851-8139-A1295C360702}" destId="{FCB7B802-50B2-4035-B956-0A7B36BAC001}" srcOrd="5" destOrd="0" presId="urn:microsoft.com/office/officeart/2005/8/layout/arrow2"/>
    <dgm:cxn modelId="{9EA55CF9-C319-4B68-9402-9146FB8B89A3}" type="presParOf" srcId="{65634BE1-76B8-4851-8139-A1295C360702}" destId="{EF34C9C4-5AAB-4561-9106-4171929890FF}" srcOrd="6" destOrd="0" presId="urn:microsoft.com/office/officeart/2005/8/layout/arrow2"/>
    <dgm:cxn modelId="{EF8AED33-E571-4125-AC80-0DD9AC036597}" type="presParOf" srcId="{65634BE1-76B8-4851-8139-A1295C360702}" destId="{374F06C2-70E2-4962-A925-3EB2EDFA8DB3}" srcOrd="7" destOrd="0" presId="urn:microsoft.com/office/officeart/2005/8/layout/arrow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326790-2DC4-46DA-8868-6C7CE30A37A1}">
      <dsp:nvSpPr>
        <dsp:cNvPr id="0" name=""/>
        <dsp:cNvSpPr/>
      </dsp:nvSpPr>
      <dsp:spPr>
        <a:xfrm>
          <a:off x="123219" y="369186"/>
          <a:ext cx="1822201" cy="12325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r-FR" sz="1600" b="1" kern="1200"/>
            <a:t>Transformation Structurelle de l'Economie </a:t>
          </a:r>
        </a:p>
      </dsp:txBody>
      <dsp:txXfrm>
        <a:off x="123219" y="369186"/>
        <a:ext cx="1822201" cy="1232522"/>
      </dsp:txXfrm>
    </dsp:sp>
    <dsp:sp modelId="{3ACDE2BE-AC11-4675-B066-E666332DA5DF}">
      <dsp:nvSpPr>
        <dsp:cNvPr id="0" name=""/>
        <dsp:cNvSpPr/>
      </dsp:nvSpPr>
      <dsp:spPr>
        <a:xfrm>
          <a:off x="121148" y="502564"/>
          <a:ext cx="144947" cy="14494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2692850-C1BC-4ABE-B1B2-C02F71496D0A}">
      <dsp:nvSpPr>
        <dsp:cNvPr id="0" name=""/>
        <dsp:cNvSpPr/>
      </dsp:nvSpPr>
      <dsp:spPr>
        <a:xfrm>
          <a:off x="222612" y="299637"/>
          <a:ext cx="144947" cy="144947"/>
        </a:xfrm>
        <a:prstGeom prst="ellipse">
          <a:avLst/>
        </a:prstGeom>
        <a:gradFill rotWithShape="0">
          <a:gsLst>
            <a:gs pos="0">
              <a:schemeClr val="accent2">
                <a:hueOff val="260084"/>
                <a:satOff val="-324"/>
                <a:lumOff val="76"/>
                <a:alphaOff val="0"/>
                <a:shade val="51000"/>
                <a:satMod val="130000"/>
              </a:schemeClr>
            </a:gs>
            <a:gs pos="80000">
              <a:schemeClr val="accent2">
                <a:hueOff val="260084"/>
                <a:satOff val="-324"/>
                <a:lumOff val="76"/>
                <a:alphaOff val="0"/>
                <a:shade val="93000"/>
                <a:satMod val="130000"/>
              </a:schemeClr>
            </a:gs>
            <a:gs pos="100000">
              <a:schemeClr val="accent2">
                <a:hueOff val="260084"/>
                <a:satOff val="-324"/>
                <a:lumOff val="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C70B62E-35F7-42A4-AFFD-789050CF8C74}">
      <dsp:nvSpPr>
        <dsp:cNvPr id="0" name=""/>
        <dsp:cNvSpPr/>
      </dsp:nvSpPr>
      <dsp:spPr>
        <a:xfrm>
          <a:off x="466124" y="340223"/>
          <a:ext cx="227775" cy="227775"/>
        </a:xfrm>
        <a:prstGeom prst="ellipse">
          <a:avLst/>
        </a:prstGeom>
        <a:gradFill rotWithShape="0">
          <a:gsLst>
            <a:gs pos="0">
              <a:schemeClr val="accent2">
                <a:hueOff val="520169"/>
                <a:satOff val="-649"/>
                <a:lumOff val="153"/>
                <a:alphaOff val="0"/>
                <a:shade val="51000"/>
                <a:satMod val="130000"/>
              </a:schemeClr>
            </a:gs>
            <a:gs pos="80000">
              <a:schemeClr val="accent2">
                <a:hueOff val="520169"/>
                <a:satOff val="-649"/>
                <a:lumOff val="153"/>
                <a:alphaOff val="0"/>
                <a:shade val="93000"/>
                <a:satMod val="130000"/>
              </a:schemeClr>
            </a:gs>
            <a:gs pos="100000">
              <a:schemeClr val="accent2">
                <a:hueOff val="520169"/>
                <a:satOff val="-649"/>
                <a:lumOff val="1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666E0F1-F8E6-48B6-99FB-A5570C47569A}">
      <dsp:nvSpPr>
        <dsp:cNvPr id="0" name=""/>
        <dsp:cNvSpPr/>
      </dsp:nvSpPr>
      <dsp:spPr>
        <a:xfrm>
          <a:off x="669051" y="117003"/>
          <a:ext cx="144947" cy="144947"/>
        </a:xfrm>
        <a:prstGeom prst="ellipse">
          <a:avLst/>
        </a:prstGeom>
        <a:gradFill rotWithShape="0">
          <a:gsLst>
            <a:gs pos="0">
              <a:schemeClr val="accent2">
                <a:hueOff val="780253"/>
                <a:satOff val="-973"/>
                <a:lumOff val="229"/>
                <a:alphaOff val="0"/>
                <a:shade val="51000"/>
                <a:satMod val="130000"/>
              </a:schemeClr>
            </a:gs>
            <a:gs pos="80000">
              <a:schemeClr val="accent2">
                <a:hueOff val="780253"/>
                <a:satOff val="-973"/>
                <a:lumOff val="229"/>
                <a:alphaOff val="0"/>
                <a:shade val="93000"/>
                <a:satMod val="130000"/>
              </a:schemeClr>
            </a:gs>
            <a:gs pos="100000">
              <a:schemeClr val="accent2">
                <a:hueOff val="780253"/>
                <a:satOff val="-973"/>
                <a:lumOff val="22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B9C7978-4F5D-4134-80FF-FB089833B064}">
      <dsp:nvSpPr>
        <dsp:cNvPr id="0" name=""/>
        <dsp:cNvSpPr/>
      </dsp:nvSpPr>
      <dsp:spPr>
        <a:xfrm>
          <a:off x="932856" y="35832"/>
          <a:ext cx="144947" cy="144947"/>
        </a:xfrm>
        <a:prstGeom prst="ellipse">
          <a:avLst/>
        </a:prstGeom>
        <a:gradFill rotWithShape="0">
          <a:gsLst>
            <a:gs pos="0">
              <a:schemeClr val="accent2">
                <a:hueOff val="1040338"/>
                <a:satOff val="-1298"/>
                <a:lumOff val="305"/>
                <a:alphaOff val="0"/>
                <a:shade val="51000"/>
                <a:satMod val="130000"/>
              </a:schemeClr>
            </a:gs>
            <a:gs pos="80000">
              <a:schemeClr val="accent2">
                <a:hueOff val="1040338"/>
                <a:satOff val="-1298"/>
                <a:lumOff val="305"/>
                <a:alphaOff val="0"/>
                <a:shade val="93000"/>
                <a:satMod val="130000"/>
              </a:schemeClr>
            </a:gs>
            <a:gs pos="100000">
              <a:schemeClr val="accent2">
                <a:hueOff val="1040338"/>
                <a:satOff val="-1298"/>
                <a:lumOff val="30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DE3F59C-D893-4A56-9ED5-6A448788B094}">
      <dsp:nvSpPr>
        <dsp:cNvPr id="0" name=""/>
        <dsp:cNvSpPr/>
      </dsp:nvSpPr>
      <dsp:spPr>
        <a:xfrm>
          <a:off x="1257539" y="177881"/>
          <a:ext cx="144947" cy="144947"/>
        </a:xfrm>
        <a:prstGeom prst="ellipse">
          <a:avLst/>
        </a:prstGeom>
        <a:gradFill rotWithShape="0">
          <a:gsLst>
            <a:gs pos="0">
              <a:schemeClr val="accent2">
                <a:hueOff val="1300422"/>
                <a:satOff val="-1622"/>
                <a:lumOff val="381"/>
                <a:alphaOff val="0"/>
                <a:shade val="51000"/>
                <a:satMod val="130000"/>
              </a:schemeClr>
            </a:gs>
            <a:gs pos="80000">
              <a:schemeClr val="accent2">
                <a:hueOff val="1300422"/>
                <a:satOff val="-1622"/>
                <a:lumOff val="381"/>
                <a:alphaOff val="0"/>
                <a:shade val="93000"/>
                <a:satMod val="130000"/>
              </a:schemeClr>
            </a:gs>
            <a:gs pos="100000">
              <a:schemeClr val="accent2">
                <a:hueOff val="1300422"/>
                <a:satOff val="-1622"/>
                <a:lumOff val="3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F2A36B6-7A30-40D7-A2B7-F9926A9EA4A8}">
      <dsp:nvSpPr>
        <dsp:cNvPr id="0" name=""/>
        <dsp:cNvSpPr/>
      </dsp:nvSpPr>
      <dsp:spPr>
        <a:xfrm>
          <a:off x="1460466" y="279345"/>
          <a:ext cx="227775" cy="227775"/>
        </a:xfrm>
        <a:prstGeom prst="ellipse">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4E9B83-5B5E-432E-8A86-2D9413071A42}">
      <dsp:nvSpPr>
        <dsp:cNvPr id="0" name=""/>
        <dsp:cNvSpPr/>
      </dsp:nvSpPr>
      <dsp:spPr>
        <a:xfrm>
          <a:off x="1744564" y="502564"/>
          <a:ext cx="144947" cy="144947"/>
        </a:xfrm>
        <a:prstGeom prst="ellipse">
          <a:avLst/>
        </a:prstGeom>
        <a:gradFill rotWithShape="0">
          <a:gsLst>
            <a:gs pos="0">
              <a:schemeClr val="accent2">
                <a:hueOff val="1820591"/>
                <a:satOff val="-2271"/>
                <a:lumOff val="534"/>
                <a:alphaOff val="0"/>
                <a:shade val="51000"/>
                <a:satMod val="130000"/>
              </a:schemeClr>
            </a:gs>
            <a:gs pos="80000">
              <a:schemeClr val="accent2">
                <a:hueOff val="1820591"/>
                <a:satOff val="-2271"/>
                <a:lumOff val="534"/>
                <a:alphaOff val="0"/>
                <a:shade val="93000"/>
                <a:satMod val="130000"/>
              </a:schemeClr>
            </a:gs>
            <a:gs pos="100000">
              <a:schemeClr val="accent2">
                <a:hueOff val="1820591"/>
                <a:satOff val="-2271"/>
                <a:lumOff val="53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CA9D4D9-7A10-4E2A-875C-FFD701D24D4F}">
      <dsp:nvSpPr>
        <dsp:cNvPr id="0" name=""/>
        <dsp:cNvSpPr/>
      </dsp:nvSpPr>
      <dsp:spPr>
        <a:xfrm>
          <a:off x="1866320" y="725784"/>
          <a:ext cx="144947" cy="144947"/>
        </a:xfrm>
        <a:prstGeom prst="ellipse">
          <a:avLst/>
        </a:prstGeom>
        <a:gradFill rotWithShape="0">
          <a:gsLst>
            <a:gs pos="0">
              <a:schemeClr val="accent2">
                <a:hueOff val="2080675"/>
                <a:satOff val="-2595"/>
                <a:lumOff val="610"/>
                <a:alphaOff val="0"/>
                <a:shade val="51000"/>
                <a:satMod val="130000"/>
              </a:schemeClr>
            </a:gs>
            <a:gs pos="80000">
              <a:schemeClr val="accent2">
                <a:hueOff val="2080675"/>
                <a:satOff val="-2595"/>
                <a:lumOff val="610"/>
                <a:alphaOff val="0"/>
                <a:shade val="93000"/>
                <a:satMod val="130000"/>
              </a:schemeClr>
            </a:gs>
            <a:gs pos="100000">
              <a:schemeClr val="accent2">
                <a:hueOff val="2080675"/>
                <a:satOff val="-2595"/>
                <a:lumOff val="61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0316A65C-DF45-449A-8DF4-8FF9DB6BFFC4}">
      <dsp:nvSpPr>
        <dsp:cNvPr id="0" name=""/>
        <dsp:cNvSpPr/>
      </dsp:nvSpPr>
      <dsp:spPr>
        <a:xfrm>
          <a:off x="811100" y="299637"/>
          <a:ext cx="372723" cy="372723"/>
        </a:xfrm>
        <a:prstGeom prst="ellipse">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ADB1EF1-C572-45E4-96D2-01D430504E7F}">
      <dsp:nvSpPr>
        <dsp:cNvPr id="0" name=""/>
        <dsp:cNvSpPr/>
      </dsp:nvSpPr>
      <dsp:spPr>
        <a:xfrm>
          <a:off x="19685" y="1070760"/>
          <a:ext cx="144947" cy="144947"/>
        </a:xfrm>
        <a:prstGeom prst="ellipse">
          <a:avLst/>
        </a:prstGeom>
        <a:gradFill rotWithShape="0">
          <a:gsLst>
            <a:gs pos="0">
              <a:schemeClr val="accent2">
                <a:hueOff val="2600844"/>
                <a:satOff val="-3244"/>
                <a:lumOff val="763"/>
                <a:alphaOff val="0"/>
                <a:shade val="51000"/>
                <a:satMod val="130000"/>
              </a:schemeClr>
            </a:gs>
            <a:gs pos="80000">
              <a:schemeClr val="accent2">
                <a:hueOff val="2600844"/>
                <a:satOff val="-3244"/>
                <a:lumOff val="763"/>
                <a:alphaOff val="0"/>
                <a:shade val="93000"/>
                <a:satMod val="130000"/>
              </a:schemeClr>
            </a:gs>
            <a:gs pos="100000">
              <a:schemeClr val="accent2">
                <a:hueOff val="2600844"/>
                <a:satOff val="-3244"/>
                <a:lumOff val="76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98A9BA-18BD-4566-A474-CEA81F67B6DF}">
      <dsp:nvSpPr>
        <dsp:cNvPr id="0" name=""/>
        <dsp:cNvSpPr/>
      </dsp:nvSpPr>
      <dsp:spPr>
        <a:xfrm>
          <a:off x="141441" y="1253394"/>
          <a:ext cx="227775" cy="227775"/>
        </a:xfrm>
        <a:prstGeom prst="ellipse">
          <a:avLst/>
        </a:prstGeom>
        <a:gradFill rotWithShape="0">
          <a:gsLst>
            <a:gs pos="0">
              <a:schemeClr val="accent2">
                <a:hueOff val="2860928"/>
                <a:satOff val="-3568"/>
                <a:lumOff val="839"/>
                <a:alphaOff val="0"/>
                <a:shade val="51000"/>
                <a:satMod val="130000"/>
              </a:schemeClr>
            </a:gs>
            <a:gs pos="80000">
              <a:schemeClr val="accent2">
                <a:hueOff val="2860928"/>
                <a:satOff val="-3568"/>
                <a:lumOff val="839"/>
                <a:alphaOff val="0"/>
                <a:shade val="93000"/>
                <a:satMod val="130000"/>
              </a:schemeClr>
            </a:gs>
            <a:gs pos="100000">
              <a:schemeClr val="accent2">
                <a:hueOff val="2860928"/>
                <a:satOff val="-3568"/>
                <a:lumOff val="8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B3BB241-0A34-4A2D-8E96-558F7E19F9C2}">
      <dsp:nvSpPr>
        <dsp:cNvPr id="0" name=""/>
        <dsp:cNvSpPr/>
      </dsp:nvSpPr>
      <dsp:spPr>
        <a:xfrm>
          <a:off x="445832" y="1415736"/>
          <a:ext cx="331309" cy="331309"/>
        </a:xfrm>
        <a:prstGeom prst="ellipse">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9158B45-05DC-4D1C-8F59-51A0D43F1933}">
      <dsp:nvSpPr>
        <dsp:cNvPr id="0" name=""/>
        <dsp:cNvSpPr/>
      </dsp:nvSpPr>
      <dsp:spPr>
        <a:xfrm>
          <a:off x="871978" y="1679541"/>
          <a:ext cx="144947" cy="144947"/>
        </a:xfrm>
        <a:prstGeom prst="ellipse">
          <a:avLst/>
        </a:prstGeom>
        <a:gradFill rotWithShape="0">
          <a:gsLst>
            <a:gs pos="0">
              <a:schemeClr val="accent2">
                <a:hueOff val="3381097"/>
                <a:satOff val="-4217"/>
                <a:lumOff val="992"/>
                <a:alphaOff val="0"/>
                <a:shade val="51000"/>
                <a:satMod val="130000"/>
              </a:schemeClr>
            </a:gs>
            <a:gs pos="80000">
              <a:schemeClr val="accent2">
                <a:hueOff val="3381097"/>
                <a:satOff val="-4217"/>
                <a:lumOff val="992"/>
                <a:alphaOff val="0"/>
                <a:shade val="93000"/>
                <a:satMod val="130000"/>
              </a:schemeClr>
            </a:gs>
            <a:gs pos="100000">
              <a:schemeClr val="accent2">
                <a:hueOff val="3381097"/>
                <a:satOff val="-4217"/>
                <a:lumOff val="9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1DD0A5D-DCAA-4E9B-BD26-5D7260C2C58D}">
      <dsp:nvSpPr>
        <dsp:cNvPr id="0" name=""/>
        <dsp:cNvSpPr/>
      </dsp:nvSpPr>
      <dsp:spPr>
        <a:xfrm>
          <a:off x="953149" y="1415736"/>
          <a:ext cx="227775" cy="227775"/>
        </a:xfrm>
        <a:prstGeom prst="ellipse">
          <a:avLst/>
        </a:prstGeom>
        <a:gradFill rotWithShape="0">
          <a:gsLst>
            <a:gs pos="0">
              <a:schemeClr val="accent2">
                <a:hueOff val="3641181"/>
                <a:satOff val="-4541"/>
                <a:lumOff val="1068"/>
                <a:alphaOff val="0"/>
                <a:shade val="51000"/>
                <a:satMod val="130000"/>
              </a:schemeClr>
            </a:gs>
            <a:gs pos="80000">
              <a:schemeClr val="accent2">
                <a:hueOff val="3641181"/>
                <a:satOff val="-4541"/>
                <a:lumOff val="1068"/>
                <a:alphaOff val="0"/>
                <a:shade val="93000"/>
                <a:satMod val="130000"/>
              </a:schemeClr>
            </a:gs>
            <a:gs pos="100000">
              <a:schemeClr val="accent2">
                <a:hueOff val="3641181"/>
                <a:satOff val="-4541"/>
                <a:lumOff val="106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1886982-2BB6-4AB4-BD15-88A4DE3AFA09}">
      <dsp:nvSpPr>
        <dsp:cNvPr id="0" name=""/>
        <dsp:cNvSpPr/>
      </dsp:nvSpPr>
      <dsp:spPr>
        <a:xfrm>
          <a:off x="1156076" y="1699834"/>
          <a:ext cx="144947" cy="144947"/>
        </a:xfrm>
        <a:prstGeom prst="ellipse">
          <a:avLst/>
        </a:prstGeom>
        <a:gradFill rotWithShape="0">
          <a:gsLst>
            <a:gs pos="0">
              <a:schemeClr val="accent2">
                <a:hueOff val="3901266"/>
                <a:satOff val="-4866"/>
                <a:lumOff val="1144"/>
                <a:alphaOff val="0"/>
                <a:shade val="51000"/>
                <a:satMod val="130000"/>
              </a:schemeClr>
            </a:gs>
            <a:gs pos="80000">
              <a:schemeClr val="accent2">
                <a:hueOff val="3901266"/>
                <a:satOff val="-4866"/>
                <a:lumOff val="1144"/>
                <a:alphaOff val="0"/>
                <a:shade val="93000"/>
                <a:satMod val="130000"/>
              </a:schemeClr>
            </a:gs>
            <a:gs pos="100000">
              <a:schemeClr val="accent2">
                <a:hueOff val="3901266"/>
                <a:satOff val="-4866"/>
                <a:lumOff val="11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3C0F769-3FD6-4E95-920D-2BF5FB396C23}">
      <dsp:nvSpPr>
        <dsp:cNvPr id="0" name=""/>
        <dsp:cNvSpPr/>
      </dsp:nvSpPr>
      <dsp:spPr>
        <a:xfrm>
          <a:off x="1338710" y="1375150"/>
          <a:ext cx="331309" cy="331309"/>
        </a:xfrm>
        <a:prstGeom prst="ellipse">
          <a:avLst/>
        </a:prstGeom>
        <a:gradFill rotWithShape="0">
          <a:gsLst>
            <a:gs pos="0">
              <a:schemeClr val="accent2">
                <a:hueOff val="4161350"/>
                <a:satOff val="-5190"/>
                <a:lumOff val="1220"/>
                <a:alphaOff val="0"/>
                <a:shade val="51000"/>
                <a:satMod val="130000"/>
              </a:schemeClr>
            </a:gs>
            <a:gs pos="80000">
              <a:schemeClr val="accent2">
                <a:hueOff val="4161350"/>
                <a:satOff val="-5190"/>
                <a:lumOff val="1220"/>
                <a:alphaOff val="0"/>
                <a:shade val="93000"/>
                <a:satMod val="130000"/>
              </a:schemeClr>
            </a:gs>
            <a:gs pos="100000">
              <a:schemeClr val="accent2">
                <a:hueOff val="4161350"/>
                <a:satOff val="-5190"/>
                <a:lumOff val="122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6B880CE-BAB9-42CF-B274-D4AE1B05E282}">
      <dsp:nvSpPr>
        <dsp:cNvPr id="0" name=""/>
        <dsp:cNvSpPr/>
      </dsp:nvSpPr>
      <dsp:spPr>
        <a:xfrm>
          <a:off x="1785150" y="1293980"/>
          <a:ext cx="227775" cy="227775"/>
        </a:xfrm>
        <a:prstGeom prst="ellipse">
          <a:avLst/>
        </a:prstGeom>
        <a:gradFill rotWithShape="0">
          <a:gsLst>
            <a:gs pos="0">
              <a:schemeClr val="accent2">
                <a:hueOff val="4421434"/>
                <a:satOff val="-5515"/>
                <a:lumOff val="1297"/>
                <a:alphaOff val="0"/>
                <a:shade val="51000"/>
                <a:satMod val="130000"/>
              </a:schemeClr>
            </a:gs>
            <a:gs pos="80000">
              <a:schemeClr val="accent2">
                <a:hueOff val="4421434"/>
                <a:satOff val="-5515"/>
                <a:lumOff val="1297"/>
                <a:alphaOff val="0"/>
                <a:shade val="93000"/>
                <a:satMod val="130000"/>
              </a:schemeClr>
            </a:gs>
            <a:gs pos="100000">
              <a:schemeClr val="accent2">
                <a:hueOff val="4421434"/>
                <a:satOff val="-5515"/>
                <a:lumOff val="129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81BF244-395E-4867-9D1A-4B68E59E9C50}">
      <dsp:nvSpPr>
        <dsp:cNvPr id="0" name=""/>
        <dsp:cNvSpPr/>
      </dsp:nvSpPr>
      <dsp:spPr>
        <a:xfrm>
          <a:off x="2012925" y="339885"/>
          <a:ext cx="668943" cy="1277085"/>
        </a:xfrm>
        <a:prstGeom prst="chevron">
          <a:avLst>
            <a:gd name="adj" fmla="val 6231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57DD3D5C-FAD3-4578-85FE-09B7114F31C8}">
      <dsp:nvSpPr>
        <dsp:cNvPr id="0" name=""/>
        <dsp:cNvSpPr/>
      </dsp:nvSpPr>
      <dsp:spPr>
        <a:xfrm>
          <a:off x="2560242" y="339885"/>
          <a:ext cx="668943" cy="1277085"/>
        </a:xfrm>
        <a:prstGeom prst="chevron">
          <a:avLst>
            <a:gd name="adj" fmla="val 62310"/>
          </a:avLst>
        </a:prstGeom>
        <a:solidFill>
          <a:srgbClr val="14D663"/>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6E72A63-B5D6-441B-982B-FC4B26371B3F}">
      <dsp:nvSpPr>
        <dsp:cNvPr id="0" name=""/>
        <dsp:cNvSpPr/>
      </dsp:nvSpPr>
      <dsp:spPr>
        <a:xfrm>
          <a:off x="3248871" y="36685"/>
          <a:ext cx="2710493" cy="2387755"/>
        </a:xfrm>
        <a:prstGeom prst="ellips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fr-FR" sz="1600" b="1" kern="1200"/>
            <a:t>Une  Croissance Soutenue et Inclusive  pour  un Développement Durable au Burundi </a:t>
          </a:r>
        </a:p>
      </dsp:txBody>
      <dsp:txXfrm>
        <a:off x="3645814" y="386364"/>
        <a:ext cx="1916607" cy="16883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FD9CA7-45AA-40BB-87A6-16AF866DC4D4}">
      <dsp:nvSpPr>
        <dsp:cNvPr id="0" name=""/>
        <dsp:cNvSpPr/>
      </dsp:nvSpPr>
      <dsp:spPr>
        <a:xfrm>
          <a:off x="92003" y="600800"/>
          <a:ext cx="1543228" cy="182418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355600">
            <a:lnSpc>
              <a:spcPct val="90000"/>
            </a:lnSpc>
            <a:spcBef>
              <a:spcPct val="0"/>
            </a:spcBef>
            <a:spcAft>
              <a:spcPct val="15000"/>
            </a:spcAft>
            <a:buChar char="•"/>
          </a:pPr>
          <a:r>
            <a:rPr lang="fr-FR" sz="800" b="1" kern="1200"/>
            <a:t>Agriculture</a:t>
          </a:r>
        </a:p>
        <a:p>
          <a:pPr marL="57150" lvl="1" indent="-57150" algn="l" defTabSz="355600">
            <a:lnSpc>
              <a:spcPct val="90000"/>
            </a:lnSpc>
            <a:spcBef>
              <a:spcPct val="0"/>
            </a:spcBef>
            <a:spcAft>
              <a:spcPct val="15000"/>
            </a:spcAft>
            <a:buChar char="•"/>
          </a:pPr>
          <a:r>
            <a:rPr lang="fr-FR" sz="800" b="1" kern="1200"/>
            <a:t>Energie</a:t>
          </a:r>
        </a:p>
        <a:p>
          <a:pPr marL="57150" lvl="1" indent="-57150" algn="l" defTabSz="355600">
            <a:lnSpc>
              <a:spcPct val="90000"/>
            </a:lnSpc>
            <a:spcBef>
              <a:spcPct val="0"/>
            </a:spcBef>
            <a:spcAft>
              <a:spcPct val="15000"/>
            </a:spcAft>
            <a:buChar char="•"/>
          </a:pPr>
          <a:r>
            <a:rPr lang="fr-FR" sz="800" b="1" kern="1200"/>
            <a:t>Technologie et savoir-faire </a:t>
          </a:r>
        </a:p>
        <a:p>
          <a:pPr marL="57150" lvl="1" indent="-57150" algn="l" defTabSz="355600">
            <a:lnSpc>
              <a:spcPct val="90000"/>
            </a:lnSpc>
            <a:spcBef>
              <a:spcPct val="0"/>
            </a:spcBef>
            <a:spcAft>
              <a:spcPct val="15000"/>
            </a:spcAft>
            <a:buChar char="•"/>
          </a:pPr>
          <a:r>
            <a:rPr lang="fr-FR" sz="800" b="1" kern="1200"/>
            <a:t>Ressources naturelles </a:t>
          </a:r>
        </a:p>
        <a:p>
          <a:pPr marL="57150" lvl="1" indent="-57150" algn="l" defTabSz="355600">
            <a:lnSpc>
              <a:spcPct val="90000"/>
            </a:lnSpc>
            <a:spcBef>
              <a:spcPct val="0"/>
            </a:spcBef>
            <a:spcAft>
              <a:spcPct val="15000"/>
            </a:spcAft>
            <a:buChar char="•"/>
          </a:pPr>
          <a:r>
            <a:rPr lang="fr-FR" sz="800" b="1" kern="1200"/>
            <a:t>Compétititivité</a:t>
          </a:r>
        </a:p>
        <a:p>
          <a:pPr marL="57150" lvl="1" indent="-57150" algn="l" defTabSz="355600">
            <a:lnSpc>
              <a:spcPct val="90000"/>
            </a:lnSpc>
            <a:spcBef>
              <a:spcPct val="0"/>
            </a:spcBef>
            <a:spcAft>
              <a:spcPct val="15000"/>
            </a:spcAft>
            <a:buChar char="•"/>
          </a:pPr>
          <a:r>
            <a:rPr lang="fr-FR" sz="800" b="1" kern="1200"/>
            <a:t>Capital humain</a:t>
          </a:r>
        </a:p>
        <a:p>
          <a:pPr marL="57150" lvl="1" indent="-57150" algn="l" defTabSz="355600">
            <a:lnSpc>
              <a:spcPct val="90000"/>
            </a:lnSpc>
            <a:spcBef>
              <a:spcPct val="0"/>
            </a:spcBef>
            <a:spcAft>
              <a:spcPct val="15000"/>
            </a:spcAft>
            <a:buChar char="•"/>
          </a:pPr>
          <a:r>
            <a:rPr lang="fr-FR" sz="800" b="1" kern="1200"/>
            <a:t>Industrialisation  </a:t>
          </a:r>
        </a:p>
        <a:p>
          <a:pPr marL="57150" lvl="1" indent="-57150" algn="l" defTabSz="355600">
            <a:lnSpc>
              <a:spcPct val="90000"/>
            </a:lnSpc>
            <a:spcBef>
              <a:spcPct val="0"/>
            </a:spcBef>
            <a:spcAft>
              <a:spcPct val="15000"/>
            </a:spcAft>
            <a:buChar char="•"/>
          </a:pPr>
          <a:r>
            <a:rPr lang="fr-FR" sz="800" b="1" kern="1200"/>
            <a:t>Infrastructures</a:t>
          </a:r>
        </a:p>
        <a:p>
          <a:pPr marL="57150" lvl="1" indent="-57150" algn="l" defTabSz="355600">
            <a:lnSpc>
              <a:spcPct val="90000"/>
            </a:lnSpc>
            <a:spcBef>
              <a:spcPct val="0"/>
            </a:spcBef>
            <a:spcAft>
              <a:spcPct val="15000"/>
            </a:spcAft>
            <a:buChar char="•"/>
          </a:pPr>
          <a:r>
            <a:rPr lang="fr-FR" sz="800" b="1" kern="1200"/>
            <a:t>Tourisme</a:t>
          </a:r>
        </a:p>
        <a:p>
          <a:pPr marL="57150" lvl="1" indent="-57150" algn="l" defTabSz="355600">
            <a:lnSpc>
              <a:spcPct val="90000"/>
            </a:lnSpc>
            <a:spcBef>
              <a:spcPct val="0"/>
            </a:spcBef>
            <a:spcAft>
              <a:spcPct val="15000"/>
            </a:spcAft>
            <a:buChar char="•"/>
          </a:pPr>
          <a:r>
            <a:rPr lang="fr-FR" sz="800" b="1" kern="1200"/>
            <a:t>Partenariats public-privé </a:t>
          </a:r>
        </a:p>
        <a:p>
          <a:pPr marL="57150" lvl="1" indent="-57150" algn="l" defTabSz="355600">
            <a:lnSpc>
              <a:spcPct val="90000"/>
            </a:lnSpc>
            <a:spcBef>
              <a:spcPct val="0"/>
            </a:spcBef>
            <a:spcAft>
              <a:spcPct val="15000"/>
            </a:spcAft>
            <a:buChar char="•"/>
          </a:pPr>
          <a:r>
            <a:rPr lang="fr-FR" sz="800" b="1" kern="1200"/>
            <a:t>Intégration régionale et coopération</a:t>
          </a:r>
        </a:p>
      </dsp:txBody>
      <dsp:txXfrm>
        <a:off x="133983" y="642780"/>
        <a:ext cx="1459268" cy="1349328"/>
      </dsp:txXfrm>
    </dsp:sp>
    <dsp:sp modelId="{0858B260-F860-4A33-AC6A-CC7660271742}">
      <dsp:nvSpPr>
        <dsp:cNvPr id="0" name=""/>
        <dsp:cNvSpPr/>
      </dsp:nvSpPr>
      <dsp:spPr>
        <a:xfrm>
          <a:off x="479807" y="944017"/>
          <a:ext cx="2145162" cy="2145162"/>
        </a:xfrm>
        <a:prstGeom prst="leftCircularArrow">
          <a:avLst>
            <a:gd name="adj1" fmla="val 1470"/>
            <a:gd name="adj2" fmla="val 173992"/>
            <a:gd name="adj3" fmla="val 837560"/>
            <a:gd name="adj4" fmla="val 7912547"/>
            <a:gd name="adj5" fmla="val 1715"/>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2AFE7B-EE5E-4497-BE42-75945399E01E}">
      <dsp:nvSpPr>
        <dsp:cNvPr id="0" name=""/>
        <dsp:cNvSpPr/>
      </dsp:nvSpPr>
      <dsp:spPr>
        <a:xfrm>
          <a:off x="0" y="2295059"/>
          <a:ext cx="1718446" cy="49474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fr-FR" sz="1000" b="1" kern="1200"/>
            <a:t>Piliers de la Transformation structurelle  de l'économie  du Burundi</a:t>
          </a:r>
        </a:p>
      </dsp:txBody>
      <dsp:txXfrm>
        <a:off x="14491" y="2309550"/>
        <a:ext cx="1689464" cy="465761"/>
      </dsp:txXfrm>
    </dsp:sp>
    <dsp:sp modelId="{25CB7530-A755-43F4-90B2-147E8EA9C5FD}">
      <dsp:nvSpPr>
        <dsp:cNvPr id="0" name=""/>
        <dsp:cNvSpPr/>
      </dsp:nvSpPr>
      <dsp:spPr>
        <a:xfrm>
          <a:off x="1953297" y="1020753"/>
          <a:ext cx="1676223" cy="118929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55600">
            <a:lnSpc>
              <a:spcPct val="90000"/>
            </a:lnSpc>
            <a:spcBef>
              <a:spcPct val="0"/>
            </a:spcBef>
            <a:spcAft>
              <a:spcPct val="15000"/>
            </a:spcAft>
            <a:buChar char="•"/>
          </a:pPr>
          <a:r>
            <a:rPr lang="fr-FR" sz="800" b="1" kern="1200"/>
            <a:t>Transformer structurellement l’économie burundaise, pour une croissance forte, durable, résiliente, inclusive, créatrice d’emplois décents pour tous et induisant l’amélioration du bien-être social</a:t>
          </a:r>
          <a:endParaRPr lang="fr-FR" sz="800" kern="1200"/>
        </a:p>
      </dsp:txBody>
      <dsp:txXfrm>
        <a:off x="1980666" y="1302971"/>
        <a:ext cx="1621485" cy="879709"/>
      </dsp:txXfrm>
    </dsp:sp>
    <dsp:sp modelId="{9F2E3CDF-CC06-4314-B182-DA2147411DC9}">
      <dsp:nvSpPr>
        <dsp:cNvPr id="0" name=""/>
        <dsp:cNvSpPr/>
      </dsp:nvSpPr>
      <dsp:spPr>
        <a:xfrm>
          <a:off x="2615829" y="172551"/>
          <a:ext cx="2233744" cy="2716398"/>
        </a:xfrm>
        <a:prstGeom prst="circularArrow">
          <a:avLst>
            <a:gd name="adj1" fmla="val 1407"/>
            <a:gd name="adj2" fmla="val 166336"/>
            <a:gd name="adj3" fmla="val 19646553"/>
            <a:gd name="adj4" fmla="val 12563910"/>
            <a:gd name="adj5" fmla="val 1642"/>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A5C026-095A-4F1E-8A97-A9D920578D00}">
      <dsp:nvSpPr>
        <dsp:cNvPr id="0" name=""/>
        <dsp:cNvSpPr/>
      </dsp:nvSpPr>
      <dsp:spPr>
        <a:xfrm>
          <a:off x="1988156" y="997551"/>
          <a:ext cx="1596421" cy="358727"/>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FR" sz="1200" b="1" kern="1200"/>
            <a:t>Objectif Général  du PND Burundi 2018-2027</a:t>
          </a:r>
        </a:p>
      </dsp:txBody>
      <dsp:txXfrm>
        <a:off x="1998663" y="1008058"/>
        <a:ext cx="1575407" cy="337713"/>
      </dsp:txXfrm>
    </dsp:sp>
    <dsp:sp modelId="{E9130982-34DE-42C2-A82C-03C8C821AD97}">
      <dsp:nvSpPr>
        <dsp:cNvPr id="0" name=""/>
        <dsp:cNvSpPr/>
      </dsp:nvSpPr>
      <dsp:spPr>
        <a:xfrm>
          <a:off x="3965048" y="907902"/>
          <a:ext cx="1634980" cy="136991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just" defTabSz="355600">
            <a:lnSpc>
              <a:spcPct val="90000"/>
            </a:lnSpc>
            <a:spcBef>
              <a:spcPct val="0"/>
            </a:spcBef>
            <a:spcAft>
              <a:spcPct val="15000"/>
            </a:spcAft>
            <a:buChar char="•"/>
          </a:pPr>
          <a:r>
            <a:rPr lang="fr-FR" sz="800" b="1" kern="1200"/>
            <a:t>Une nation solidaire, démocratique et prospère, à travers une transformation structurelle de l'économie nationale pour la mettre sur une nouvelle trajectoire de forte croissance, en réduisant profondément les inégalités sociales et la pauvreté rurale et urbaine.</a:t>
          </a:r>
          <a:endParaRPr lang="fr-FR" sz="800" kern="1200"/>
        </a:p>
      </dsp:txBody>
      <dsp:txXfrm>
        <a:off x="3996574" y="939428"/>
        <a:ext cx="1571928" cy="1013313"/>
      </dsp:txXfrm>
    </dsp:sp>
    <dsp:sp modelId="{A47B16DF-FD76-46BB-A51C-3798C1072CF3}">
      <dsp:nvSpPr>
        <dsp:cNvPr id="0" name=""/>
        <dsp:cNvSpPr/>
      </dsp:nvSpPr>
      <dsp:spPr>
        <a:xfrm>
          <a:off x="3973754" y="2282566"/>
          <a:ext cx="1570396" cy="410259"/>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fr-FR" sz="1050" b="1" kern="1200"/>
            <a:t>VISION du PND Burundi 2018-2027</a:t>
          </a:r>
        </a:p>
      </dsp:txBody>
      <dsp:txXfrm>
        <a:off x="3985770" y="2294582"/>
        <a:ext cx="1546364" cy="3862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67F7F-D410-444D-9C7D-1B73D8C9E504}">
      <dsp:nvSpPr>
        <dsp:cNvPr id="0" name=""/>
        <dsp:cNvSpPr/>
      </dsp:nvSpPr>
      <dsp:spPr>
        <a:xfrm>
          <a:off x="0" y="0"/>
          <a:ext cx="2622430" cy="0"/>
        </a:xfrm>
        <a:prstGeom prst="line">
          <a:avLst/>
        </a:prstGeom>
        <a:solidFill>
          <a:schemeClr val="accent2">
            <a:shade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5D835096-9F08-41D9-82D1-4CF0083741F8}">
      <dsp:nvSpPr>
        <dsp:cNvPr id="0" name=""/>
        <dsp:cNvSpPr/>
      </dsp:nvSpPr>
      <dsp:spPr>
        <a:xfrm>
          <a:off x="0" y="0"/>
          <a:ext cx="635006" cy="338155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endParaRPr lang="fr-FR" sz="1400" kern="1200"/>
        </a:p>
        <a:p>
          <a:pPr marL="0" lvl="0" indent="0" algn="ctr" defTabSz="622300">
            <a:lnSpc>
              <a:spcPct val="90000"/>
            </a:lnSpc>
            <a:spcBef>
              <a:spcPct val="0"/>
            </a:spcBef>
            <a:spcAft>
              <a:spcPct val="35000"/>
            </a:spcAft>
            <a:buNone/>
          </a:pPr>
          <a:endParaRPr lang="fr-FR" sz="1400" kern="1200"/>
        </a:p>
        <a:p>
          <a:pPr marL="0" lvl="0" indent="0" algn="ctr" defTabSz="622300">
            <a:lnSpc>
              <a:spcPct val="90000"/>
            </a:lnSpc>
            <a:spcBef>
              <a:spcPct val="0"/>
            </a:spcBef>
            <a:spcAft>
              <a:spcPct val="35000"/>
            </a:spcAft>
            <a:buNone/>
          </a:pPr>
          <a:endParaRPr lang="fr-FR" sz="1400" kern="1200"/>
        </a:p>
        <a:p>
          <a:pPr marL="0" lvl="0" indent="0" algn="ctr" defTabSz="622300">
            <a:lnSpc>
              <a:spcPct val="90000"/>
            </a:lnSpc>
            <a:spcBef>
              <a:spcPct val="0"/>
            </a:spcBef>
            <a:spcAft>
              <a:spcPct val="35000"/>
            </a:spcAft>
            <a:buNone/>
          </a:pPr>
          <a:endParaRPr lang="fr-FR" sz="1400" kern="1200"/>
        </a:p>
        <a:p>
          <a:pPr marL="0" lvl="0" indent="0" algn="ctr" defTabSz="622300">
            <a:lnSpc>
              <a:spcPct val="90000"/>
            </a:lnSpc>
            <a:spcBef>
              <a:spcPct val="0"/>
            </a:spcBef>
            <a:spcAft>
              <a:spcPct val="35000"/>
            </a:spcAft>
            <a:buNone/>
          </a:pPr>
          <a:endParaRPr lang="fr-FR" sz="1400" b="1" kern="1200">
            <a:latin typeface="Times New Roman" pitchFamily="18" charset="0"/>
            <a:cs typeface="Times New Roman" pitchFamily="18" charset="0"/>
          </a:endParaRPr>
        </a:p>
        <a:p>
          <a:pPr marL="0" lvl="0" indent="0" algn="ctr" defTabSz="622300">
            <a:lnSpc>
              <a:spcPct val="90000"/>
            </a:lnSpc>
            <a:spcBef>
              <a:spcPct val="0"/>
            </a:spcBef>
            <a:spcAft>
              <a:spcPct val="35000"/>
            </a:spcAft>
            <a:buNone/>
          </a:pPr>
          <a:r>
            <a:rPr lang="fr-FR" sz="1000" b="1" kern="1200">
              <a:latin typeface="Times New Roman" pitchFamily="18" charset="0"/>
              <a:cs typeface="Times New Roman" pitchFamily="18" charset="0"/>
            </a:rPr>
            <a:t>Enjeux du PND 2018-2027</a:t>
          </a:r>
        </a:p>
      </dsp:txBody>
      <dsp:txXfrm>
        <a:off x="0" y="0"/>
        <a:ext cx="635006" cy="3381555"/>
      </dsp:txXfrm>
    </dsp:sp>
    <dsp:sp modelId="{A0681F2A-F3C8-44AE-8E17-E851D860C046}">
      <dsp:nvSpPr>
        <dsp:cNvPr id="0" name=""/>
        <dsp:cNvSpPr/>
      </dsp:nvSpPr>
      <dsp:spPr>
        <a:xfrm>
          <a:off x="665216" y="1228011"/>
          <a:ext cx="1957213" cy="105673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88950">
            <a:lnSpc>
              <a:spcPct val="90000"/>
            </a:lnSpc>
            <a:spcBef>
              <a:spcPct val="0"/>
            </a:spcBef>
            <a:spcAft>
              <a:spcPct val="35000"/>
            </a:spcAft>
            <a:buNone/>
          </a:pPr>
          <a:r>
            <a:rPr lang="fr-FR" sz="1100" b="1" kern="1200"/>
            <a:t>Enjeu 2 : </a:t>
          </a:r>
          <a:r>
            <a:rPr lang="fr-FR" sz="1100" kern="1200"/>
            <a:t>Une gouvernance axée sur les principes  démocratiques et la sauvegarde de la  souveraineté nationale</a:t>
          </a:r>
        </a:p>
        <a:p>
          <a:pPr marL="0" lvl="0" indent="0" algn="l" defTabSz="488950">
            <a:lnSpc>
              <a:spcPct val="90000"/>
            </a:lnSpc>
            <a:spcBef>
              <a:spcPct val="0"/>
            </a:spcBef>
            <a:spcAft>
              <a:spcPct val="35000"/>
            </a:spcAft>
            <a:buNone/>
          </a:pPr>
          <a:endParaRPr lang="fr-FR" sz="1100" kern="1200"/>
        </a:p>
      </dsp:txBody>
      <dsp:txXfrm>
        <a:off x="665216" y="1228011"/>
        <a:ext cx="1957213" cy="1056735"/>
      </dsp:txXfrm>
    </dsp:sp>
    <dsp:sp modelId="{1E4E7F2E-F534-4794-B93A-34D7837F67E4}">
      <dsp:nvSpPr>
        <dsp:cNvPr id="0" name=""/>
        <dsp:cNvSpPr/>
      </dsp:nvSpPr>
      <dsp:spPr>
        <a:xfrm>
          <a:off x="635006" y="1066404"/>
          <a:ext cx="1468970"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FEE06E4A-1661-4415-89EF-7340CD535D19}">
      <dsp:nvSpPr>
        <dsp:cNvPr id="0" name=""/>
        <dsp:cNvSpPr/>
      </dsp:nvSpPr>
      <dsp:spPr>
        <a:xfrm>
          <a:off x="659047" y="258424"/>
          <a:ext cx="1882835" cy="105673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88950">
            <a:lnSpc>
              <a:spcPct val="90000"/>
            </a:lnSpc>
            <a:spcBef>
              <a:spcPct val="0"/>
            </a:spcBef>
            <a:spcAft>
              <a:spcPct val="35000"/>
            </a:spcAft>
            <a:buNone/>
          </a:pPr>
          <a:r>
            <a:rPr lang="fr-FR" sz="1100" b="1" kern="1200"/>
            <a:t>Enjeu  1 : </a:t>
          </a:r>
          <a:r>
            <a:rPr lang="fr-FR" sz="1100" kern="1200"/>
            <a:t>Une croissance soutenue et inclusive pour une résilience économique  et un développement durable  </a:t>
          </a:r>
        </a:p>
        <a:p>
          <a:pPr marL="0" lvl="0" indent="0" algn="l" defTabSz="488950">
            <a:lnSpc>
              <a:spcPct val="90000"/>
            </a:lnSpc>
            <a:spcBef>
              <a:spcPct val="0"/>
            </a:spcBef>
            <a:spcAft>
              <a:spcPct val="35000"/>
            </a:spcAft>
            <a:buNone/>
          </a:pPr>
          <a:endParaRPr lang="fr-FR" sz="1100" kern="1200"/>
        </a:p>
      </dsp:txBody>
      <dsp:txXfrm>
        <a:off x="659047" y="258424"/>
        <a:ext cx="1882835" cy="1056735"/>
      </dsp:txXfrm>
    </dsp:sp>
    <dsp:sp modelId="{8BEF82FC-89D4-4B4B-A249-122B2043608B}">
      <dsp:nvSpPr>
        <dsp:cNvPr id="0" name=""/>
        <dsp:cNvSpPr/>
      </dsp:nvSpPr>
      <dsp:spPr>
        <a:xfrm>
          <a:off x="635006" y="2219145"/>
          <a:ext cx="1468970"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44225804-E820-402F-AC8F-A4C47125964C}">
      <dsp:nvSpPr>
        <dsp:cNvPr id="0" name=""/>
        <dsp:cNvSpPr/>
      </dsp:nvSpPr>
      <dsp:spPr>
        <a:xfrm>
          <a:off x="662549" y="2271982"/>
          <a:ext cx="1844291" cy="105673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just" defTabSz="488950">
            <a:lnSpc>
              <a:spcPct val="90000"/>
            </a:lnSpc>
            <a:spcBef>
              <a:spcPct val="0"/>
            </a:spcBef>
            <a:spcAft>
              <a:spcPct val="35000"/>
            </a:spcAft>
            <a:buNone/>
          </a:pPr>
          <a:r>
            <a:rPr lang="fr-FR" sz="1100" b="1" kern="1200"/>
            <a:t>Enjeu 3 : </a:t>
          </a:r>
          <a:r>
            <a:rPr lang="fr-FR" sz="1100" b="0" kern="1200"/>
            <a:t>Des</a:t>
          </a:r>
          <a:r>
            <a:rPr lang="fr-FR" sz="1100" b="1" kern="1200"/>
            <a:t> </a:t>
          </a:r>
          <a:r>
            <a:rPr lang="fr-FR" sz="1100" kern="1200"/>
            <a:t>mécanismes efficaces       de mobilisation des ressources, capitalisation de la coopération et recherche du financement innovant</a:t>
          </a:r>
        </a:p>
      </dsp:txBody>
      <dsp:txXfrm>
        <a:off x="662549" y="2271982"/>
        <a:ext cx="1844291" cy="1056735"/>
      </dsp:txXfrm>
    </dsp:sp>
    <dsp:sp modelId="{062879F9-680B-4B90-BAE3-8116A36D8621}">
      <dsp:nvSpPr>
        <dsp:cNvPr id="0" name=""/>
        <dsp:cNvSpPr/>
      </dsp:nvSpPr>
      <dsp:spPr>
        <a:xfrm>
          <a:off x="635006" y="3328718"/>
          <a:ext cx="1468970" cy="0"/>
        </a:xfrm>
        <a:prstGeom prst="lin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8C9FAC-27F4-4246-BFB2-F748535F46C1}">
      <dsp:nvSpPr>
        <dsp:cNvPr id="0" name=""/>
        <dsp:cNvSpPr/>
      </dsp:nvSpPr>
      <dsp:spPr>
        <a:xfrm>
          <a:off x="0" y="0"/>
          <a:ext cx="2620010" cy="1637506"/>
        </a:xfrm>
        <a:prstGeom prst="swooshArrow">
          <a:avLst>
            <a:gd name="adj1" fmla="val 25000"/>
            <a:gd name="adj2" fmla="val 25000"/>
          </a:avLst>
        </a:prstGeom>
        <a:gradFill rotWithShape="0">
          <a:gsLst>
            <a:gs pos="0">
              <a:schemeClr val="accent6">
                <a:tint val="40000"/>
                <a:hueOff val="0"/>
                <a:satOff val="0"/>
                <a:lumOff val="0"/>
                <a:alphaOff val="0"/>
                <a:shade val="51000"/>
                <a:satMod val="130000"/>
              </a:schemeClr>
            </a:gs>
            <a:gs pos="80000">
              <a:schemeClr val="accent6">
                <a:tint val="40000"/>
                <a:hueOff val="0"/>
                <a:satOff val="0"/>
                <a:lumOff val="0"/>
                <a:alphaOff val="0"/>
                <a:shade val="93000"/>
                <a:satMod val="130000"/>
              </a:schemeClr>
            </a:gs>
            <a:gs pos="100000">
              <a:schemeClr val="accent6">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E7445483-A678-4A59-BCC5-C5AC5478723B}">
      <dsp:nvSpPr>
        <dsp:cNvPr id="0" name=""/>
        <dsp:cNvSpPr/>
      </dsp:nvSpPr>
      <dsp:spPr>
        <a:xfrm>
          <a:off x="240233" y="2059421"/>
          <a:ext cx="60260" cy="60260"/>
        </a:xfrm>
        <a:prstGeom prst="ellipse">
          <a:avLst/>
        </a:prstGeom>
        <a:gradFill rotWithShape="0">
          <a:gsLst>
            <a:gs pos="0">
              <a:schemeClr val="accent6">
                <a:alpha val="90000"/>
                <a:hueOff val="0"/>
                <a:satOff val="0"/>
                <a:lumOff val="0"/>
                <a:alphaOff val="0"/>
                <a:shade val="51000"/>
                <a:satMod val="130000"/>
              </a:schemeClr>
            </a:gs>
            <a:gs pos="80000">
              <a:schemeClr val="accent6">
                <a:alpha val="90000"/>
                <a:hueOff val="0"/>
                <a:satOff val="0"/>
                <a:lumOff val="0"/>
                <a:alphaOff val="0"/>
                <a:shade val="93000"/>
                <a:satMod val="130000"/>
              </a:schemeClr>
            </a:gs>
            <a:gs pos="100000">
              <a:schemeClr val="accent6">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4674EDAC-B5D4-4263-A4E4-9EE72A5693DE}">
      <dsp:nvSpPr>
        <dsp:cNvPr id="0" name=""/>
        <dsp:cNvSpPr/>
      </dsp:nvSpPr>
      <dsp:spPr>
        <a:xfrm>
          <a:off x="19271" y="2152765"/>
          <a:ext cx="950204" cy="38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931" tIns="0" rIns="0" bIns="0" numCol="1" spcCol="1270" anchor="t" anchorCtr="0">
          <a:noAutofit/>
        </a:bodyPr>
        <a:lstStyle/>
        <a:p>
          <a:pPr marL="0" lvl="0" indent="0" algn="l" defTabSz="355600">
            <a:lnSpc>
              <a:spcPct val="90000"/>
            </a:lnSpc>
            <a:spcBef>
              <a:spcPct val="0"/>
            </a:spcBef>
            <a:spcAft>
              <a:spcPct val="35000"/>
            </a:spcAft>
            <a:buNone/>
          </a:pPr>
          <a:r>
            <a:rPr lang="fr-FR" sz="800" b="1" kern="1200"/>
            <a:t>2018: Reprise( 4,0%)</a:t>
          </a:r>
        </a:p>
      </dsp:txBody>
      <dsp:txXfrm>
        <a:off x="19271" y="2152765"/>
        <a:ext cx="950204" cy="389726"/>
      </dsp:txXfrm>
    </dsp:sp>
    <dsp:sp modelId="{F876637E-6CC6-43EC-A841-B41EFC837288}">
      <dsp:nvSpPr>
        <dsp:cNvPr id="0" name=""/>
        <dsp:cNvSpPr/>
      </dsp:nvSpPr>
      <dsp:spPr>
        <a:xfrm>
          <a:off x="665984" y="1678537"/>
          <a:ext cx="104800" cy="104800"/>
        </a:xfrm>
        <a:prstGeom prst="ellipse">
          <a:avLst/>
        </a:prstGeom>
        <a:gradFill rotWithShape="0">
          <a:gsLst>
            <a:gs pos="0">
              <a:schemeClr val="accent6">
                <a:alpha val="90000"/>
                <a:hueOff val="0"/>
                <a:satOff val="0"/>
                <a:lumOff val="0"/>
                <a:alphaOff val="-13333"/>
                <a:shade val="51000"/>
                <a:satMod val="130000"/>
              </a:schemeClr>
            </a:gs>
            <a:gs pos="80000">
              <a:schemeClr val="accent6">
                <a:alpha val="90000"/>
                <a:hueOff val="0"/>
                <a:satOff val="0"/>
                <a:lumOff val="0"/>
                <a:alphaOff val="-13333"/>
                <a:shade val="93000"/>
                <a:satMod val="130000"/>
              </a:schemeClr>
            </a:gs>
            <a:gs pos="100000">
              <a:schemeClr val="accent6">
                <a:alpha val="90000"/>
                <a:hueOff val="0"/>
                <a:satOff val="0"/>
                <a:lumOff val="0"/>
                <a:alphaOff val="-1333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9DDE9FA9-79C1-402A-AB28-2D2F7FF9A964}">
      <dsp:nvSpPr>
        <dsp:cNvPr id="0" name=""/>
        <dsp:cNvSpPr/>
      </dsp:nvSpPr>
      <dsp:spPr>
        <a:xfrm>
          <a:off x="608735" y="1787834"/>
          <a:ext cx="756858" cy="7483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532" tIns="0" rIns="0" bIns="0" numCol="1" spcCol="1270" anchor="t" anchorCtr="0">
          <a:noAutofit/>
        </a:bodyPr>
        <a:lstStyle/>
        <a:p>
          <a:pPr marL="0" lvl="0" indent="0" algn="l" defTabSz="355600">
            <a:lnSpc>
              <a:spcPct val="90000"/>
            </a:lnSpc>
            <a:spcBef>
              <a:spcPct val="0"/>
            </a:spcBef>
            <a:spcAft>
              <a:spcPct val="35000"/>
            </a:spcAft>
            <a:buNone/>
          </a:pPr>
          <a:r>
            <a:rPr lang="fr-FR" sz="800" b="1" kern="1200"/>
            <a:t>2020: Décollage(7,1%)</a:t>
          </a:r>
        </a:p>
      </dsp:txBody>
      <dsp:txXfrm>
        <a:off x="608735" y="1787834"/>
        <a:ext cx="756858" cy="748340"/>
      </dsp:txXfrm>
    </dsp:sp>
    <dsp:sp modelId="{FAB42081-BCBB-461D-B3D2-DF2BB9600427}">
      <dsp:nvSpPr>
        <dsp:cNvPr id="0" name=""/>
        <dsp:cNvSpPr/>
      </dsp:nvSpPr>
      <dsp:spPr>
        <a:xfrm>
          <a:off x="1209636" y="1397868"/>
          <a:ext cx="138860" cy="138860"/>
        </a:xfrm>
        <a:prstGeom prst="ellipse">
          <a:avLst/>
        </a:prstGeom>
        <a:gradFill rotWithShape="0">
          <a:gsLst>
            <a:gs pos="0">
              <a:schemeClr val="accent6">
                <a:alpha val="90000"/>
                <a:hueOff val="0"/>
                <a:satOff val="0"/>
                <a:lumOff val="0"/>
                <a:alphaOff val="-26667"/>
                <a:shade val="51000"/>
                <a:satMod val="130000"/>
              </a:schemeClr>
            </a:gs>
            <a:gs pos="80000">
              <a:schemeClr val="accent6">
                <a:alpha val="90000"/>
                <a:hueOff val="0"/>
                <a:satOff val="0"/>
                <a:lumOff val="0"/>
                <a:alphaOff val="-26667"/>
                <a:shade val="93000"/>
                <a:satMod val="130000"/>
              </a:schemeClr>
            </a:gs>
            <a:gs pos="100000">
              <a:schemeClr val="accent6">
                <a:alpha val="90000"/>
                <a:hueOff val="0"/>
                <a:satOff val="0"/>
                <a:lumOff val="0"/>
                <a:alphaOff val="-26667"/>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CB7B802-50B2-4035-B956-0A7B36BAC001}">
      <dsp:nvSpPr>
        <dsp:cNvPr id="0" name=""/>
        <dsp:cNvSpPr/>
      </dsp:nvSpPr>
      <dsp:spPr>
        <a:xfrm>
          <a:off x="1094600" y="1568446"/>
          <a:ext cx="906490" cy="10119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3579" tIns="0" rIns="0" bIns="0" numCol="1" spcCol="1270" anchor="t" anchorCtr="0">
          <a:noAutofit/>
        </a:bodyPr>
        <a:lstStyle/>
        <a:p>
          <a:pPr marL="0" lvl="0" indent="0" algn="l" defTabSz="355600">
            <a:lnSpc>
              <a:spcPct val="90000"/>
            </a:lnSpc>
            <a:spcBef>
              <a:spcPct val="0"/>
            </a:spcBef>
            <a:spcAft>
              <a:spcPct val="35000"/>
            </a:spcAft>
            <a:buNone/>
          </a:pPr>
          <a:r>
            <a:rPr lang="fr-FR" sz="800" b="1" kern="1200"/>
            <a:t>2024: Croissance Accélérée (9,5%)</a:t>
          </a:r>
        </a:p>
      </dsp:txBody>
      <dsp:txXfrm>
        <a:off x="1094600" y="1568446"/>
        <a:ext cx="906490" cy="1011978"/>
      </dsp:txXfrm>
    </dsp:sp>
    <dsp:sp modelId="{EF34C9C4-5AAB-4561-9106-4171929890FF}">
      <dsp:nvSpPr>
        <dsp:cNvPr id="0" name=""/>
        <dsp:cNvSpPr/>
      </dsp:nvSpPr>
      <dsp:spPr>
        <a:xfrm>
          <a:off x="1801759" y="1212175"/>
          <a:ext cx="186020" cy="186020"/>
        </a:xfrm>
        <a:prstGeom prst="ellipse">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74F06C2-70E2-4962-A925-3EB2EDFA8DB3}">
      <dsp:nvSpPr>
        <dsp:cNvPr id="0" name=""/>
        <dsp:cNvSpPr/>
      </dsp:nvSpPr>
      <dsp:spPr>
        <a:xfrm>
          <a:off x="1701893" y="1325709"/>
          <a:ext cx="935954" cy="9950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8569" tIns="0" rIns="0" bIns="0" numCol="1" spcCol="1270" anchor="t" anchorCtr="0">
          <a:noAutofit/>
        </a:bodyPr>
        <a:lstStyle/>
        <a:p>
          <a:pPr marL="0" lvl="0" indent="0" algn="l" defTabSz="355600">
            <a:lnSpc>
              <a:spcPct val="90000"/>
            </a:lnSpc>
            <a:spcBef>
              <a:spcPct val="0"/>
            </a:spcBef>
            <a:spcAft>
              <a:spcPct val="35000"/>
            </a:spcAft>
            <a:buNone/>
          </a:pPr>
          <a:r>
            <a:rPr lang="fr-FR" sz="800" b="1" kern="1200"/>
            <a:t>2027: Croissance soutenue (10,7%)</a:t>
          </a:r>
        </a:p>
      </dsp:txBody>
      <dsp:txXfrm>
        <a:off x="1701893" y="1325709"/>
        <a:ext cx="935954" cy="995042"/>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5462A-297F-47CD-BE0F-D8319046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36970</Words>
  <Characters>203335</Characters>
  <Application>Microsoft Office Word</Application>
  <DocSecurity>0</DocSecurity>
  <Lines>1694</Lines>
  <Paragraphs>479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239826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Comité Technique PND</dc:creator>
  <cp:lastModifiedBy>Pascal Mukanya Mufuta</cp:lastModifiedBy>
  <cp:revision>3</cp:revision>
  <cp:lastPrinted>2018-03-29T09:10:00Z</cp:lastPrinted>
  <dcterms:created xsi:type="dcterms:W3CDTF">2018-06-19T13:16:00Z</dcterms:created>
  <dcterms:modified xsi:type="dcterms:W3CDTF">2018-06-19T13:16:00Z</dcterms:modified>
</cp:coreProperties>
</file>