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E0" w:rsidRPr="003B0893" w:rsidRDefault="00E454E0" w:rsidP="00B96879">
      <w:pPr>
        <w:jc w:val="both"/>
        <w:rPr>
          <w:rFonts w:ascii="Times New Roman" w:hAnsi="Times New Roman"/>
          <w:b/>
          <w:sz w:val="24"/>
          <w:szCs w:val="24"/>
          <w:u w:val="single"/>
        </w:rPr>
      </w:pPr>
      <w:bookmarkStart w:id="0" w:name="_GoBack"/>
      <w:bookmarkEnd w:id="0"/>
      <w:r w:rsidRPr="003B0893">
        <w:rPr>
          <w:rFonts w:ascii="Times New Roman" w:hAnsi="Times New Roman"/>
          <w:b/>
          <w:sz w:val="24"/>
          <w:szCs w:val="24"/>
          <w:u w:val="single"/>
        </w:rPr>
        <w:t>Rapport de mission</w:t>
      </w:r>
    </w:p>
    <w:p w:rsidR="00E454E0" w:rsidRPr="003B0893" w:rsidRDefault="00E454E0" w:rsidP="00B96879">
      <w:pPr>
        <w:jc w:val="both"/>
        <w:rPr>
          <w:rFonts w:ascii="Times New Roman" w:hAnsi="Times New Roman"/>
          <w:sz w:val="24"/>
          <w:szCs w:val="24"/>
        </w:rPr>
      </w:pPr>
    </w:p>
    <w:tbl>
      <w:tblPr>
        <w:tblW w:w="10184" w:type="dxa"/>
        <w:tblInd w:w="238" w:type="dxa"/>
        <w:tblLayout w:type="fixed"/>
        <w:tblCellMar>
          <w:left w:w="120" w:type="dxa"/>
          <w:right w:w="120" w:type="dxa"/>
        </w:tblCellMar>
        <w:tblLook w:val="0000" w:firstRow="0" w:lastRow="0" w:firstColumn="0" w:lastColumn="0" w:noHBand="0" w:noVBand="0"/>
      </w:tblPr>
      <w:tblGrid>
        <w:gridCol w:w="3967"/>
        <w:gridCol w:w="9"/>
        <w:gridCol w:w="2197"/>
        <w:gridCol w:w="4011"/>
      </w:tblGrid>
      <w:tr w:rsidR="00C17FB9" w:rsidRPr="003B0893" w:rsidTr="003B0893">
        <w:trPr>
          <w:trHeight w:val="485"/>
        </w:trPr>
        <w:tc>
          <w:tcPr>
            <w:tcW w:w="6173" w:type="dxa"/>
            <w:gridSpan w:val="3"/>
            <w:tcBorders>
              <w:top w:val="double" w:sz="6" w:space="0" w:color="auto"/>
              <w:left w:val="double" w:sz="6" w:space="0" w:color="auto"/>
              <w:bottom w:val="double" w:sz="6" w:space="0" w:color="auto"/>
              <w:right w:val="double" w:sz="6" w:space="0" w:color="auto"/>
            </w:tcBorders>
          </w:tcPr>
          <w:p w:rsidR="00C17FB9" w:rsidRPr="003B0893" w:rsidRDefault="00394323" w:rsidP="001018AA">
            <w:pPr>
              <w:jc w:val="both"/>
              <w:rPr>
                <w:rFonts w:ascii="Times New Roman" w:hAnsi="Times New Roman"/>
                <w:b/>
                <w:sz w:val="24"/>
                <w:szCs w:val="24"/>
                <w:lang w:val="fr-FR"/>
              </w:rPr>
            </w:pPr>
            <w:r w:rsidRPr="003B0893">
              <w:rPr>
                <w:rFonts w:ascii="Times New Roman" w:hAnsi="Times New Roman"/>
                <w:sz w:val="24"/>
                <w:szCs w:val="24"/>
                <w:lang w:val="fr-FR"/>
              </w:rPr>
              <w:t xml:space="preserve">Atelier </w:t>
            </w:r>
            <w:r w:rsidR="008A4356" w:rsidRPr="003B0893">
              <w:rPr>
                <w:rFonts w:ascii="Times New Roman" w:hAnsi="Times New Roman"/>
                <w:sz w:val="24"/>
                <w:szCs w:val="24"/>
                <w:lang w:val="fr-FR"/>
              </w:rPr>
              <w:t xml:space="preserve">régional de Ngozi pour l’évaluation de  la campagne de descentes d’exécution des arrêts et jugements fonciers, de constat, de vérification et des itinérances judiciaires dans les Cours et tribunaux de 2017.                                                                                                                                        </w:t>
            </w:r>
          </w:p>
        </w:tc>
        <w:tc>
          <w:tcPr>
            <w:tcW w:w="4011" w:type="dxa"/>
            <w:tcBorders>
              <w:top w:val="double" w:sz="6" w:space="0" w:color="auto"/>
              <w:left w:val="double" w:sz="6" w:space="0" w:color="auto"/>
              <w:bottom w:val="double" w:sz="6" w:space="0" w:color="auto"/>
              <w:right w:val="double" w:sz="6" w:space="0" w:color="auto"/>
            </w:tcBorders>
          </w:tcPr>
          <w:p w:rsidR="00C17FB9" w:rsidRPr="003B0893" w:rsidRDefault="00C17FB9" w:rsidP="001018AA">
            <w:pPr>
              <w:jc w:val="both"/>
              <w:rPr>
                <w:rFonts w:ascii="Times New Roman" w:hAnsi="Times New Roman"/>
                <w:b/>
                <w:bCs/>
                <w:sz w:val="24"/>
                <w:szCs w:val="24"/>
                <w:lang w:val="fr-FR"/>
              </w:rPr>
            </w:pPr>
            <w:r w:rsidRPr="003B0893">
              <w:rPr>
                <w:rFonts w:ascii="Times New Roman" w:hAnsi="Times New Roman"/>
                <w:b/>
                <w:bCs/>
                <w:sz w:val="24"/>
                <w:szCs w:val="24"/>
                <w:lang w:val="fr-FR"/>
              </w:rPr>
              <w:t xml:space="preserve">Date: </w:t>
            </w:r>
            <w:r w:rsidR="001018AA" w:rsidRPr="003B0893">
              <w:rPr>
                <w:rFonts w:ascii="Times New Roman" w:hAnsi="Times New Roman"/>
                <w:b/>
                <w:bCs/>
                <w:sz w:val="24"/>
                <w:szCs w:val="24"/>
                <w:lang w:val="fr-FR"/>
              </w:rPr>
              <w:t>27/0/2018</w:t>
            </w:r>
          </w:p>
        </w:tc>
      </w:tr>
      <w:tr w:rsidR="00843BAF" w:rsidRPr="000312BD" w:rsidTr="003B0893">
        <w:trPr>
          <w:trHeight w:hRule="exact" w:val="1213"/>
        </w:trPr>
        <w:tc>
          <w:tcPr>
            <w:tcW w:w="3967" w:type="dxa"/>
            <w:tcBorders>
              <w:top w:val="double" w:sz="6" w:space="0" w:color="auto"/>
              <w:left w:val="double" w:sz="6" w:space="0" w:color="auto"/>
              <w:right w:val="single" w:sz="4" w:space="0" w:color="auto"/>
            </w:tcBorders>
          </w:tcPr>
          <w:p w:rsidR="00843BAF" w:rsidRPr="003B0893" w:rsidRDefault="00843BAF" w:rsidP="00B96879">
            <w:pPr>
              <w:pStyle w:val="Heading3"/>
              <w:jc w:val="both"/>
              <w:rPr>
                <w:sz w:val="24"/>
                <w:szCs w:val="24"/>
                <w:lang w:val="fr-FR"/>
              </w:rPr>
            </w:pPr>
            <w:r w:rsidRPr="003B0893">
              <w:rPr>
                <w:sz w:val="24"/>
                <w:szCs w:val="24"/>
                <w:lang w:val="fr-FR"/>
              </w:rPr>
              <w:t>Nom/Prénom</w:t>
            </w:r>
          </w:p>
          <w:p w:rsidR="00843BAF" w:rsidRPr="003B0893" w:rsidRDefault="00A113EB" w:rsidP="00B96879">
            <w:pPr>
              <w:jc w:val="both"/>
              <w:rPr>
                <w:rFonts w:ascii="Times New Roman" w:hAnsi="Times New Roman"/>
                <w:b/>
                <w:sz w:val="24"/>
                <w:szCs w:val="24"/>
                <w:lang w:val="fr-FR"/>
              </w:rPr>
            </w:pPr>
            <w:r w:rsidRPr="003B0893">
              <w:rPr>
                <w:rFonts w:ascii="Times New Roman" w:hAnsi="Times New Roman"/>
                <w:b/>
                <w:sz w:val="24"/>
                <w:szCs w:val="24"/>
                <w:lang w:val="fr-FR"/>
              </w:rPr>
              <w:t>NTAHORUBUZE Patricia</w:t>
            </w:r>
          </w:p>
          <w:p w:rsidR="004A0103" w:rsidRPr="003B0893" w:rsidRDefault="00394323" w:rsidP="00B96879">
            <w:pPr>
              <w:jc w:val="both"/>
              <w:rPr>
                <w:rFonts w:ascii="Times New Roman" w:hAnsi="Times New Roman"/>
                <w:b/>
                <w:sz w:val="24"/>
                <w:szCs w:val="24"/>
                <w:lang w:val="fr-FR"/>
              </w:rPr>
            </w:pPr>
            <w:r w:rsidRPr="003B0893">
              <w:rPr>
                <w:rFonts w:ascii="Times New Roman" w:hAnsi="Times New Roman"/>
                <w:sz w:val="24"/>
                <w:szCs w:val="24"/>
                <w:lang w:val="fr-FR"/>
              </w:rPr>
              <w:t xml:space="preserve"> </w:t>
            </w:r>
          </w:p>
          <w:p w:rsidR="00E47855" w:rsidRPr="003B0893" w:rsidRDefault="00E47855" w:rsidP="00B96879">
            <w:pPr>
              <w:jc w:val="both"/>
              <w:rPr>
                <w:rFonts w:ascii="Times New Roman" w:hAnsi="Times New Roman"/>
                <w:b/>
                <w:sz w:val="24"/>
                <w:szCs w:val="24"/>
                <w:lang w:val="fr-FR"/>
              </w:rPr>
            </w:pPr>
          </w:p>
        </w:tc>
        <w:tc>
          <w:tcPr>
            <w:tcW w:w="2206" w:type="dxa"/>
            <w:gridSpan w:val="2"/>
            <w:tcBorders>
              <w:top w:val="double" w:sz="6" w:space="0" w:color="auto"/>
              <w:left w:val="single" w:sz="4" w:space="0" w:color="auto"/>
            </w:tcBorders>
          </w:tcPr>
          <w:p w:rsidR="00843BAF" w:rsidRPr="003B0893" w:rsidRDefault="00843BAF" w:rsidP="00B96879">
            <w:pPr>
              <w:tabs>
                <w:tab w:val="left" w:pos="-4674"/>
                <w:tab w:val="left" w:pos="-720"/>
              </w:tabs>
              <w:suppressAutoHyphens/>
              <w:spacing w:before="31"/>
              <w:jc w:val="both"/>
              <w:rPr>
                <w:rFonts w:ascii="Times New Roman" w:hAnsi="Times New Roman"/>
                <w:bCs/>
                <w:sz w:val="24"/>
                <w:szCs w:val="24"/>
                <w:lang w:val="fr-FR"/>
              </w:rPr>
            </w:pPr>
            <w:r w:rsidRPr="003B0893">
              <w:rPr>
                <w:rFonts w:ascii="Times New Roman" w:hAnsi="Times New Roman"/>
                <w:b/>
                <w:bCs/>
                <w:sz w:val="24"/>
                <w:szCs w:val="24"/>
                <w:lang w:val="fr-FR"/>
              </w:rPr>
              <w:t>Numéro de tél.</w:t>
            </w:r>
          </w:p>
          <w:p w:rsidR="00843BAF" w:rsidRPr="003B0893" w:rsidRDefault="00843BAF" w:rsidP="00B96879">
            <w:pPr>
              <w:tabs>
                <w:tab w:val="left" w:pos="-4674"/>
                <w:tab w:val="left" w:pos="-720"/>
              </w:tabs>
              <w:suppressAutoHyphens/>
              <w:spacing w:before="31"/>
              <w:jc w:val="both"/>
              <w:rPr>
                <w:rFonts w:ascii="Times New Roman" w:hAnsi="Times New Roman"/>
                <w:b/>
                <w:bCs/>
                <w:sz w:val="24"/>
                <w:szCs w:val="24"/>
                <w:lang w:val="fr-FR"/>
              </w:rPr>
            </w:pPr>
            <w:r w:rsidRPr="003B0893">
              <w:rPr>
                <w:rFonts w:ascii="Times New Roman" w:hAnsi="Times New Roman"/>
                <w:b/>
                <w:bCs/>
                <w:sz w:val="24"/>
                <w:szCs w:val="24"/>
                <w:lang w:val="fr-FR"/>
              </w:rPr>
              <w:t>7</w:t>
            </w:r>
            <w:r w:rsidR="00A113EB" w:rsidRPr="003B0893">
              <w:rPr>
                <w:rFonts w:ascii="Times New Roman" w:hAnsi="Times New Roman"/>
                <w:b/>
                <w:bCs/>
                <w:sz w:val="24"/>
                <w:szCs w:val="24"/>
                <w:lang w:val="fr-FR"/>
              </w:rPr>
              <w:t xml:space="preserve">9 821594 </w:t>
            </w:r>
          </w:p>
          <w:p w:rsidR="00E47855" w:rsidRPr="003B0893" w:rsidRDefault="00E47855" w:rsidP="00B96879">
            <w:pPr>
              <w:tabs>
                <w:tab w:val="left" w:pos="-4674"/>
                <w:tab w:val="left" w:pos="-720"/>
              </w:tabs>
              <w:suppressAutoHyphens/>
              <w:spacing w:before="31"/>
              <w:jc w:val="both"/>
              <w:rPr>
                <w:rFonts w:ascii="Times New Roman" w:hAnsi="Times New Roman"/>
                <w:b/>
                <w:bCs/>
                <w:sz w:val="24"/>
                <w:szCs w:val="24"/>
                <w:lang w:val="fr-FR"/>
              </w:rPr>
            </w:pPr>
          </w:p>
          <w:p w:rsidR="00E47855" w:rsidRPr="003B0893" w:rsidRDefault="00E47855" w:rsidP="00B96879">
            <w:pPr>
              <w:tabs>
                <w:tab w:val="left" w:pos="-4674"/>
                <w:tab w:val="left" w:pos="-720"/>
              </w:tabs>
              <w:suppressAutoHyphens/>
              <w:spacing w:before="31"/>
              <w:jc w:val="both"/>
              <w:rPr>
                <w:rFonts w:ascii="Times New Roman" w:hAnsi="Times New Roman"/>
                <w:b/>
                <w:bCs/>
                <w:sz w:val="24"/>
                <w:szCs w:val="24"/>
                <w:lang w:val="fr-FR"/>
              </w:rPr>
            </w:pPr>
          </w:p>
          <w:p w:rsidR="00E47855" w:rsidRPr="003B0893" w:rsidRDefault="00E47855" w:rsidP="00B96879">
            <w:pPr>
              <w:tabs>
                <w:tab w:val="left" w:pos="-4674"/>
                <w:tab w:val="left" w:pos="-720"/>
              </w:tabs>
              <w:suppressAutoHyphens/>
              <w:spacing w:before="31"/>
              <w:jc w:val="both"/>
              <w:rPr>
                <w:rFonts w:ascii="Times New Roman" w:hAnsi="Times New Roman"/>
                <w:b/>
                <w:bCs/>
                <w:sz w:val="24"/>
                <w:szCs w:val="24"/>
                <w:lang w:val="fr-FR"/>
              </w:rPr>
            </w:pPr>
          </w:p>
          <w:p w:rsidR="00A113EB" w:rsidRPr="003B0893" w:rsidRDefault="00A113EB" w:rsidP="00B96879">
            <w:pPr>
              <w:tabs>
                <w:tab w:val="left" w:pos="-4674"/>
                <w:tab w:val="left" w:pos="-720"/>
              </w:tabs>
              <w:suppressAutoHyphens/>
              <w:spacing w:before="31"/>
              <w:jc w:val="both"/>
              <w:rPr>
                <w:rFonts w:ascii="Times New Roman" w:hAnsi="Times New Roman"/>
                <w:b/>
                <w:bCs/>
                <w:sz w:val="24"/>
                <w:szCs w:val="24"/>
                <w:lang w:val="fr-FR"/>
              </w:rPr>
            </w:pPr>
          </w:p>
          <w:p w:rsidR="00843BAF" w:rsidRPr="003B0893" w:rsidRDefault="00843BAF" w:rsidP="00B96879">
            <w:pPr>
              <w:tabs>
                <w:tab w:val="left" w:pos="-4674"/>
                <w:tab w:val="left" w:pos="-720"/>
              </w:tabs>
              <w:suppressAutoHyphens/>
              <w:spacing w:before="31"/>
              <w:jc w:val="both"/>
              <w:rPr>
                <w:rFonts w:ascii="Times New Roman" w:hAnsi="Times New Roman"/>
                <w:bCs/>
                <w:sz w:val="24"/>
                <w:szCs w:val="24"/>
                <w:lang w:val="fr-FR"/>
              </w:rPr>
            </w:pPr>
          </w:p>
        </w:tc>
        <w:tc>
          <w:tcPr>
            <w:tcW w:w="4011" w:type="dxa"/>
            <w:tcBorders>
              <w:top w:val="double" w:sz="6" w:space="0" w:color="auto"/>
              <w:left w:val="single" w:sz="6" w:space="0" w:color="auto"/>
              <w:right w:val="double" w:sz="6" w:space="0" w:color="auto"/>
            </w:tcBorders>
          </w:tcPr>
          <w:p w:rsidR="00843BAF" w:rsidRPr="003B0893" w:rsidRDefault="00843BAF" w:rsidP="00B96879">
            <w:pPr>
              <w:tabs>
                <w:tab w:val="left" w:pos="-1440"/>
                <w:tab w:val="left" w:pos="-720"/>
              </w:tabs>
              <w:suppressAutoHyphens/>
              <w:spacing w:before="31" w:after="110"/>
              <w:jc w:val="both"/>
              <w:rPr>
                <w:rFonts w:ascii="Times New Roman" w:hAnsi="Times New Roman"/>
                <w:b/>
                <w:bCs/>
                <w:sz w:val="24"/>
                <w:szCs w:val="24"/>
                <w:lang w:val="fr-FR"/>
              </w:rPr>
            </w:pPr>
            <w:r w:rsidRPr="003B0893">
              <w:rPr>
                <w:rFonts w:ascii="Times New Roman" w:hAnsi="Times New Roman"/>
                <w:b/>
                <w:bCs/>
                <w:sz w:val="24"/>
                <w:szCs w:val="24"/>
                <w:lang w:val="fr-FR"/>
              </w:rPr>
              <w:t>Mission autorisée par:</w:t>
            </w:r>
            <w:r w:rsidR="00433D8C" w:rsidRPr="003B0893">
              <w:rPr>
                <w:rFonts w:ascii="Times New Roman" w:hAnsi="Times New Roman"/>
                <w:b/>
                <w:bCs/>
                <w:sz w:val="24"/>
                <w:szCs w:val="24"/>
                <w:lang w:val="fr-FR"/>
              </w:rPr>
              <w:t xml:space="preserve"> </w:t>
            </w:r>
            <w:r w:rsidR="00A113EB" w:rsidRPr="003B0893">
              <w:rPr>
                <w:rFonts w:ascii="Times New Roman" w:hAnsi="Times New Roman"/>
                <w:b/>
                <w:bCs/>
                <w:sz w:val="24"/>
                <w:szCs w:val="24"/>
                <w:lang w:val="fr-FR"/>
              </w:rPr>
              <w:t>LE PNUD</w:t>
            </w:r>
          </w:p>
        </w:tc>
      </w:tr>
      <w:tr w:rsidR="00C17FB9" w:rsidRPr="000312BD" w:rsidTr="003B0893">
        <w:trPr>
          <w:trHeight w:val="470"/>
        </w:trPr>
        <w:tc>
          <w:tcPr>
            <w:tcW w:w="3976" w:type="dxa"/>
            <w:gridSpan w:val="2"/>
            <w:tcBorders>
              <w:top w:val="single" w:sz="6" w:space="0" w:color="auto"/>
              <w:left w:val="double" w:sz="6" w:space="0" w:color="auto"/>
            </w:tcBorders>
          </w:tcPr>
          <w:p w:rsidR="00C17FB9" w:rsidRPr="003B0893" w:rsidRDefault="00C17FB9" w:rsidP="00B96879">
            <w:pPr>
              <w:tabs>
                <w:tab w:val="left" w:pos="-1440"/>
                <w:tab w:val="left" w:pos="-720"/>
              </w:tabs>
              <w:suppressAutoHyphens/>
              <w:jc w:val="both"/>
              <w:rPr>
                <w:rFonts w:ascii="Times New Roman" w:hAnsi="Times New Roman"/>
                <w:b/>
                <w:bCs/>
                <w:sz w:val="24"/>
                <w:szCs w:val="24"/>
                <w:lang w:val="fr-FR"/>
              </w:rPr>
            </w:pPr>
            <w:r w:rsidRPr="003B0893">
              <w:rPr>
                <w:rFonts w:ascii="Times New Roman" w:hAnsi="Times New Roman"/>
                <w:b/>
                <w:bCs/>
                <w:sz w:val="24"/>
                <w:szCs w:val="24"/>
                <w:lang w:val="fr-FR"/>
              </w:rPr>
              <w:t>Itinéraire de la mission:</w:t>
            </w:r>
          </w:p>
          <w:p w:rsidR="00C17FB9" w:rsidRPr="003B0893" w:rsidRDefault="00C17FB9" w:rsidP="001018AA">
            <w:pPr>
              <w:tabs>
                <w:tab w:val="left" w:pos="-1440"/>
                <w:tab w:val="left" w:pos="-720"/>
              </w:tabs>
              <w:suppressAutoHyphens/>
              <w:jc w:val="both"/>
              <w:rPr>
                <w:rFonts w:ascii="Times New Roman" w:hAnsi="Times New Roman"/>
                <w:b/>
                <w:bCs/>
                <w:sz w:val="24"/>
                <w:szCs w:val="24"/>
                <w:lang w:val="fr-FR"/>
              </w:rPr>
            </w:pPr>
            <w:r w:rsidRPr="003B0893">
              <w:rPr>
                <w:rFonts w:ascii="Times New Roman" w:hAnsi="Times New Roman"/>
                <w:b/>
                <w:bCs/>
                <w:sz w:val="24"/>
                <w:szCs w:val="24"/>
                <w:lang w:val="fr-FR"/>
              </w:rPr>
              <w:t>Bujumbura-</w:t>
            </w:r>
            <w:r w:rsidR="001018AA" w:rsidRPr="003B0893">
              <w:rPr>
                <w:rFonts w:ascii="Times New Roman" w:hAnsi="Times New Roman"/>
                <w:b/>
                <w:bCs/>
                <w:sz w:val="24"/>
                <w:szCs w:val="24"/>
                <w:lang w:val="fr-FR"/>
              </w:rPr>
              <w:t>NGOZI</w:t>
            </w:r>
            <w:r w:rsidR="000A6B87" w:rsidRPr="003B0893">
              <w:rPr>
                <w:rFonts w:ascii="Times New Roman" w:hAnsi="Times New Roman"/>
                <w:b/>
                <w:bCs/>
                <w:sz w:val="24"/>
                <w:szCs w:val="24"/>
                <w:lang w:val="fr-FR"/>
              </w:rPr>
              <w:t>-</w:t>
            </w:r>
            <w:r w:rsidR="005171B6" w:rsidRPr="003B0893">
              <w:rPr>
                <w:rFonts w:ascii="Times New Roman" w:hAnsi="Times New Roman"/>
                <w:b/>
                <w:bCs/>
                <w:sz w:val="24"/>
                <w:szCs w:val="24"/>
                <w:lang w:val="fr-FR"/>
              </w:rPr>
              <w:t xml:space="preserve"> </w:t>
            </w:r>
            <w:r w:rsidR="004A0103" w:rsidRPr="003B0893">
              <w:rPr>
                <w:rFonts w:ascii="Times New Roman" w:hAnsi="Times New Roman"/>
                <w:b/>
                <w:bCs/>
                <w:sz w:val="24"/>
                <w:szCs w:val="24"/>
                <w:lang w:val="fr-FR"/>
              </w:rPr>
              <w:t>Bujumbura</w:t>
            </w:r>
          </w:p>
        </w:tc>
        <w:tc>
          <w:tcPr>
            <w:tcW w:w="6208" w:type="dxa"/>
            <w:gridSpan w:val="2"/>
            <w:tcBorders>
              <w:top w:val="single" w:sz="6" w:space="0" w:color="auto"/>
              <w:left w:val="single" w:sz="6" w:space="0" w:color="auto"/>
              <w:right w:val="double" w:sz="6" w:space="0" w:color="auto"/>
            </w:tcBorders>
          </w:tcPr>
          <w:p w:rsidR="00C17FB9" w:rsidRPr="003B0893" w:rsidRDefault="00C17FB9" w:rsidP="00B96879">
            <w:pPr>
              <w:tabs>
                <w:tab w:val="left" w:pos="-1440"/>
                <w:tab w:val="left" w:pos="-720"/>
              </w:tabs>
              <w:suppressAutoHyphens/>
              <w:jc w:val="both"/>
              <w:rPr>
                <w:rFonts w:ascii="Times New Roman" w:hAnsi="Times New Roman"/>
                <w:sz w:val="24"/>
                <w:szCs w:val="24"/>
                <w:lang w:val="fr-FR"/>
              </w:rPr>
            </w:pPr>
            <w:r w:rsidRPr="003B0893">
              <w:rPr>
                <w:rFonts w:ascii="Times New Roman" w:hAnsi="Times New Roman"/>
                <w:b/>
                <w:bCs/>
                <w:sz w:val="24"/>
                <w:szCs w:val="24"/>
                <w:lang w:val="fr-FR"/>
              </w:rPr>
              <w:t>Liste des annexes</w:t>
            </w:r>
            <w:r w:rsidRPr="003B0893">
              <w:rPr>
                <w:rFonts w:ascii="Times New Roman" w:hAnsi="Times New Roman"/>
                <w:sz w:val="24"/>
                <w:szCs w:val="24"/>
                <w:lang w:val="fr-FR"/>
              </w:rPr>
              <w:t>:n/a</w:t>
            </w:r>
          </w:p>
        </w:tc>
      </w:tr>
      <w:tr w:rsidR="00433D8C" w:rsidRPr="003B0893" w:rsidTr="003B0893">
        <w:trPr>
          <w:trHeight w:val="1464"/>
        </w:trPr>
        <w:tc>
          <w:tcPr>
            <w:tcW w:w="10184" w:type="dxa"/>
            <w:gridSpan w:val="4"/>
            <w:tcBorders>
              <w:top w:val="single" w:sz="6" w:space="0" w:color="auto"/>
              <w:left w:val="double" w:sz="6" w:space="0" w:color="auto"/>
              <w:bottom w:val="single" w:sz="4" w:space="0" w:color="auto"/>
              <w:right w:val="double" w:sz="6" w:space="0" w:color="auto"/>
            </w:tcBorders>
          </w:tcPr>
          <w:p w:rsidR="000A6B87" w:rsidRPr="003B0893" w:rsidRDefault="00433D8C" w:rsidP="008A31F0">
            <w:pPr>
              <w:pStyle w:val="ListParagraph"/>
              <w:numPr>
                <w:ilvl w:val="0"/>
                <w:numId w:val="1"/>
              </w:numPr>
              <w:tabs>
                <w:tab w:val="left" w:pos="-1440"/>
                <w:tab w:val="left" w:pos="-720"/>
              </w:tabs>
              <w:suppressAutoHyphens/>
              <w:jc w:val="both"/>
              <w:rPr>
                <w:b/>
              </w:rPr>
            </w:pPr>
            <w:r w:rsidRPr="003B0893">
              <w:rPr>
                <w:b/>
                <w:bCs/>
              </w:rPr>
              <w:t>Dates de la mission</w:t>
            </w:r>
            <w:r w:rsidR="00E47855" w:rsidRPr="003B0893">
              <w:rPr>
                <w:b/>
                <w:bCs/>
              </w:rPr>
              <w:t>, y compris les jours de voyage</w:t>
            </w:r>
            <w:r w:rsidRPr="003B0893">
              <w:rPr>
                <w:b/>
                <w:bCs/>
              </w:rPr>
              <w:t> </w:t>
            </w:r>
            <w:r w:rsidR="0079145A" w:rsidRPr="003B0893">
              <w:rPr>
                <w:bCs/>
              </w:rPr>
              <w:t xml:space="preserve">: </w:t>
            </w:r>
          </w:p>
          <w:p w:rsidR="00BE5E5A" w:rsidRPr="003B0893" w:rsidRDefault="000A6B87" w:rsidP="008A31F0">
            <w:pPr>
              <w:pStyle w:val="ListParagraph"/>
              <w:numPr>
                <w:ilvl w:val="0"/>
                <w:numId w:val="3"/>
              </w:numPr>
              <w:tabs>
                <w:tab w:val="left" w:pos="-1440"/>
                <w:tab w:val="left" w:pos="-720"/>
              </w:tabs>
              <w:suppressAutoHyphens/>
              <w:jc w:val="both"/>
              <w:rPr>
                <w:b/>
                <w:bCs/>
              </w:rPr>
            </w:pPr>
            <w:r w:rsidRPr="003B0893">
              <w:rPr>
                <w:b/>
                <w:bCs/>
              </w:rPr>
              <w:t>Atelier</w:t>
            </w:r>
            <w:r w:rsidR="001B11D5" w:rsidRPr="003B0893">
              <w:rPr>
                <w:b/>
                <w:bCs/>
              </w:rPr>
              <w:t xml:space="preserve"> régional </w:t>
            </w:r>
            <w:r w:rsidRPr="003B0893">
              <w:rPr>
                <w:b/>
                <w:bCs/>
              </w:rPr>
              <w:t xml:space="preserve">de </w:t>
            </w:r>
            <w:r w:rsidR="00D67BAA" w:rsidRPr="003B0893">
              <w:rPr>
                <w:b/>
                <w:bCs/>
              </w:rPr>
              <w:t>Gitega :</w:t>
            </w:r>
            <w:r w:rsidR="001B11D5" w:rsidRPr="003B0893">
              <w:rPr>
                <w:b/>
                <w:bCs/>
              </w:rPr>
              <w:t xml:space="preserve"> </w:t>
            </w:r>
            <w:r w:rsidR="00BE5E5A" w:rsidRPr="003B0893">
              <w:rPr>
                <w:b/>
                <w:bCs/>
              </w:rPr>
              <w:t>2</w:t>
            </w:r>
            <w:r w:rsidR="003B0893">
              <w:rPr>
                <w:b/>
                <w:bCs/>
              </w:rPr>
              <w:t>1</w:t>
            </w:r>
            <w:r w:rsidR="00BE5E5A" w:rsidRPr="003B0893">
              <w:rPr>
                <w:b/>
                <w:bCs/>
              </w:rPr>
              <w:t xml:space="preserve"> au 2</w:t>
            </w:r>
            <w:r w:rsidR="003B0893">
              <w:rPr>
                <w:b/>
                <w:bCs/>
              </w:rPr>
              <w:t>4</w:t>
            </w:r>
            <w:r w:rsidR="001018AA" w:rsidRPr="003B0893">
              <w:rPr>
                <w:b/>
                <w:bCs/>
              </w:rPr>
              <w:t xml:space="preserve"> février 2018</w:t>
            </w:r>
            <w:r w:rsidR="00BE5E5A" w:rsidRPr="003B0893">
              <w:rPr>
                <w:b/>
                <w:bCs/>
              </w:rPr>
              <w:t xml:space="preserve"> </w:t>
            </w:r>
          </w:p>
          <w:p w:rsidR="00433D8C" w:rsidRPr="003B0893" w:rsidRDefault="00E47855" w:rsidP="001018AA">
            <w:pPr>
              <w:pStyle w:val="ListParagraph"/>
              <w:numPr>
                <w:ilvl w:val="0"/>
                <w:numId w:val="3"/>
              </w:numPr>
              <w:tabs>
                <w:tab w:val="left" w:pos="-1440"/>
                <w:tab w:val="left" w:pos="-720"/>
              </w:tabs>
              <w:suppressAutoHyphens/>
              <w:jc w:val="both"/>
              <w:rPr>
                <w:b/>
                <w:bCs/>
              </w:rPr>
            </w:pPr>
            <w:r w:rsidRPr="003B0893">
              <w:rPr>
                <w:b/>
              </w:rPr>
              <w:t xml:space="preserve">Lieu : </w:t>
            </w:r>
            <w:r w:rsidR="00BE5E5A" w:rsidRPr="003B0893">
              <w:rPr>
                <w:b/>
              </w:rPr>
              <w:t>Gitega</w:t>
            </w:r>
            <w:r w:rsidR="000A6B87" w:rsidRPr="003B0893">
              <w:rPr>
                <w:b/>
              </w:rPr>
              <w:t xml:space="preserve"> : Hôtel </w:t>
            </w:r>
            <w:r w:rsidR="00394323" w:rsidRPr="003B0893">
              <w:rPr>
                <w:b/>
              </w:rPr>
              <w:t xml:space="preserve"> </w:t>
            </w:r>
            <w:r w:rsidR="001018AA" w:rsidRPr="003B0893">
              <w:rPr>
                <w:b/>
              </w:rPr>
              <w:t>KIGOBE</w:t>
            </w:r>
          </w:p>
        </w:tc>
      </w:tr>
      <w:tr w:rsidR="00661F82" w:rsidRPr="003B0893" w:rsidTr="003B0893">
        <w:trPr>
          <w:trHeight w:val="4956"/>
        </w:trPr>
        <w:tc>
          <w:tcPr>
            <w:tcW w:w="10184" w:type="dxa"/>
            <w:gridSpan w:val="4"/>
          </w:tcPr>
          <w:p w:rsidR="004C6BF0" w:rsidRPr="003B0893" w:rsidRDefault="004C6BF0" w:rsidP="00B9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fr-FR"/>
              </w:rPr>
            </w:pPr>
          </w:p>
          <w:p w:rsidR="006415F9" w:rsidRPr="003B0893" w:rsidRDefault="006415F9" w:rsidP="00DF18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B0893">
              <w:rPr>
                <w:b/>
                <w:bCs/>
              </w:rPr>
              <w:t>Contexte et justification.</w:t>
            </w:r>
          </w:p>
          <w:p w:rsidR="006415F9" w:rsidRPr="003B0893" w:rsidRDefault="006415F9" w:rsidP="00B9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fr-FR"/>
              </w:rPr>
            </w:pPr>
          </w:p>
          <w:p w:rsidR="001018AA" w:rsidRPr="003B0893" w:rsidRDefault="001018AA" w:rsidP="001018AA">
            <w:pPr>
              <w:jc w:val="both"/>
              <w:rPr>
                <w:rFonts w:ascii="Times New Roman" w:hAnsi="Times New Roman"/>
                <w:color w:val="000000"/>
                <w:sz w:val="24"/>
                <w:szCs w:val="24"/>
                <w:lang w:val="fr-FR"/>
              </w:rPr>
            </w:pPr>
            <w:r w:rsidRPr="003B0893">
              <w:rPr>
                <w:rFonts w:ascii="Times New Roman" w:hAnsi="Times New Roman"/>
                <w:color w:val="000000"/>
                <w:sz w:val="24"/>
                <w:szCs w:val="24"/>
                <w:lang w:val="fr-FR"/>
              </w:rPr>
              <w:t xml:space="preserve">Dans le cadre de la mise en œuvre du plan de travail 2017 du projet « Promouvoir la Bonne Gouvernance, l’Etat de droit et la Consolidation de la paix au Burundi, le Ministère de la Justice, en partenariat et avec l’ appui technique et financier du PNUD, a initié un nouveau mécanisme pour améliorer les performances des juridictions dans 12 provinces (Bujumbura rural, Ngozi, Gitega, Bururi, Kirundo, Muyinga, Kayanza, Rutana, Makamba, Muramvya, Mwaro et Muramvya) visant à accélérer la procédure judiciaire au niveau de 96 tribunaux de résidence, 12 tribunaux de Grande instance et de 4 Cours d’Appel et à permettre aux justiciables de rentrer dans leurs droits fonciers. </w:t>
            </w:r>
          </w:p>
          <w:p w:rsidR="001018AA" w:rsidRPr="003B0893" w:rsidRDefault="001018AA" w:rsidP="001018AA">
            <w:pPr>
              <w:jc w:val="both"/>
              <w:rPr>
                <w:rFonts w:ascii="Times New Roman" w:hAnsi="Times New Roman"/>
                <w:color w:val="000000"/>
                <w:sz w:val="24"/>
                <w:szCs w:val="24"/>
                <w:lang w:val="fr-FR"/>
              </w:rPr>
            </w:pPr>
            <w:r w:rsidRPr="003B0893">
              <w:rPr>
                <w:rFonts w:ascii="Times New Roman" w:hAnsi="Times New Roman"/>
                <w:color w:val="000000"/>
                <w:sz w:val="24"/>
                <w:szCs w:val="24"/>
                <w:lang w:val="fr-FR"/>
              </w:rPr>
              <w:t xml:space="preserve">Ainsi, une commission de la justice chargée de la gestion de la problématique des arriérés fonciers a été mise en place. C’est dans ce cadre que la campagne d’exécutions des arrêts jugements, de constats, d’itinérances judiciaires et de vérifications des exécutions des jugements en matière foncière a été lancée le 5/6/2017 dans la province de Mwaro avec l’appui du PNUD. </w:t>
            </w:r>
          </w:p>
          <w:p w:rsidR="001018AA" w:rsidRPr="003B0893" w:rsidRDefault="001018AA" w:rsidP="001018AA">
            <w:pPr>
              <w:jc w:val="both"/>
              <w:rPr>
                <w:rFonts w:ascii="Times New Roman" w:hAnsi="Times New Roman"/>
                <w:color w:val="000000"/>
                <w:sz w:val="24"/>
                <w:szCs w:val="24"/>
                <w:lang w:val="fr-FR"/>
              </w:rPr>
            </w:pPr>
            <w:r w:rsidRPr="003B0893">
              <w:rPr>
                <w:rFonts w:ascii="Times New Roman" w:hAnsi="Times New Roman"/>
                <w:color w:val="000000"/>
                <w:sz w:val="24"/>
                <w:szCs w:val="24"/>
                <w:lang w:val="fr-FR"/>
              </w:rPr>
              <w:t xml:space="preserve">Cette campagne a permis de juger et d’exécuter 20 233 dossiers fonciers dont 4672 des dossiers appartenant aux femmes sur un stock global de 21094. Au total 23 234 personnes dont 4680 femmes sont rentrées dans leurs droits. Par ailleurs cette action de grande envergure a permis de réduire les conflits fonciers dans ces provinces qui avaient atteint une ampleur inquiétante et qui étaient source d’insécurité dans les provinces. </w:t>
            </w:r>
          </w:p>
          <w:p w:rsidR="001018AA" w:rsidRPr="003B0893" w:rsidRDefault="001018AA" w:rsidP="001018AA">
            <w:pPr>
              <w:jc w:val="both"/>
              <w:rPr>
                <w:rFonts w:ascii="Times New Roman" w:hAnsi="Times New Roman"/>
                <w:color w:val="000000"/>
                <w:sz w:val="24"/>
                <w:szCs w:val="24"/>
                <w:lang w:val="fr-FR"/>
              </w:rPr>
            </w:pPr>
            <w:r w:rsidRPr="003B0893">
              <w:rPr>
                <w:rFonts w:ascii="Times New Roman" w:hAnsi="Times New Roman"/>
                <w:color w:val="000000"/>
                <w:sz w:val="24"/>
                <w:szCs w:val="24"/>
                <w:lang w:val="fr-FR"/>
              </w:rPr>
              <w:t xml:space="preserve"> Dans le cadre de la mise en œuvre du Plan de Travail 2018 cette campagne sera étendue dans d’autres provinces du pays à savoir les provinces de Bubanza, Karusi, Cibitoke, Ruyigi et Cankuzo. Cette campagne impliquera les Tribunaux de résidence, les tribunaux de Grande Instance de ces provinces ainsi que les Cours d’Appel de Bujumbura et de Gitega.</w:t>
            </w:r>
          </w:p>
          <w:p w:rsidR="00D80518" w:rsidRPr="003B0893" w:rsidRDefault="001018AA" w:rsidP="001018AA">
            <w:pPr>
              <w:jc w:val="both"/>
              <w:rPr>
                <w:rFonts w:ascii="Times New Roman" w:hAnsi="Times New Roman"/>
                <w:bCs/>
                <w:sz w:val="24"/>
                <w:szCs w:val="24"/>
                <w:lang w:val="fr-FR"/>
              </w:rPr>
            </w:pPr>
            <w:r w:rsidRPr="003B0893">
              <w:rPr>
                <w:rFonts w:ascii="Times New Roman" w:hAnsi="Times New Roman"/>
                <w:color w:val="000000"/>
                <w:sz w:val="24"/>
                <w:szCs w:val="24"/>
                <w:lang w:val="fr-FR"/>
              </w:rPr>
              <w:t>Afin de mieux conduire cette deuxième campagne, un atelier régional pour l’évaluation de la première campagne dans la zone Nord a été organisé pour relever les succès et les facteurs de réussite qui pourraient servir de base de planification de la deuxième campagne a été organisée du 22 au 23 février 2018 à Ngozi et impliquait les provinces de Ngozi, Kirundo, Kayanza et Muyinga.</w:t>
            </w:r>
          </w:p>
          <w:p w:rsidR="00435BAB" w:rsidRPr="003B0893" w:rsidRDefault="00435BAB" w:rsidP="00B96879">
            <w:pPr>
              <w:pStyle w:val="HTMLPreformatted"/>
              <w:shd w:val="clear" w:color="auto" w:fill="FFFFFF"/>
              <w:jc w:val="both"/>
              <w:rPr>
                <w:rFonts w:ascii="Times New Roman" w:hAnsi="Times New Roman" w:cs="Times New Roman"/>
                <w:b/>
                <w:sz w:val="24"/>
                <w:szCs w:val="24"/>
              </w:rPr>
            </w:pPr>
          </w:p>
          <w:p w:rsidR="001018AA" w:rsidRPr="003B0893" w:rsidRDefault="001018AA" w:rsidP="00DF18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rPr>
                <w:b/>
              </w:rPr>
              <w:t xml:space="preserve"> Les résultats attendus de l’atelier sont</w:t>
            </w:r>
            <w:r w:rsidR="003B0893">
              <w:rPr>
                <w:b/>
              </w:rPr>
              <w:t> :</w:t>
            </w:r>
          </w:p>
          <w:p w:rsidR="001018AA"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018AA" w:rsidRPr="003B0893" w:rsidRDefault="001018AA" w:rsidP="003B0893">
            <w:pPr>
              <w:pStyle w:val="ListParagraph"/>
              <w:numPr>
                <w:ilvl w:val="0"/>
                <w:numId w:val="21"/>
              </w:numPr>
              <w:spacing w:after="200"/>
              <w:jc w:val="both"/>
            </w:pPr>
            <w:r w:rsidRPr="003B0893">
              <w:t xml:space="preserve">Les succès et les facteurs de réussite qui pourraient servir de base de planification de la deuxième campagne sont relevés. </w:t>
            </w:r>
          </w:p>
          <w:p w:rsidR="001018AA" w:rsidRPr="003B0893" w:rsidRDefault="001018AA" w:rsidP="003B0893">
            <w:pPr>
              <w:pStyle w:val="ListParagraph"/>
              <w:numPr>
                <w:ilvl w:val="0"/>
                <w:numId w:val="21"/>
              </w:numPr>
              <w:spacing w:after="200"/>
              <w:jc w:val="both"/>
            </w:pPr>
            <w:r w:rsidRPr="003B0893">
              <w:t xml:space="preserve">Les disfonctionnements, les erreurs et les manquements sont relevés et les leçons pour la prochaine campagne sont formulées. </w:t>
            </w:r>
          </w:p>
          <w:p w:rsidR="001018AA" w:rsidRPr="003B0893" w:rsidRDefault="001018AA" w:rsidP="003B0893">
            <w:pPr>
              <w:pStyle w:val="ListParagraph"/>
              <w:numPr>
                <w:ilvl w:val="0"/>
                <w:numId w:val="21"/>
              </w:numPr>
              <w:spacing w:after="200"/>
              <w:jc w:val="both"/>
            </w:pPr>
            <w:r w:rsidRPr="003B0893">
              <w:t xml:space="preserve">Les voies et moyens pour réduire le coût tout en privilégiant l’efficacité sont identifiés. </w:t>
            </w:r>
          </w:p>
          <w:p w:rsidR="001018AA" w:rsidRPr="003B0893" w:rsidRDefault="001018AA" w:rsidP="003B0893">
            <w:pPr>
              <w:pStyle w:val="ListParagraph"/>
              <w:numPr>
                <w:ilvl w:val="0"/>
                <w:numId w:val="21"/>
              </w:numPr>
              <w:spacing w:after="200"/>
              <w:jc w:val="both"/>
            </w:pPr>
            <w:r w:rsidRPr="003B0893">
              <w:lastRenderedPageBreak/>
              <w:t>Les témoignages des  participants  sur l’impact de la campagne sur la consolidation de la paix sociale.</w:t>
            </w:r>
          </w:p>
          <w:p w:rsidR="001018AA" w:rsidRPr="003B0893" w:rsidRDefault="001018AA" w:rsidP="003B0893">
            <w:pPr>
              <w:pStyle w:val="ListParagraph"/>
              <w:numPr>
                <w:ilvl w:val="0"/>
                <w:numId w:val="21"/>
              </w:numPr>
              <w:spacing w:after="200"/>
              <w:jc w:val="both"/>
            </w:pPr>
            <w:r w:rsidRPr="003B0893">
              <w:t>Les bonnes pratiques pour l’appropriation des acquis de la campagne sont relevées.</w:t>
            </w:r>
          </w:p>
          <w:p w:rsidR="002E072F" w:rsidRPr="003B0893" w:rsidRDefault="004045DB" w:rsidP="003B0893">
            <w:pPr>
              <w:pStyle w:val="ListParagraph"/>
              <w:numPr>
                <w:ilvl w:val="0"/>
                <w:numId w:val="21"/>
              </w:numPr>
              <w:spacing w:after="200"/>
              <w:jc w:val="both"/>
            </w:pPr>
            <w:r w:rsidRPr="003B0893">
              <w:t>L</w:t>
            </w:r>
            <w:r w:rsidR="001018AA" w:rsidRPr="003B0893">
              <w:t xml:space="preserve">es stratégies pour la pérennisation des acquis de la campagne sont formulées </w:t>
            </w:r>
          </w:p>
          <w:p w:rsidR="001018AA"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18AA" w:rsidRPr="003B0893" w:rsidRDefault="001018AA" w:rsidP="00DF180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rPr>
                <w:b/>
              </w:rPr>
              <w:t>Résultats atteints</w:t>
            </w:r>
          </w:p>
          <w:p w:rsidR="001018AA"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18AA" w:rsidRPr="003B0893" w:rsidRDefault="001018AA" w:rsidP="00DF180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rPr>
                <w:b/>
              </w:rPr>
              <w:t xml:space="preserve">Les succès et les facteurs de réussite </w:t>
            </w:r>
          </w:p>
          <w:p w:rsidR="001018AA"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24073"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Sur le volume de 21 .094 dossiers (exécution, constat et vérification) ,19.512 dossiers ont été clôturés, soit 92 ,5% du volume prévu</w:t>
            </w:r>
            <w:r w:rsidR="00DE474A" w:rsidRPr="003B0893">
              <w:rPr>
                <w:bCs/>
              </w:rPr>
              <w:t xml:space="preserve"> dans un délai de cinq mois.</w:t>
            </w:r>
            <w:r w:rsidRPr="003B0893">
              <w:rPr>
                <w:bCs/>
              </w:rPr>
              <w:t xml:space="preserve">  </w:t>
            </w:r>
          </w:p>
          <w:p w:rsidR="001018AA" w:rsidRPr="003B0893" w:rsidRDefault="001018A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Cette réussite est due au leadership du Ministre de la Justice qui s’est beaucoup impliqué dans l’organisation de la campagne , de l’engagement des membres de la commission de la campagne mais aussi le sens de responsabilité des chefs de service, des magistrats et des agents de l’ ordre judiciaire dans les 12 provinces  qui ont bénéficié de l’ appui du PNUD.</w:t>
            </w:r>
          </w:p>
          <w:p w:rsidR="00A24073" w:rsidRPr="003B0893" w:rsidRDefault="00A24073" w:rsidP="00A2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lang w:val="fr-FR"/>
              </w:rPr>
            </w:pPr>
            <w:r w:rsidRPr="003B0893">
              <w:rPr>
                <w:rFonts w:ascii="Times New Roman" w:hAnsi="Times New Roman"/>
                <w:bCs/>
                <w:sz w:val="24"/>
                <w:szCs w:val="24"/>
                <w:lang w:val="fr-FR"/>
              </w:rPr>
              <w:t xml:space="preserve">              Aucun incident n’a été signalé dans la zone Nord et aucune réclamation n’a été enregistrée. </w:t>
            </w:r>
          </w:p>
          <w:p w:rsidR="00A24073" w:rsidRPr="003B0893" w:rsidRDefault="00A24073"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DE474A" w:rsidRPr="003B0893" w:rsidRDefault="00DE474A" w:rsidP="001018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045DB" w:rsidRDefault="004045DB" w:rsidP="00DF180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B0893">
              <w:rPr>
                <w:b/>
                <w:bCs/>
              </w:rPr>
              <w:t>Les disfonctionnements, les erreurs et les manquements sont relevés et les leçons pour la prochaine campagne sont formulées</w:t>
            </w:r>
          </w:p>
          <w:p w:rsidR="003B0893" w:rsidRPr="003B0893" w:rsidRDefault="003B0893" w:rsidP="003B089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b/>
                <w:bCs/>
              </w:rPr>
            </w:pPr>
          </w:p>
          <w:p w:rsidR="00DE474A" w:rsidRPr="003B0893" w:rsidRDefault="00DE474A" w:rsidP="003B0893">
            <w:pPr>
              <w:pStyle w:val="ListParagraph"/>
              <w:numPr>
                <w:ilvl w:val="0"/>
                <w:numId w:val="22"/>
              </w:numPr>
              <w:jc w:val="both"/>
            </w:pPr>
            <w:r w:rsidRPr="003B0893">
              <w:t xml:space="preserve">Difficultés dans la maîtrise des outils de collecte des dossiers fonciers au début de la campagne par certain agents de l’ordre judiciaire </w:t>
            </w:r>
          </w:p>
          <w:p w:rsidR="00DE474A" w:rsidRPr="003B0893" w:rsidRDefault="00DE474A" w:rsidP="003B0893">
            <w:pPr>
              <w:pStyle w:val="ListParagraph"/>
              <w:numPr>
                <w:ilvl w:val="0"/>
                <w:numId w:val="22"/>
              </w:numPr>
              <w:jc w:val="both"/>
            </w:pPr>
            <w:r w:rsidRPr="003B0893">
              <w:t>Non maitrise ou tricherie par rapport au nombre de dossiers existant dans certaines juridictions ;</w:t>
            </w:r>
          </w:p>
          <w:p w:rsidR="00DF1803" w:rsidRPr="003B0893" w:rsidRDefault="00DF1803" w:rsidP="003B0893">
            <w:pPr>
              <w:pStyle w:val="ListParagraph"/>
              <w:numPr>
                <w:ilvl w:val="0"/>
                <w:numId w:val="22"/>
              </w:numPr>
              <w:jc w:val="both"/>
            </w:pPr>
            <w:r w:rsidRPr="003B0893">
              <w:t>Insuffisance  d’encadrement des services des greffes par les chefs des juridictions ;</w:t>
            </w:r>
          </w:p>
          <w:p w:rsidR="00DE474A" w:rsidRPr="003B0893" w:rsidRDefault="00DE474A" w:rsidP="003B0893">
            <w:pPr>
              <w:pStyle w:val="ListParagraph"/>
              <w:numPr>
                <w:ilvl w:val="0"/>
                <w:numId w:val="22"/>
              </w:numPr>
              <w:jc w:val="both"/>
            </w:pPr>
            <w:r w:rsidRPr="003B0893">
              <w:t>Nombre insuffisant de magistrat</w:t>
            </w:r>
            <w:r w:rsidR="00A24073" w:rsidRPr="003B0893">
              <w:t>s</w:t>
            </w:r>
            <w:r w:rsidRPr="003B0893">
              <w:t xml:space="preserve"> et d’agents d’ordre judiciaire dans certains tribunaux de résidence</w:t>
            </w:r>
          </w:p>
          <w:p w:rsidR="00DF1803" w:rsidRPr="003B0893" w:rsidRDefault="00DF1803" w:rsidP="003B0893">
            <w:pPr>
              <w:pStyle w:val="ListParagraph"/>
              <w:numPr>
                <w:ilvl w:val="0"/>
                <w:numId w:val="22"/>
              </w:numPr>
              <w:jc w:val="both"/>
            </w:pPr>
            <w:r w:rsidRPr="003B0893">
              <w:t>Les chefs des juridictions qui cachent des dossiers (campagnes antérieurement organisées);</w:t>
            </w:r>
          </w:p>
          <w:p w:rsidR="00DF1803" w:rsidRPr="003B0893" w:rsidRDefault="00DF1803" w:rsidP="003B0893">
            <w:pPr>
              <w:pStyle w:val="ListParagraph"/>
              <w:numPr>
                <w:ilvl w:val="0"/>
                <w:numId w:val="22"/>
              </w:numPr>
              <w:jc w:val="both"/>
            </w:pPr>
            <w:r w:rsidRPr="003B0893">
              <w:t>Les chefs des juridictions dans les TR qui confient l’exécution aux administratifs ou aux Bashingantahe ou même aux parties elles-mêmes (TR Rango,).</w:t>
            </w:r>
          </w:p>
          <w:p w:rsidR="00DE474A" w:rsidRPr="003B0893" w:rsidRDefault="00DE474A" w:rsidP="003B0893">
            <w:pPr>
              <w:pStyle w:val="ListParagraph"/>
              <w:numPr>
                <w:ilvl w:val="0"/>
                <w:numId w:val="22"/>
              </w:numPr>
              <w:jc w:val="both"/>
            </w:pPr>
            <w:r w:rsidRPr="003B0893">
              <w:t>Conception des plans des descentes irréalistes par certains chefs de services</w:t>
            </w:r>
          </w:p>
          <w:p w:rsidR="00DE474A" w:rsidRPr="003B0893" w:rsidRDefault="00DE474A" w:rsidP="003B0893">
            <w:pPr>
              <w:pStyle w:val="ListParagraph"/>
              <w:numPr>
                <w:ilvl w:val="0"/>
                <w:numId w:val="22"/>
              </w:numPr>
              <w:jc w:val="both"/>
            </w:pPr>
            <w:r w:rsidRPr="003B0893">
              <w:t>Transmission tardive des plans de descentes par les chefs des juridictions</w:t>
            </w:r>
          </w:p>
          <w:p w:rsidR="00A24073" w:rsidRPr="003B0893" w:rsidRDefault="00A24073" w:rsidP="003B0893">
            <w:pPr>
              <w:pStyle w:val="ListParagraph"/>
              <w:numPr>
                <w:ilvl w:val="0"/>
                <w:numId w:val="22"/>
              </w:numPr>
              <w:jc w:val="both"/>
            </w:pPr>
            <w:r w:rsidRPr="003B0893">
              <w:t>Production tardive des rapports de missions par la commission de suivi de la campagne</w:t>
            </w:r>
          </w:p>
          <w:p w:rsidR="00DE474A" w:rsidRPr="003B0893" w:rsidRDefault="00DE474A" w:rsidP="003B0893">
            <w:pPr>
              <w:pStyle w:val="ListParagraph"/>
              <w:numPr>
                <w:ilvl w:val="0"/>
                <w:numId w:val="22"/>
              </w:numPr>
              <w:jc w:val="both"/>
            </w:pPr>
            <w:r w:rsidRPr="003B0893">
              <w:t>Délivrance tardive des PV d’exécution dans certains tribunaux de résidence</w:t>
            </w:r>
          </w:p>
          <w:p w:rsidR="00DE474A" w:rsidRPr="003B0893" w:rsidRDefault="00DE474A" w:rsidP="00DE474A">
            <w:pPr>
              <w:rPr>
                <w:rFonts w:ascii="Times New Roman" w:hAnsi="Times New Roman"/>
                <w:sz w:val="24"/>
                <w:szCs w:val="24"/>
                <w:lang w:val="fr-FR"/>
              </w:rPr>
            </w:pPr>
          </w:p>
          <w:p w:rsidR="004045DB" w:rsidRPr="003B0893" w:rsidRDefault="004045DB" w:rsidP="00DF180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B0893">
              <w:rPr>
                <w:b/>
              </w:rPr>
              <w:t xml:space="preserve">Les voies et moyens pour réduire le coût tout en privilégiant l’efficacité </w:t>
            </w:r>
          </w:p>
          <w:p w:rsidR="00DE474A" w:rsidRPr="003B0893" w:rsidRDefault="00DE474A" w:rsidP="00DE47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bCs/>
              </w:rPr>
            </w:pPr>
          </w:p>
          <w:p w:rsidR="00DE474A" w:rsidRPr="003B0893" w:rsidRDefault="00DE474A" w:rsidP="003B089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Conception des plans des descentes réalistes et à temps en précisant les distances approximatives entre le lieu du Tribunal et le lieu d’exécution</w:t>
            </w:r>
          </w:p>
          <w:p w:rsidR="00DE474A" w:rsidRPr="003B0893" w:rsidRDefault="00DE474A" w:rsidP="003B089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Combiner les descentes pour les affaires dont les constats, les exécutions et les vérifications dans des zones rapprochées.</w:t>
            </w:r>
          </w:p>
          <w:p w:rsidR="00DE474A" w:rsidRPr="003B0893" w:rsidRDefault="00DE474A" w:rsidP="003B089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Utiliser les véhicules et les motos de la juridiction là où c’est possible</w:t>
            </w:r>
          </w:p>
          <w:p w:rsidR="00DE474A" w:rsidRPr="003B0893" w:rsidRDefault="00DE474A" w:rsidP="00DE47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bCs/>
              </w:rPr>
            </w:pPr>
          </w:p>
          <w:p w:rsidR="004045DB" w:rsidRPr="003B0893" w:rsidRDefault="004045DB" w:rsidP="00DF180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rPr>
                <w:b/>
              </w:rPr>
              <w:t>Les témoignages des  participants  sur l’impact de la campagne sur la consolidation de la paix sociale.</w:t>
            </w:r>
          </w:p>
          <w:p w:rsidR="00DF1803" w:rsidRPr="003B0893" w:rsidRDefault="00DF1803" w:rsidP="00DF18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b/>
              </w:rPr>
            </w:pPr>
          </w:p>
          <w:p w:rsidR="00DF1803" w:rsidRPr="003B0893" w:rsidRDefault="00DF1803" w:rsidP="00DF1803">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t>Quatre justiciables ont pu témoigner sur l’impact de la campagne en précisant que</w:t>
            </w:r>
            <w:r w:rsidRPr="003B0893">
              <w:rPr>
                <w:b/>
              </w:rPr>
              <w:t> :</w:t>
            </w:r>
          </w:p>
          <w:p w:rsidR="00DF1803" w:rsidRPr="003B0893" w:rsidRDefault="00DF1803" w:rsidP="00DF180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Les affaires qui dataient de très longtemps</w:t>
            </w:r>
            <w:r w:rsidR="003B0893" w:rsidRPr="003B0893">
              <w:t xml:space="preserve"> ont été presque tous vidées </w:t>
            </w:r>
          </w:p>
          <w:p w:rsidR="003B0893" w:rsidRPr="003B0893" w:rsidRDefault="003B0893" w:rsidP="00DF180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 xml:space="preserve">Les conflits fonciers ont été réduits </w:t>
            </w:r>
          </w:p>
          <w:p w:rsidR="003B0893" w:rsidRPr="003B0893" w:rsidRDefault="003B0893" w:rsidP="00DF180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t>Les doléances au niveau de l’administration et des bashingantahe sont en baisse</w:t>
            </w:r>
            <w:r w:rsidRPr="003B0893">
              <w:rPr>
                <w:b/>
              </w:rPr>
              <w:t xml:space="preserve"> </w:t>
            </w:r>
          </w:p>
          <w:p w:rsidR="003B0893" w:rsidRPr="003B0893" w:rsidRDefault="003B0893" w:rsidP="00695EA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 xml:space="preserve">Certaines familles ont renoué les relations </w:t>
            </w:r>
          </w:p>
          <w:p w:rsidR="00DE474A" w:rsidRPr="003B0893" w:rsidRDefault="00DE474A" w:rsidP="00DE47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p>
          <w:p w:rsidR="004045DB" w:rsidRPr="003B0893" w:rsidRDefault="004045DB" w:rsidP="003B089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
              </w:rPr>
              <w:t xml:space="preserve">Les bonnes pratiques pour l’appropriation des acquis de la campagne </w:t>
            </w:r>
          </w:p>
          <w:p w:rsidR="00DE474A" w:rsidRPr="003B0893" w:rsidRDefault="00DE474A" w:rsidP="00DE47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p>
          <w:p w:rsidR="00DE474A" w:rsidRPr="003B0893" w:rsidRDefault="00DE474A" w:rsidP="003B089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Exécution progressive de jugement dès qu’il est coulé en force de chose  jugée (c’est le cas du Tribunal de Résidence de Rutegama) ;</w:t>
            </w:r>
          </w:p>
          <w:p w:rsidR="00DE474A" w:rsidRPr="003B0893" w:rsidRDefault="00DE474A" w:rsidP="003B089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Meilleure  collaboration entre la Justice et l’Administration ;</w:t>
            </w:r>
          </w:p>
          <w:p w:rsidR="00DE474A" w:rsidRPr="003B0893" w:rsidRDefault="00DE474A" w:rsidP="003B089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Personnel judiciaire consciencieux ;</w:t>
            </w:r>
          </w:p>
          <w:p w:rsidR="00DE474A" w:rsidRPr="003B0893" w:rsidRDefault="00DE474A" w:rsidP="003B089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B0893">
              <w:t>Signification de jugement  sur minute pour faciliter les justiciables dans les délais.</w:t>
            </w:r>
          </w:p>
          <w:p w:rsidR="00DE474A" w:rsidRPr="003B0893" w:rsidRDefault="00DE474A" w:rsidP="003B089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8"/>
              <w:jc w:val="both"/>
            </w:pPr>
          </w:p>
          <w:p w:rsidR="004045DB" w:rsidRPr="003B0893" w:rsidRDefault="004045DB" w:rsidP="003B089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B0893">
              <w:rPr>
                <w:b/>
              </w:rPr>
              <w:t xml:space="preserve">Les stratégies pour la pérennisation des acquis de la campagne  </w:t>
            </w:r>
          </w:p>
          <w:p w:rsidR="004045DB" w:rsidRPr="003B0893" w:rsidRDefault="004045DB" w:rsidP="00747BB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Dupliquer les bonnes pratiques de la Cour d’ Appel de Ngozi qui a été classé première et dyu Tribunal de résidence de Rutegama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Redéploiement </w:t>
            </w:r>
            <w:r w:rsidR="003B0893" w:rsidRPr="003B0893">
              <w:rPr>
                <w:bCs/>
              </w:rPr>
              <w:t>du personnel dans les juridictions qui souffre du manque de personnel</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Renforcer le système d’Inspection et d’encadrement des juridictions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Mettre en place des outils appropriés de contrôle et d’évaluation des services judiciaires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Sensibiliser les Magistrats quant à leur </w:t>
            </w:r>
            <w:r w:rsidR="003B0893" w:rsidRPr="003B0893">
              <w:rPr>
                <w:bCs/>
              </w:rPr>
              <w:t>rôle</w:t>
            </w:r>
            <w:r w:rsidRPr="003B0893">
              <w:rPr>
                <w:bCs/>
              </w:rPr>
              <w:t xml:space="preserve">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Sanctionner sévèrement les Magistrats </w:t>
            </w:r>
            <w:r w:rsidR="003B0893" w:rsidRPr="003B0893">
              <w:rPr>
                <w:bCs/>
              </w:rPr>
              <w:t xml:space="preserve">et AOJ </w:t>
            </w:r>
            <w:r w:rsidRPr="003B0893">
              <w:rPr>
                <w:bCs/>
              </w:rPr>
              <w:t>qui se méconduisent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Renforcer les capacités des acteurs judiciaires en  matières d’exécution de jugement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Mise en place d’une circulaire sur la signification des jugements sur minute afin d’harmoniser les pratiques.</w:t>
            </w:r>
          </w:p>
          <w:p w:rsidR="00DE474A" w:rsidRPr="003B0893" w:rsidRDefault="003B0893"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Adopter</w:t>
            </w:r>
            <w:r w:rsidR="00DE474A" w:rsidRPr="003B0893">
              <w:rPr>
                <w:bCs/>
              </w:rPr>
              <w:t xml:space="preserve"> la méthode de FIFO (First in  First out)</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Renforcement de la coopération avec l’Administration </w:t>
            </w:r>
          </w:p>
          <w:p w:rsidR="00DE474A" w:rsidRPr="003B0893" w:rsidRDefault="00DE474A" w:rsidP="003B089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B0893">
              <w:rPr>
                <w:bCs/>
              </w:rPr>
              <w:t xml:space="preserve">Régularité et ponctualité au service </w:t>
            </w:r>
          </w:p>
          <w:p w:rsidR="00496007" w:rsidRPr="003B0893" w:rsidRDefault="00073BF8" w:rsidP="00B96879">
            <w:pPr>
              <w:pStyle w:val="NormalWeb"/>
              <w:ind w:left="1050"/>
              <w:jc w:val="both"/>
              <w:rPr>
                <w:rFonts w:eastAsia="Times New Roman"/>
                <w:bCs/>
                <w:lang w:val="fr-FR"/>
              </w:rPr>
            </w:pPr>
            <w:r w:rsidRPr="003B0893">
              <w:rPr>
                <w:rFonts w:eastAsia="Times New Roman"/>
                <w:bCs/>
                <w:lang w:val="fr-FR"/>
              </w:rPr>
              <w:t xml:space="preserve"> </w:t>
            </w:r>
            <w:r w:rsidR="00496007" w:rsidRPr="003B0893">
              <w:rPr>
                <w:rFonts w:eastAsia="Times New Roman"/>
                <w:bCs/>
                <w:lang w:val="fr-FR"/>
              </w:rPr>
              <w:t xml:space="preserve"> Rapporteur : Patricia Ntahorubuze </w:t>
            </w:r>
          </w:p>
          <w:p w:rsidR="00496007" w:rsidRDefault="00073BF8" w:rsidP="003B0893">
            <w:pPr>
              <w:pStyle w:val="NormalWeb"/>
              <w:ind w:left="1050"/>
              <w:jc w:val="both"/>
              <w:rPr>
                <w:rFonts w:eastAsia="Times New Roman"/>
                <w:bCs/>
                <w:lang w:val="fr-FR"/>
              </w:rPr>
            </w:pPr>
            <w:r w:rsidRPr="003B0893">
              <w:rPr>
                <w:rFonts w:eastAsia="Times New Roman"/>
                <w:bCs/>
                <w:lang w:val="fr-FR"/>
              </w:rPr>
              <w:t xml:space="preserve"> Approuvé par </w:t>
            </w:r>
            <w:r w:rsidR="003B0893" w:rsidRPr="003B0893">
              <w:rPr>
                <w:rFonts w:eastAsia="Times New Roman"/>
                <w:bCs/>
                <w:lang w:val="fr-FR"/>
              </w:rPr>
              <w:t>Rose Nitunga</w:t>
            </w:r>
          </w:p>
          <w:p w:rsidR="003B0893" w:rsidRPr="003B0893" w:rsidRDefault="003B0893" w:rsidP="003B0893">
            <w:pPr>
              <w:pStyle w:val="NormalWeb"/>
              <w:ind w:left="1050"/>
              <w:jc w:val="both"/>
              <w:rPr>
                <w:bCs/>
                <w:lang w:val="fr-FR"/>
              </w:rPr>
            </w:pPr>
          </w:p>
        </w:tc>
      </w:tr>
    </w:tbl>
    <w:p w:rsidR="00C17FB9" w:rsidRPr="003B0893" w:rsidRDefault="00C17FB9" w:rsidP="00B96879">
      <w:pPr>
        <w:pStyle w:val="TOAHeading"/>
        <w:tabs>
          <w:tab w:val="clear" w:pos="9000"/>
          <w:tab w:val="clear" w:pos="9360"/>
          <w:tab w:val="left" w:pos="-720"/>
        </w:tabs>
        <w:jc w:val="both"/>
        <w:rPr>
          <w:rFonts w:ascii="Times New Roman" w:hAnsi="Times New Roman"/>
          <w:sz w:val="24"/>
          <w:szCs w:val="24"/>
          <w:lang w:val="fr-FR"/>
        </w:rPr>
      </w:pPr>
    </w:p>
    <w:p w:rsidR="004636AB" w:rsidRPr="003B0893" w:rsidRDefault="004636AB" w:rsidP="00B96879">
      <w:pPr>
        <w:jc w:val="both"/>
        <w:rPr>
          <w:rFonts w:ascii="Times New Roman" w:hAnsi="Times New Roman"/>
          <w:sz w:val="24"/>
          <w:szCs w:val="24"/>
          <w:lang w:val="fr-FR"/>
        </w:rPr>
      </w:pPr>
    </w:p>
    <w:p w:rsidR="00417BE6" w:rsidRPr="003B0893" w:rsidRDefault="00417BE6" w:rsidP="00B96879">
      <w:pPr>
        <w:jc w:val="both"/>
        <w:rPr>
          <w:rFonts w:ascii="Times New Roman" w:hAnsi="Times New Roman"/>
          <w:sz w:val="24"/>
          <w:szCs w:val="24"/>
          <w:lang w:val="fr-FR"/>
        </w:rPr>
      </w:pPr>
    </w:p>
    <w:p w:rsidR="00C904F1" w:rsidRPr="003B0893" w:rsidRDefault="00C904F1" w:rsidP="00B96879">
      <w:pPr>
        <w:jc w:val="both"/>
        <w:rPr>
          <w:rFonts w:ascii="Times New Roman" w:hAnsi="Times New Roman"/>
          <w:sz w:val="24"/>
          <w:szCs w:val="24"/>
          <w:lang w:val="fr-FR"/>
        </w:rPr>
      </w:pPr>
    </w:p>
    <w:sectPr w:rsidR="00C904F1" w:rsidRPr="003B0893" w:rsidSect="00537C45">
      <w:endnotePr>
        <w:numFmt w:val="decimal"/>
      </w:endnotePr>
      <w:pgSz w:w="12240" w:h="15840" w:code="1"/>
      <w:pgMar w:top="567" w:right="1134" w:bottom="567" w:left="1134" w:header="289" w:footer="28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CF" w:rsidRDefault="009073CF" w:rsidP="00051888">
      <w:r>
        <w:separator/>
      </w:r>
    </w:p>
  </w:endnote>
  <w:endnote w:type="continuationSeparator" w:id="0">
    <w:p w:rsidR="009073CF" w:rsidRDefault="009073CF" w:rsidP="0005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CF" w:rsidRDefault="009073CF" w:rsidP="00051888">
      <w:r>
        <w:separator/>
      </w:r>
    </w:p>
  </w:footnote>
  <w:footnote w:type="continuationSeparator" w:id="0">
    <w:p w:rsidR="009073CF" w:rsidRDefault="009073CF" w:rsidP="00051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D80"/>
      </v:shape>
    </w:pict>
  </w:numPicBullet>
  <w:abstractNum w:abstractNumId="0" w15:restartNumberingAfterBreak="0">
    <w:nsid w:val="003A5D7B"/>
    <w:multiLevelType w:val="hybridMultilevel"/>
    <w:tmpl w:val="2416C21E"/>
    <w:lvl w:ilvl="0" w:tplc="040C000F">
      <w:start w:val="1"/>
      <w:numFmt w:val="decimal"/>
      <w:lvlText w:val="%1."/>
      <w:lvlJc w:val="left"/>
      <w:pPr>
        <w:ind w:left="1352"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BE341FB"/>
    <w:multiLevelType w:val="hybridMultilevel"/>
    <w:tmpl w:val="66705B9C"/>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878AC"/>
    <w:multiLevelType w:val="hybridMultilevel"/>
    <w:tmpl w:val="70E43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C10FD"/>
    <w:multiLevelType w:val="hybridMultilevel"/>
    <w:tmpl w:val="B9BE67B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1D0D6D"/>
    <w:multiLevelType w:val="hybridMultilevel"/>
    <w:tmpl w:val="895C0EF8"/>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4309B5"/>
    <w:multiLevelType w:val="hybridMultilevel"/>
    <w:tmpl w:val="49BC24AC"/>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E34F3B"/>
    <w:multiLevelType w:val="hybridMultilevel"/>
    <w:tmpl w:val="903822E0"/>
    <w:lvl w:ilvl="0" w:tplc="040C000F">
      <w:start w:val="1"/>
      <w:numFmt w:val="decimal"/>
      <w:lvlText w:val="%1."/>
      <w:lvlJc w:val="left"/>
      <w:pPr>
        <w:ind w:left="216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8097D8F"/>
    <w:multiLevelType w:val="hybridMultilevel"/>
    <w:tmpl w:val="771E2084"/>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4D500E"/>
    <w:multiLevelType w:val="hybridMultilevel"/>
    <w:tmpl w:val="9448042E"/>
    <w:lvl w:ilvl="0" w:tplc="C76AA8F0">
      <w:start w:val="2"/>
      <w:numFmt w:val="bullet"/>
      <w:lvlText w:val="-"/>
      <w:lvlJc w:val="left"/>
      <w:pPr>
        <w:ind w:left="720" w:hanging="360"/>
      </w:pPr>
      <w:rPr>
        <w:rFonts w:ascii="Times New Roman" w:eastAsia="Calibri" w:hAnsi="Times New Roman"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03E7E"/>
    <w:multiLevelType w:val="hybridMultilevel"/>
    <w:tmpl w:val="65D61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260BF7"/>
    <w:multiLevelType w:val="hybridMultilevel"/>
    <w:tmpl w:val="499C66B0"/>
    <w:lvl w:ilvl="0" w:tplc="040C0007">
      <w:start w:val="1"/>
      <w:numFmt w:val="bullet"/>
      <w:lvlText w:val=""/>
      <w:lvlPicBulletId w:val="0"/>
      <w:lvlJc w:val="left"/>
      <w:pPr>
        <w:ind w:left="1440" w:hanging="360"/>
      </w:pPr>
      <w:rPr>
        <w:rFonts w:ascii="Symbol" w:hAnsi="Symbol" w:hint="default"/>
      </w:rPr>
    </w:lvl>
    <w:lvl w:ilvl="1" w:tplc="D60AD6FE">
      <w:numFmt w:val="bullet"/>
      <w:lvlText w:val="-"/>
      <w:lvlJc w:val="left"/>
      <w:pPr>
        <w:ind w:left="2160" w:hanging="360"/>
      </w:pPr>
      <w:rPr>
        <w:rFonts w:ascii="CG Times" w:eastAsia="Times New Roman" w:hAnsi="CG Times"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87D1D7A"/>
    <w:multiLevelType w:val="hybridMultilevel"/>
    <w:tmpl w:val="25B85EA4"/>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15:restartNumberingAfterBreak="0">
    <w:nsid w:val="4E0B32F6"/>
    <w:multiLevelType w:val="hybridMultilevel"/>
    <w:tmpl w:val="64E4DF70"/>
    <w:lvl w:ilvl="0" w:tplc="80328144">
      <w:start w:val="1"/>
      <w:numFmt w:val="bullet"/>
      <w:lvlText w:val=""/>
      <w:lvlJc w:val="left"/>
      <w:pPr>
        <w:tabs>
          <w:tab w:val="num" w:pos="720"/>
        </w:tabs>
        <w:ind w:left="720" w:hanging="360"/>
      </w:pPr>
      <w:rPr>
        <w:rFonts w:ascii="Wingdings" w:hAnsi="Wingdings" w:hint="default"/>
      </w:rPr>
    </w:lvl>
    <w:lvl w:ilvl="1" w:tplc="7F649798">
      <w:numFmt w:val="bullet"/>
      <w:lvlText w:val=""/>
      <w:lvlJc w:val="left"/>
      <w:pPr>
        <w:tabs>
          <w:tab w:val="num" w:pos="1440"/>
        </w:tabs>
        <w:ind w:left="1440" w:hanging="360"/>
      </w:pPr>
      <w:rPr>
        <w:rFonts w:ascii="Wingdings 2" w:hAnsi="Wingdings 2" w:hint="default"/>
      </w:rPr>
    </w:lvl>
    <w:lvl w:ilvl="2" w:tplc="51C45C8E" w:tentative="1">
      <w:start w:val="1"/>
      <w:numFmt w:val="bullet"/>
      <w:lvlText w:val=""/>
      <w:lvlJc w:val="left"/>
      <w:pPr>
        <w:tabs>
          <w:tab w:val="num" w:pos="2160"/>
        </w:tabs>
        <w:ind w:left="2160" w:hanging="360"/>
      </w:pPr>
      <w:rPr>
        <w:rFonts w:ascii="Wingdings" w:hAnsi="Wingdings" w:hint="default"/>
      </w:rPr>
    </w:lvl>
    <w:lvl w:ilvl="3" w:tplc="520C1E56" w:tentative="1">
      <w:start w:val="1"/>
      <w:numFmt w:val="bullet"/>
      <w:lvlText w:val=""/>
      <w:lvlJc w:val="left"/>
      <w:pPr>
        <w:tabs>
          <w:tab w:val="num" w:pos="2880"/>
        </w:tabs>
        <w:ind w:left="2880" w:hanging="360"/>
      </w:pPr>
      <w:rPr>
        <w:rFonts w:ascii="Wingdings" w:hAnsi="Wingdings" w:hint="default"/>
      </w:rPr>
    </w:lvl>
    <w:lvl w:ilvl="4" w:tplc="4FF00FC4" w:tentative="1">
      <w:start w:val="1"/>
      <w:numFmt w:val="bullet"/>
      <w:lvlText w:val=""/>
      <w:lvlJc w:val="left"/>
      <w:pPr>
        <w:tabs>
          <w:tab w:val="num" w:pos="3600"/>
        </w:tabs>
        <w:ind w:left="3600" w:hanging="360"/>
      </w:pPr>
      <w:rPr>
        <w:rFonts w:ascii="Wingdings" w:hAnsi="Wingdings" w:hint="default"/>
      </w:rPr>
    </w:lvl>
    <w:lvl w:ilvl="5" w:tplc="59046B68" w:tentative="1">
      <w:start w:val="1"/>
      <w:numFmt w:val="bullet"/>
      <w:lvlText w:val=""/>
      <w:lvlJc w:val="left"/>
      <w:pPr>
        <w:tabs>
          <w:tab w:val="num" w:pos="4320"/>
        </w:tabs>
        <w:ind w:left="4320" w:hanging="360"/>
      </w:pPr>
      <w:rPr>
        <w:rFonts w:ascii="Wingdings" w:hAnsi="Wingdings" w:hint="default"/>
      </w:rPr>
    </w:lvl>
    <w:lvl w:ilvl="6" w:tplc="153C1B64" w:tentative="1">
      <w:start w:val="1"/>
      <w:numFmt w:val="bullet"/>
      <w:lvlText w:val=""/>
      <w:lvlJc w:val="left"/>
      <w:pPr>
        <w:tabs>
          <w:tab w:val="num" w:pos="5040"/>
        </w:tabs>
        <w:ind w:left="5040" w:hanging="360"/>
      </w:pPr>
      <w:rPr>
        <w:rFonts w:ascii="Wingdings" w:hAnsi="Wingdings" w:hint="default"/>
      </w:rPr>
    </w:lvl>
    <w:lvl w:ilvl="7" w:tplc="22405E7E" w:tentative="1">
      <w:start w:val="1"/>
      <w:numFmt w:val="bullet"/>
      <w:lvlText w:val=""/>
      <w:lvlJc w:val="left"/>
      <w:pPr>
        <w:tabs>
          <w:tab w:val="num" w:pos="5760"/>
        </w:tabs>
        <w:ind w:left="5760" w:hanging="360"/>
      </w:pPr>
      <w:rPr>
        <w:rFonts w:ascii="Wingdings" w:hAnsi="Wingdings" w:hint="default"/>
      </w:rPr>
    </w:lvl>
    <w:lvl w:ilvl="8" w:tplc="6B38B4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D344F"/>
    <w:multiLevelType w:val="hybridMultilevel"/>
    <w:tmpl w:val="0158C87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5027655"/>
    <w:multiLevelType w:val="hybridMultilevel"/>
    <w:tmpl w:val="D820CFA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DA02C5"/>
    <w:multiLevelType w:val="hybridMultilevel"/>
    <w:tmpl w:val="D9AE9E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046A19"/>
    <w:multiLevelType w:val="hybridMultilevel"/>
    <w:tmpl w:val="0C2082B8"/>
    <w:lvl w:ilvl="0" w:tplc="00000006">
      <w:start w:val="44"/>
      <w:numFmt w:val="bullet"/>
      <w:lvlText w:val="-"/>
      <w:lvlJc w:val="left"/>
      <w:pPr>
        <w:ind w:left="360" w:hanging="360"/>
      </w:pPr>
      <w:rPr>
        <w:rFonts w:ascii="Arial"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4B07821"/>
    <w:multiLevelType w:val="hybridMultilevel"/>
    <w:tmpl w:val="9D5096E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64A60A6"/>
    <w:multiLevelType w:val="hybridMultilevel"/>
    <w:tmpl w:val="29865B74"/>
    <w:lvl w:ilvl="0" w:tplc="C76AA8F0">
      <w:start w:val="2"/>
      <w:numFmt w:val="bullet"/>
      <w:lvlText w:val="-"/>
      <w:lvlJc w:val="left"/>
      <w:pPr>
        <w:ind w:left="720" w:hanging="360"/>
      </w:pPr>
      <w:rPr>
        <w:rFonts w:ascii="Times New Roman" w:eastAsia="Calibri" w:hAnsi="Times New Roman"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F082A"/>
    <w:multiLevelType w:val="hybridMultilevel"/>
    <w:tmpl w:val="AC4A0E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0D5E9F"/>
    <w:multiLevelType w:val="hybridMultilevel"/>
    <w:tmpl w:val="A1A85B7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F277E78"/>
    <w:multiLevelType w:val="hybridMultilevel"/>
    <w:tmpl w:val="BCF21D0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2" w15:restartNumberingAfterBreak="0">
    <w:nsid w:val="719770C9"/>
    <w:multiLevelType w:val="hybridMultilevel"/>
    <w:tmpl w:val="E24879FE"/>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D722CA"/>
    <w:multiLevelType w:val="hybridMultilevel"/>
    <w:tmpl w:val="8110BB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0"/>
  </w:num>
  <w:num w:numId="4">
    <w:abstractNumId w:val="19"/>
  </w:num>
  <w:num w:numId="5">
    <w:abstractNumId w:val="21"/>
  </w:num>
  <w:num w:numId="6">
    <w:abstractNumId w:val="9"/>
  </w:num>
  <w:num w:numId="7">
    <w:abstractNumId w:val="11"/>
  </w:num>
  <w:num w:numId="8">
    <w:abstractNumId w:val="18"/>
  </w:num>
  <w:num w:numId="9">
    <w:abstractNumId w:val="8"/>
  </w:num>
  <w:num w:numId="10">
    <w:abstractNumId w:val="16"/>
  </w:num>
  <w:num w:numId="11">
    <w:abstractNumId w:val="0"/>
  </w:num>
  <w:num w:numId="12">
    <w:abstractNumId w:val="3"/>
  </w:num>
  <w:num w:numId="13">
    <w:abstractNumId w:val="15"/>
  </w:num>
  <w:num w:numId="14">
    <w:abstractNumId w:val="22"/>
  </w:num>
  <w:num w:numId="15">
    <w:abstractNumId w:val="2"/>
  </w:num>
  <w:num w:numId="16">
    <w:abstractNumId w:val="20"/>
  </w:num>
  <w:num w:numId="17">
    <w:abstractNumId w:val="12"/>
  </w:num>
  <w:num w:numId="18">
    <w:abstractNumId w:val="6"/>
  </w:num>
  <w:num w:numId="19">
    <w:abstractNumId w:val="17"/>
  </w:num>
  <w:num w:numId="20">
    <w:abstractNumId w:val="13"/>
  </w:num>
  <w:num w:numId="21">
    <w:abstractNumId w:val="7"/>
  </w:num>
  <w:num w:numId="22">
    <w:abstractNumId w:val="4"/>
  </w:num>
  <w:num w:numId="23">
    <w:abstractNumId w:val="14"/>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B9"/>
    <w:rsid w:val="00003491"/>
    <w:rsid w:val="0000457F"/>
    <w:rsid w:val="00006183"/>
    <w:rsid w:val="000312BD"/>
    <w:rsid w:val="000436BC"/>
    <w:rsid w:val="00051888"/>
    <w:rsid w:val="000637DB"/>
    <w:rsid w:val="00066281"/>
    <w:rsid w:val="00073BF8"/>
    <w:rsid w:val="00074DEE"/>
    <w:rsid w:val="00076F83"/>
    <w:rsid w:val="000817FC"/>
    <w:rsid w:val="00096267"/>
    <w:rsid w:val="000A3FE6"/>
    <w:rsid w:val="000A6B87"/>
    <w:rsid w:val="000C54E7"/>
    <w:rsid w:val="000E0F38"/>
    <w:rsid w:val="000E7CB0"/>
    <w:rsid w:val="001018AA"/>
    <w:rsid w:val="00110A78"/>
    <w:rsid w:val="001257E1"/>
    <w:rsid w:val="00132457"/>
    <w:rsid w:val="0015177F"/>
    <w:rsid w:val="00167404"/>
    <w:rsid w:val="00171E5B"/>
    <w:rsid w:val="001834AD"/>
    <w:rsid w:val="00186719"/>
    <w:rsid w:val="00195B58"/>
    <w:rsid w:val="001B11D5"/>
    <w:rsid w:val="001B166C"/>
    <w:rsid w:val="001D0B15"/>
    <w:rsid w:val="001F57EF"/>
    <w:rsid w:val="002031D4"/>
    <w:rsid w:val="00225222"/>
    <w:rsid w:val="002420CF"/>
    <w:rsid w:val="00243EF4"/>
    <w:rsid w:val="00244C51"/>
    <w:rsid w:val="00274D92"/>
    <w:rsid w:val="00295455"/>
    <w:rsid w:val="002A01B7"/>
    <w:rsid w:val="002A3A9D"/>
    <w:rsid w:val="002A458E"/>
    <w:rsid w:val="002B0E6B"/>
    <w:rsid w:val="002E072F"/>
    <w:rsid w:val="002E0CD0"/>
    <w:rsid w:val="00311639"/>
    <w:rsid w:val="003129B2"/>
    <w:rsid w:val="00325E51"/>
    <w:rsid w:val="00327B6F"/>
    <w:rsid w:val="0033622F"/>
    <w:rsid w:val="00337501"/>
    <w:rsid w:val="00346988"/>
    <w:rsid w:val="00354F83"/>
    <w:rsid w:val="00366B27"/>
    <w:rsid w:val="0037473E"/>
    <w:rsid w:val="00394323"/>
    <w:rsid w:val="003A747F"/>
    <w:rsid w:val="003B0893"/>
    <w:rsid w:val="003B51D7"/>
    <w:rsid w:val="004045DB"/>
    <w:rsid w:val="00417BE6"/>
    <w:rsid w:val="00431EF6"/>
    <w:rsid w:val="00433D8C"/>
    <w:rsid w:val="00435BAB"/>
    <w:rsid w:val="00447A69"/>
    <w:rsid w:val="004636AB"/>
    <w:rsid w:val="00494AD6"/>
    <w:rsid w:val="00496007"/>
    <w:rsid w:val="00497B2D"/>
    <w:rsid w:val="004A0103"/>
    <w:rsid w:val="004B29CB"/>
    <w:rsid w:val="004C6BF0"/>
    <w:rsid w:val="004D40D7"/>
    <w:rsid w:val="004E5E4C"/>
    <w:rsid w:val="004F3394"/>
    <w:rsid w:val="0050050D"/>
    <w:rsid w:val="005023C5"/>
    <w:rsid w:val="005030AE"/>
    <w:rsid w:val="005125B0"/>
    <w:rsid w:val="005171B6"/>
    <w:rsid w:val="00525CC3"/>
    <w:rsid w:val="0053335C"/>
    <w:rsid w:val="00537C45"/>
    <w:rsid w:val="00553F1C"/>
    <w:rsid w:val="005637BA"/>
    <w:rsid w:val="00577981"/>
    <w:rsid w:val="00583E24"/>
    <w:rsid w:val="005869F8"/>
    <w:rsid w:val="005921C4"/>
    <w:rsid w:val="005A033C"/>
    <w:rsid w:val="005B2A85"/>
    <w:rsid w:val="005C0F6C"/>
    <w:rsid w:val="0060089F"/>
    <w:rsid w:val="00620A5A"/>
    <w:rsid w:val="00631945"/>
    <w:rsid w:val="006415F9"/>
    <w:rsid w:val="006455EC"/>
    <w:rsid w:val="00661F82"/>
    <w:rsid w:val="006652BB"/>
    <w:rsid w:val="00686AD9"/>
    <w:rsid w:val="006B1467"/>
    <w:rsid w:val="006B50F3"/>
    <w:rsid w:val="006C0066"/>
    <w:rsid w:val="006C7D9F"/>
    <w:rsid w:val="006C7E97"/>
    <w:rsid w:val="006C7F1B"/>
    <w:rsid w:val="006D6D45"/>
    <w:rsid w:val="006F3F86"/>
    <w:rsid w:val="0070263F"/>
    <w:rsid w:val="00707912"/>
    <w:rsid w:val="00710712"/>
    <w:rsid w:val="007303FF"/>
    <w:rsid w:val="007337C7"/>
    <w:rsid w:val="00735070"/>
    <w:rsid w:val="00737457"/>
    <w:rsid w:val="0074028B"/>
    <w:rsid w:val="00747BB4"/>
    <w:rsid w:val="00751EEC"/>
    <w:rsid w:val="0077140C"/>
    <w:rsid w:val="00772799"/>
    <w:rsid w:val="00785971"/>
    <w:rsid w:val="007867D6"/>
    <w:rsid w:val="0079145A"/>
    <w:rsid w:val="007A0610"/>
    <w:rsid w:val="007A469B"/>
    <w:rsid w:val="007B3DCA"/>
    <w:rsid w:val="007B776B"/>
    <w:rsid w:val="007C0EAE"/>
    <w:rsid w:val="007C3515"/>
    <w:rsid w:val="00814F38"/>
    <w:rsid w:val="00843BAF"/>
    <w:rsid w:val="00860BB4"/>
    <w:rsid w:val="0087681E"/>
    <w:rsid w:val="008904FD"/>
    <w:rsid w:val="008906C7"/>
    <w:rsid w:val="008A31F0"/>
    <w:rsid w:val="008A4356"/>
    <w:rsid w:val="008A73B7"/>
    <w:rsid w:val="008B5ED0"/>
    <w:rsid w:val="008D6CE8"/>
    <w:rsid w:val="008E61F6"/>
    <w:rsid w:val="008F0DDB"/>
    <w:rsid w:val="008F4ED1"/>
    <w:rsid w:val="009073CF"/>
    <w:rsid w:val="00913FBB"/>
    <w:rsid w:val="00923AC0"/>
    <w:rsid w:val="0092604B"/>
    <w:rsid w:val="00935B34"/>
    <w:rsid w:val="00936E9E"/>
    <w:rsid w:val="00957154"/>
    <w:rsid w:val="00966399"/>
    <w:rsid w:val="00970C48"/>
    <w:rsid w:val="00972242"/>
    <w:rsid w:val="0097401F"/>
    <w:rsid w:val="009A7750"/>
    <w:rsid w:val="009B6ADE"/>
    <w:rsid w:val="009C2A22"/>
    <w:rsid w:val="009C7618"/>
    <w:rsid w:val="009D7BAB"/>
    <w:rsid w:val="00A05CAA"/>
    <w:rsid w:val="00A068C7"/>
    <w:rsid w:val="00A113EB"/>
    <w:rsid w:val="00A17A97"/>
    <w:rsid w:val="00A24073"/>
    <w:rsid w:val="00A30D7F"/>
    <w:rsid w:val="00A30E6D"/>
    <w:rsid w:val="00A400F5"/>
    <w:rsid w:val="00A55FFC"/>
    <w:rsid w:val="00A60B9C"/>
    <w:rsid w:val="00AB2CA5"/>
    <w:rsid w:val="00AB7AB0"/>
    <w:rsid w:val="00AC1B5C"/>
    <w:rsid w:val="00AC2373"/>
    <w:rsid w:val="00AC300E"/>
    <w:rsid w:val="00AD031F"/>
    <w:rsid w:val="00AD33B9"/>
    <w:rsid w:val="00AE419B"/>
    <w:rsid w:val="00B1143F"/>
    <w:rsid w:val="00B164C1"/>
    <w:rsid w:val="00B265A8"/>
    <w:rsid w:val="00B43A39"/>
    <w:rsid w:val="00B47EDD"/>
    <w:rsid w:val="00B5579A"/>
    <w:rsid w:val="00B63203"/>
    <w:rsid w:val="00B63FF0"/>
    <w:rsid w:val="00B664F9"/>
    <w:rsid w:val="00B75DD9"/>
    <w:rsid w:val="00B762F7"/>
    <w:rsid w:val="00B77F78"/>
    <w:rsid w:val="00B8552B"/>
    <w:rsid w:val="00B86E48"/>
    <w:rsid w:val="00B87B84"/>
    <w:rsid w:val="00B96879"/>
    <w:rsid w:val="00BB505F"/>
    <w:rsid w:val="00BC03A4"/>
    <w:rsid w:val="00BC4C1C"/>
    <w:rsid w:val="00BE5E5A"/>
    <w:rsid w:val="00C14864"/>
    <w:rsid w:val="00C17FB9"/>
    <w:rsid w:val="00C2170F"/>
    <w:rsid w:val="00C40FC5"/>
    <w:rsid w:val="00C615C0"/>
    <w:rsid w:val="00C63DBD"/>
    <w:rsid w:val="00C65177"/>
    <w:rsid w:val="00C7175D"/>
    <w:rsid w:val="00C73ABF"/>
    <w:rsid w:val="00C75F13"/>
    <w:rsid w:val="00C8222B"/>
    <w:rsid w:val="00C85FD2"/>
    <w:rsid w:val="00C904F1"/>
    <w:rsid w:val="00C90EA8"/>
    <w:rsid w:val="00CA2585"/>
    <w:rsid w:val="00CB1A25"/>
    <w:rsid w:val="00CB3D41"/>
    <w:rsid w:val="00CD002A"/>
    <w:rsid w:val="00CF025F"/>
    <w:rsid w:val="00CF0796"/>
    <w:rsid w:val="00CF1952"/>
    <w:rsid w:val="00CF3010"/>
    <w:rsid w:val="00D0157E"/>
    <w:rsid w:val="00D228B3"/>
    <w:rsid w:val="00D279B3"/>
    <w:rsid w:val="00D3087B"/>
    <w:rsid w:val="00D419FA"/>
    <w:rsid w:val="00D56E0A"/>
    <w:rsid w:val="00D67BAA"/>
    <w:rsid w:val="00D74490"/>
    <w:rsid w:val="00D7464B"/>
    <w:rsid w:val="00D75727"/>
    <w:rsid w:val="00D80518"/>
    <w:rsid w:val="00D96167"/>
    <w:rsid w:val="00DA0ADE"/>
    <w:rsid w:val="00DA2998"/>
    <w:rsid w:val="00DB18BF"/>
    <w:rsid w:val="00DC10C4"/>
    <w:rsid w:val="00DC52A9"/>
    <w:rsid w:val="00DC79F1"/>
    <w:rsid w:val="00DD2EC6"/>
    <w:rsid w:val="00DD587B"/>
    <w:rsid w:val="00DD7D34"/>
    <w:rsid w:val="00DE3BF1"/>
    <w:rsid w:val="00DE474A"/>
    <w:rsid w:val="00DF1803"/>
    <w:rsid w:val="00E02498"/>
    <w:rsid w:val="00E15087"/>
    <w:rsid w:val="00E20497"/>
    <w:rsid w:val="00E307DF"/>
    <w:rsid w:val="00E4505F"/>
    <w:rsid w:val="00E454E0"/>
    <w:rsid w:val="00E47855"/>
    <w:rsid w:val="00E60192"/>
    <w:rsid w:val="00E62AA4"/>
    <w:rsid w:val="00E66E9F"/>
    <w:rsid w:val="00E714D5"/>
    <w:rsid w:val="00E7551D"/>
    <w:rsid w:val="00E86E32"/>
    <w:rsid w:val="00EE1AB3"/>
    <w:rsid w:val="00EF75D4"/>
    <w:rsid w:val="00F00ECD"/>
    <w:rsid w:val="00F037C7"/>
    <w:rsid w:val="00F06902"/>
    <w:rsid w:val="00F11C00"/>
    <w:rsid w:val="00F27485"/>
    <w:rsid w:val="00F43976"/>
    <w:rsid w:val="00F549AE"/>
    <w:rsid w:val="00F57827"/>
    <w:rsid w:val="00F9514E"/>
    <w:rsid w:val="00F9645D"/>
    <w:rsid w:val="00FA0252"/>
    <w:rsid w:val="00FA262C"/>
    <w:rsid w:val="00FB603A"/>
    <w:rsid w:val="00FC433B"/>
    <w:rsid w:val="00FD07E6"/>
    <w:rsid w:val="00FD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3AF0-FB89-4EDE-8810-5539AB7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FB9"/>
    <w:pPr>
      <w:spacing w:after="0" w:line="240" w:lineRule="auto"/>
    </w:pPr>
    <w:rPr>
      <w:rFonts w:ascii="CG Times" w:eastAsia="Times New Roman" w:hAnsi="CG Times" w:cs="Times New Roman"/>
      <w:szCs w:val="20"/>
      <w:lang w:val="en-US"/>
    </w:rPr>
  </w:style>
  <w:style w:type="paragraph" w:styleId="Heading1">
    <w:name w:val="heading 1"/>
    <w:basedOn w:val="Normal"/>
    <w:next w:val="Normal"/>
    <w:link w:val="Heading1Char"/>
    <w:uiPriority w:val="9"/>
    <w:qFormat/>
    <w:rsid w:val="00C651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paragraph" w:styleId="Heading2">
    <w:name w:val="heading 2"/>
    <w:basedOn w:val="Normal"/>
    <w:next w:val="Normal"/>
    <w:link w:val="Heading2Char"/>
    <w:qFormat/>
    <w:rsid w:val="00C17FB9"/>
    <w:pPr>
      <w:keepNext/>
      <w:tabs>
        <w:tab w:val="left" w:pos="-720"/>
      </w:tabs>
      <w:suppressAutoHyphens/>
      <w:spacing w:before="31" w:after="110"/>
      <w:outlineLvl w:val="1"/>
    </w:pPr>
    <w:rPr>
      <w:rFonts w:ascii="Times New Roman" w:hAnsi="Times New Roman"/>
      <w:b/>
      <w:sz w:val="20"/>
    </w:rPr>
  </w:style>
  <w:style w:type="paragraph" w:styleId="Heading3">
    <w:name w:val="heading 3"/>
    <w:basedOn w:val="Normal"/>
    <w:next w:val="Normal"/>
    <w:link w:val="Heading3Char"/>
    <w:qFormat/>
    <w:rsid w:val="00C17FB9"/>
    <w:pPr>
      <w:keepNext/>
      <w:tabs>
        <w:tab w:val="left" w:pos="-720"/>
      </w:tabs>
      <w:suppressAutoHyphens/>
      <w:spacing w:before="31" w:after="110"/>
      <w:outlineLvl w:val="2"/>
    </w:pPr>
    <w:rPr>
      <w:rFonts w:ascii="Times New Roman" w:hAnsi="Times New Roman"/>
      <w:b/>
      <w:bCs/>
      <w:sz w:val="18"/>
    </w:rPr>
  </w:style>
  <w:style w:type="paragraph" w:styleId="Heading4">
    <w:name w:val="heading 4"/>
    <w:basedOn w:val="Normal"/>
    <w:next w:val="Normal"/>
    <w:link w:val="Heading4Char"/>
    <w:qFormat/>
    <w:rsid w:val="00C17FB9"/>
    <w:pPr>
      <w:keepNext/>
      <w:tabs>
        <w:tab w:val="center" w:pos="1910"/>
      </w:tabs>
      <w:suppressAutoHyphens/>
      <w:spacing w:before="31" w:after="110"/>
      <w:jc w:val="center"/>
      <w:outlineLvl w:val="3"/>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FB9"/>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C17FB9"/>
    <w:rPr>
      <w:rFonts w:ascii="Times New Roman" w:eastAsia="Times New Roman" w:hAnsi="Times New Roman" w:cs="Times New Roman"/>
      <w:b/>
      <w:bCs/>
      <w:sz w:val="18"/>
      <w:szCs w:val="20"/>
      <w:lang w:val="en-US"/>
    </w:rPr>
  </w:style>
  <w:style w:type="character" w:customStyle="1" w:styleId="Heading4Char">
    <w:name w:val="Heading 4 Char"/>
    <w:basedOn w:val="DefaultParagraphFont"/>
    <w:link w:val="Heading4"/>
    <w:rsid w:val="00C17FB9"/>
    <w:rPr>
      <w:rFonts w:ascii="Times New Roman" w:eastAsia="Times New Roman" w:hAnsi="Times New Roman" w:cs="Times New Roman"/>
      <w:b/>
      <w:bCs/>
      <w:sz w:val="18"/>
      <w:szCs w:val="20"/>
      <w:lang w:val="en-US"/>
    </w:rPr>
  </w:style>
  <w:style w:type="paragraph" w:styleId="TOAHeading">
    <w:name w:val="toa heading"/>
    <w:basedOn w:val="Normal"/>
    <w:next w:val="Normal"/>
    <w:semiHidden/>
    <w:rsid w:val="00C17FB9"/>
    <w:pPr>
      <w:tabs>
        <w:tab w:val="left" w:pos="9000"/>
        <w:tab w:val="right" w:pos="9360"/>
      </w:tabs>
      <w:suppressAutoHyphens/>
    </w:pPr>
  </w:style>
  <w:style w:type="paragraph" w:customStyle="1" w:styleId="ColorfulList-Accent11">
    <w:name w:val="Colorful List - Accent 11"/>
    <w:basedOn w:val="Normal"/>
    <w:uiPriority w:val="34"/>
    <w:qFormat/>
    <w:rsid w:val="00C17FB9"/>
    <w:pPr>
      <w:ind w:left="720"/>
      <w:contextualSpacing/>
    </w:pPr>
  </w:style>
  <w:style w:type="paragraph" w:styleId="NormalWeb">
    <w:name w:val="Normal (Web)"/>
    <w:basedOn w:val="Normal"/>
    <w:uiPriority w:val="99"/>
    <w:unhideWhenUsed/>
    <w:rsid w:val="00C17FB9"/>
    <w:pPr>
      <w:spacing w:before="100" w:beforeAutospacing="1" w:after="100" w:afterAutospacing="1"/>
    </w:pPr>
    <w:rPr>
      <w:rFonts w:ascii="Times New Roman" w:eastAsia="Calibri" w:hAnsi="Times New Roman"/>
      <w:sz w:val="24"/>
      <w:szCs w:val="24"/>
    </w:rPr>
  </w:style>
  <w:style w:type="paragraph" w:styleId="ListParagraph">
    <w:name w:val="List Paragraph"/>
    <w:aliases w:val="List Paragraph (numbered (a))"/>
    <w:basedOn w:val="Normal"/>
    <w:link w:val="ListParagraphChar"/>
    <w:uiPriority w:val="34"/>
    <w:qFormat/>
    <w:rsid w:val="00A113EB"/>
    <w:pPr>
      <w:ind w:left="720"/>
      <w:contextualSpacing/>
    </w:pPr>
    <w:rPr>
      <w:rFonts w:ascii="Times New Roman" w:hAnsi="Times New Roman"/>
      <w:sz w:val="24"/>
      <w:szCs w:val="24"/>
      <w:lang w:val="fr-FR" w:eastAsia="fr-FR"/>
    </w:rPr>
  </w:style>
  <w:style w:type="paragraph" w:styleId="HTMLPreformatted">
    <w:name w:val="HTML Preformatted"/>
    <w:basedOn w:val="Normal"/>
    <w:link w:val="HTMLPreformattedChar"/>
    <w:uiPriority w:val="99"/>
    <w:unhideWhenUsed/>
    <w:rsid w:val="00E4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HTMLPreformattedChar">
    <w:name w:val="HTML Preformatted Char"/>
    <w:basedOn w:val="DefaultParagraphFont"/>
    <w:link w:val="HTMLPreformatted"/>
    <w:uiPriority w:val="99"/>
    <w:rsid w:val="00E4505F"/>
    <w:rPr>
      <w:rFonts w:ascii="Courier New" w:eastAsia="Times New Roman" w:hAnsi="Courier New" w:cs="Courier New"/>
      <w:sz w:val="20"/>
      <w:szCs w:val="20"/>
      <w:lang w:eastAsia="fr-FR"/>
    </w:rPr>
  </w:style>
  <w:style w:type="paragraph" w:styleId="BalloonText">
    <w:name w:val="Balloon Text"/>
    <w:basedOn w:val="Normal"/>
    <w:link w:val="BalloonTextChar"/>
    <w:uiPriority w:val="99"/>
    <w:semiHidden/>
    <w:unhideWhenUsed/>
    <w:rsid w:val="00F06902"/>
    <w:rPr>
      <w:rFonts w:ascii="Tahoma" w:hAnsi="Tahoma" w:cs="Tahoma"/>
      <w:sz w:val="16"/>
      <w:szCs w:val="16"/>
    </w:rPr>
  </w:style>
  <w:style w:type="character" w:customStyle="1" w:styleId="BalloonTextChar">
    <w:name w:val="Balloon Text Char"/>
    <w:basedOn w:val="DefaultParagraphFont"/>
    <w:link w:val="BalloonText"/>
    <w:uiPriority w:val="99"/>
    <w:semiHidden/>
    <w:rsid w:val="00F069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06902"/>
    <w:rPr>
      <w:sz w:val="16"/>
      <w:szCs w:val="16"/>
    </w:rPr>
  </w:style>
  <w:style w:type="paragraph" w:styleId="CommentText">
    <w:name w:val="annotation text"/>
    <w:basedOn w:val="Normal"/>
    <w:link w:val="CommentTextChar"/>
    <w:uiPriority w:val="99"/>
    <w:semiHidden/>
    <w:unhideWhenUsed/>
    <w:rsid w:val="00F06902"/>
    <w:rPr>
      <w:sz w:val="20"/>
    </w:rPr>
  </w:style>
  <w:style w:type="character" w:customStyle="1" w:styleId="CommentTextChar">
    <w:name w:val="Comment Text Char"/>
    <w:basedOn w:val="DefaultParagraphFont"/>
    <w:link w:val="CommentText"/>
    <w:uiPriority w:val="99"/>
    <w:semiHidden/>
    <w:rsid w:val="00F06902"/>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6902"/>
    <w:rPr>
      <w:b/>
      <w:bCs/>
    </w:rPr>
  </w:style>
  <w:style w:type="character" w:customStyle="1" w:styleId="CommentSubjectChar">
    <w:name w:val="Comment Subject Char"/>
    <w:basedOn w:val="CommentTextChar"/>
    <w:link w:val="CommentSubject"/>
    <w:uiPriority w:val="99"/>
    <w:semiHidden/>
    <w:rsid w:val="00F06902"/>
    <w:rPr>
      <w:rFonts w:ascii="CG Times" w:eastAsia="Times New Roman" w:hAnsi="CG Times" w:cs="Times New Roman"/>
      <w:b/>
      <w:bCs/>
      <w:sz w:val="20"/>
      <w:szCs w:val="20"/>
      <w:lang w:val="en-US"/>
    </w:rPr>
  </w:style>
  <w:style w:type="paragraph" w:styleId="FootnoteText">
    <w:name w:val="footnote text"/>
    <w:basedOn w:val="Normal"/>
    <w:link w:val="FootnoteTextChar"/>
    <w:uiPriority w:val="99"/>
    <w:semiHidden/>
    <w:unhideWhenUsed/>
    <w:rsid w:val="00051888"/>
    <w:rPr>
      <w:sz w:val="20"/>
    </w:rPr>
  </w:style>
  <w:style w:type="character" w:customStyle="1" w:styleId="FootnoteTextChar">
    <w:name w:val="Footnote Text Char"/>
    <w:basedOn w:val="DefaultParagraphFont"/>
    <w:link w:val="FootnoteText"/>
    <w:uiPriority w:val="99"/>
    <w:semiHidden/>
    <w:rsid w:val="00051888"/>
    <w:rPr>
      <w:rFonts w:ascii="CG Times" w:eastAsia="Times New Roman" w:hAnsi="CG Times" w:cs="Times New Roman"/>
      <w:sz w:val="20"/>
      <w:szCs w:val="20"/>
      <w:lang w:val="en-US"/>
    </w:rPr>
  </w:style>
  <w:style w:type="character" w:styleId="FootnoteReference">
    <w:name w:val="footnote reference"/>
    <w:basedOn w:val="DefaultParagraphFont"/>
    <w:uiPriority w:val="99"/>
    <w:semiHidden/>
    <w:unhideWhenUsed/>
    <w:rsid w:val="00051888"/>
    <w:rPr>
      <w:vertAlign w:val="superscript"/>
    </w:rPr>
  </w:style>
  <w:style w:type="character" w:customStyle="1" w:styleId="Heading1Char">
    <w:name w:val="Heading 1 Char"/>
    <w:basedOn w:val="DefaultParagraphFont"/>
    <w:link w:val="Heading1"/>
    <w:uiPriority w:val="9"/>
    <w:rsid w:val="00C65177"/>
    <w:rPr>
      <w:rFonts w:asciiTheme="majorHAnsi" w:eastAsiaTheme="majorEastAsia" w:hAnsiTheme="majorHAnsi" w:cstheme="majorBidi"/>
      <w:b/>
      <w:bCs/>
      <w:color w:val="365F91" w:themeColor="accent1" w:themeShade="BF"/>
      <w:sz w:val="28"/>
      <w:szCs w:val="28"/>
      <w:lang w:eastAsia="fr-FR"/>
    </w:rPr>
  </w:style>
  <w:style w:type="table" w:styleId="TableGrid">
    <w:name w:val="Table Grid"/>
    <w:basedOn w:val="TableNormal"/>
    <w:uiPriority w:val="59"/>
    <w:rsid w:val="00E7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w:link w:val="ListParagraph"/>
    <w:uiPriority w:val="34"/>
    <w:locked/>
    <w:rsid w:val="001018A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1347">
      <w:bodyDiv w:val="1"/>
      <w:marLeft w:val="0"/>
      <w:marRight w:val="0"/>
      <w:marTop w:val="0"/>
      <w:marBottom w:val="0"/>
      <w:divBdr>
        <w:top w:val="none" w:sz="0" w:space="0" w:color="auto"/>
        <w:left w:val="none" w:sz="0" w:space="0" w:color="auto"/>
        <w:bottom w:val="none" w:sz="0" w:space="0" w:color="auto"/>
        <w:right w:val="none" w:sz="0" w:space="0" w:color="auto"/>
      </w:divBdr>
      <w:divsChild>
        <w:div w:id="1286736159">
          <w:marLeft w:val="547"/>
          <w:marRight w:val="0"/>
          <w:marTop w:val="0"/>
          <w:marBottom w:val="0"/>
          <w:divBdr>
            <w:top w:val="none" w:sz="0" w:space="0" w:color="auto"/>
            <w:left w:val="none" w:sz="0" w:space="0" w:color="auto"/>
            <w:bottom w:val="none" w:sz="0" w:space="0" w:color="auto"/>
            <w:right w:val="none" w:sz="0" w:space="0" w:color="auto"/>
          </w:divBdr>
        </w:div>
        <w:div w:id="1457334170">
          <w:marLeft w:val="547"/>
          <w:marRight w:val="0"/>
          <w:marTop w:val="0"/>
          <w:marBottom w:val="0"/>
          <w:divBdr>
            <w:top w:val="none" w:sz="0" w:space="0" w:color="auto"/>
            <w:left w:val="none" w:sz="0" w:space="0" w:color="auto"/>
            <w:bottom w:val="none" w:sz="0" w:space="0" w:color="auto"/>
            <w:right w:val="none" w:sz="0" w:space="0" w:color="auto"/>
          </w:divBdr>
        </w:div>
      </w:divsChild>
    </w:div>
    <w:div w:id="388695835">
      <w:bodyDiv w:val="1"/>
      <w:marLeft w:val="0"/>
      <w:marRight w:val="0"/>
      <w:marTop w:val="0"/>
      <w:marBottom w:val="0"/>
      <w:divBdr>
        <w:top w:val="none" w:sz="0" w:space="0" w:color="auto"/>
        <w:left w:val="none" w:sz="0" w:space="0" w:color="auto"/>
        <w:bottom w:val="none" w:sz="0" w:space="0" w:color="auto"/>
        <w:right w:val="none" w:sz="0" w:space="0" w:color="auto"/>
      </w:divBdr>
    </w:div>
    <w:div w:id="1126394454">
      <w:bodyDiv w:val="1"/>
      <w:marLeft w:val="0"/>
      <w:marRight w:val="0"/>
      <w:marTop w:val="0"/>
      <w:marBottom w:val="0"/>
      <w:divBdr>
        <w:top w:val="none" w:sz="0" w:space="0" w:color="auto"/>
        <w:left w:val="none" w:sz="0" w:space="0" w:color="auto"/>
        <w:bottom w:val="none" w:sz="0" w:space="0" w:color="auto"/>
        <w:right w:val="none" w:sz="0" w:space="0" w:color="auto"/>
      </w:divBdr>
      <w:divsChild>
        <w:div w:id="51269005">
          <w:marLeft w:val="1166"/>
          <w:marRight w:val="0"/>
          <w:marTop w:val="134"/>
          <w:marBottom w:val="0"/>
          <w:divBdr>
            <w:top w:val="none" w:sz="0" w:space="0" w:color="auto"/>
            <w:left w:val="none" w:sz="0" w:space="0" w:color="auto"/>
            <w:bottom w:val="none" w:sz="0" w:space="0" w:color="auto"/>
            <w:right w:val="none" w:sz="0" w:space="0" w:color="auto"/>
          </w:divBdr>
        </w:div>
        <w:div w:id="151986770">
          <w:marLeft w:val="1166"/>
          <w:marRight w:val="0"/>
          <w:marTop w:val="134"/>
          <w:marBottom w:val="0"/>
          <w:divBdr>
            <w:top w:val="none" w:sz="0" w:space="0" w:color="auto"/>
            <w:left w:val="none" w:sz="0" w:space="0" w:color="auto"/>
            <w:bottom w:val="none" w:sz="0" w:space="0" w:color="auto"/>
            <w:right w:val="none" w:sz="0" w:space="0" w:color="auto"/>
          </w:divBdr>
        </w:div>
        <w:div w:id="390351332">
          <w:marLeft w:val="1166"/>
          <w:marRight w:val="0"/>
          <w:marTop w:val="134"/>
          <w:marBottom w:val="0"/>
          <w:divBdr>
            <w:top w:val="none" w:sz="0" w:space="0" w:color="auto"/>
            <w:left w:val="none" w:sz="0" w:space="0" w:color="auto"/>
            <w:bottom w:val="none" w:sz="0" w:space="0" w:color="auto"/>
            <w:right w:val="none" w:sz="0" w:space="0" w:color="auto"/>
          </w:divBdr>
        </w:div>
        <w:div w:id="396364905">
          <w:marLeft w:val="1166"/>
          <w:marRight w:val="0"/>
          <w:marTop w:val="134"/>
          <w:marBottom w:val="0"/>
          <w:divBdr>
            <w:top w:val="none" w:sz="0" w:space="0" w:color="auto"/>
            <w:left w:val="none" w:sz="0" w:space="0" w:color="auto"/>
            <w:bottom w:val="none" w:sz="0" w:space="0" w:color="auto"/>
            <w:right w:val="none" w:sz="0" w:space="0" w:color="auto"/>
          </w:divBdr>
        </w:div>
        <w:div w:id="1356426587">
          <w:marLeft w:val="1166"/>
          <w:marRight w:val="0"/>
          <w:marTop w:val="134"/>
          <w:marBottom w:val="0"/>
          <w:divBdr>
            <w:top w:val="none" w:sz="0" w:space="0" w:color="auto"/>
            <w:left w:val="none" w:sz="0" w:space="0" w:color="auto"/>
            <w:bottom w:val="none" w:sz="0" w:space="0" w:color="auto"/>
            <w:right w:val="none" w:sz="0" w:space="0" w:color="auto"/>
          </w:divBdr>
        </w:div>
        <w:div w:id="1534997731">
          <w:marLeft w:val="547"/>
          <w:marRight w:val="0"/>
          <w:marTop w:val="154"/>
          <w:marBottom w:val="0"/>
          <w:divBdr>
            <w:top w:val="none" w:sz="0" w:space="0" w:color="auto"/>
            <w:left w:val="none" w:sz="0" w:space="0" w:color="auto"/>
            <w:bottom w:val="none" w:sz="0" w:space="0" w:color="auto"/>
            <w:right w:val="none" w:sz="0" w:space="0" w:color="auto"/>
          </w:divBdr>
        </w:div>
        <w:div w:id="1797290654">
          <w:marLeft w:val="1166"/>
          <w:marRight w:val="0"/>
          <w:marTop w:val="134"/>
          <w:marBottom w:val="0"/>
          <w:divBdr>
            <w:top w:val="none" w:sz="0" w:space="0" w:color="auto"/>
            <w:left w:val="none" w:sz="0" w:space="0" w:color="auto"/>
            <w:bottom w:val="none" w:sz="0" w:space="0" w:color="auto"/>
            <w:right w:val="none" w:sz="0" w:space="0" w:color="auto"/>
          </w:divBdr>
        </w:div>
        <w:div w:id="1880969404">
          <w:marLeft w:val="1166"/>
          <w:marRight w:val="0"/>
          <w:marTop w:val="134"/>
          <w:marBottom w:val="0"/>
          <w:divBdr>
            <w:top w:val="none" w:sz="0" w:space="0" w:color="auto"/>
            <w:left w:val="none" w:sz="0" w:space="0" w:color="auto"/>
            <w:bottom w:val="none" w:sz="0" w:space="0" w:color="auto"/>
            <w:right w:val="none" w:sz="0" w:space="0" w:color="auto"/>
          </w:divBdr>
        </w:div>
      </w:divsChild>
    </w:div>
    <w:div w:id="1143501953">
      <w:bodyDiv w:val="1"/>
      <w:marLeft w:val="0"/>
      <w:marRight w:val="0"/>
      <w:marTop w:val="0"/>
      <w:marBottom w:val="0"/>
      <w:divBdr>
        <w:top w:val="none" w:sz="0" w:space="0" w:color="auto"/>
        <w:left w:val="none" w:sz="0" w:space="0" w:color="auto"/>
        <w:bottom w:val="none" w:sz="0" w:space="0" w:color="auto"/>
        <w:right w:val="none" w:sz="0" w:space="0" w:color="auto"/>
      </w:divBdr>
      <w:divsChild>
        <w:div w:id="2109962360">
          <w:marLeft w:val="0"/>
          <w:marRight w:val="0"/>
          <w:marTop w:val="0"/>
          <w:marBottom w:val="0"/>
          <w:divBdr>
            <w:top w:val="none" w:sz="0" w:space="0" w:color="auto"/>
            <w:left w:val="none" w:sz="0" w:space="0" w:color="auto"/>
            <w:bottom w:val="none" w:sz="0" w:space="0" w:color="auto"/>
            <w:right w:val="none" w:sz="0" w:space="0" w:color="auto"/>
          </w:divBdr>
        </w:div>
      </w:divsChild>
    </w:div>
    <w:div w:id="1418483918">
      <w:bodyDiv w:val="1"/>
      <w:marLeft w:val="0"/>
      <w:marRight w:val="0"/>
      <w:marTop w:val="0"/>
      <w:marBottom w:val="0"/>
      <w:divBdr>
        <w:top w:val="none" w:sz="0" w:space="0" w:color="auto"/>
        <w:left w:val="none" w:sz="0" w:space="0" w:color="auto"/>
        <w:bottom w:val="none" w:sz="0" w:space="0" w:color="auto"/>
        <w:right w:val="none" w:sz="0" w:space="0" w:color="auto"/>
      </w:divBdr>
    </w:div>
    <w:div w:id="1700743531">
      <w:bodyDiv w:val="1"/>
      <w:marLeft w:val="0"/>
      <w:marRight w:val="0"/>
      <w:marTop w:val="0"/>
      <w:marBottom w:val="0"/>
      <w:divBdr>
        <w:top w:val="none" w:sz="0" w:space="0" w:color="auto"/>
        <w:left w:val="none" w:sz="0" w:space="0" w:color="auto"/>
        <w:bottom w:val="none" w:sz="0" w:space="0" w:color="auto"/>
        <w:right w:val="none" w:sz="0" w:space="0" w:color="auto"/>
      </w:divBdr>
    </w:div>
    <w:div w:id="1818180124">
      <w:bodyDiv w:val="1"/>
      <w:marLeft w:val="0"/>
      <w:marRight w:val="0"/>
      <w:marTop w:val="0"/>
      <w:marBottom w:val="0"/>
      <w:divBdr>
        <w:top w:val="none" w:sz="0" w:space="0" w:color="auto"/>
        <w:left w:val="none" w:sz="0" w:space="0" w:color="auto"/>
        <w:bottom w:val="none" w:sz="0" w:space="0" w:color="auto"/>
        <w:right w:val="none" w:sz="0" w:space="0" w:color="auto"/>
      </w:divBdr>
    </w:div>
    <w:div w:id="1888568466">
      <w:bodyDiv w:val="1"/>
      <w:marLeft w:val="0"/>
      <w:marRight w:val="0"/>
      <w:marTop w:val="0"/>
      <w:marBottom w:val="0"/>
      <w:divBdr>
        <w:top w:val="none" w:sz="0" w:space="0" w:color="auto"/>
        <w:left w:val="none" w:sz="0" w:space="0" w:color="auto"/>
        <w:bottom w:val="none" w:sz="0" w:space="0" w:color="auto"/>
        <w:right w:val="none" w:sz="0" w:space="0" w:color="auto"/>
      </w:divBdr>
      <w:divsChild>
        <w:div w:id="260796638">
          <w:marLeft w:val="432"/>
          <w:marRight w:val="0"/>
          <w:marTop w:val="120"/>
          <w:marBottom w:val="0"/>
          <w:divBdr>
            <w:top w:val="none" w:sz="0" w:space="0" w:color="auto"/>
            <w:left w:val="none" w:sz="0" w:space="0" w:color="auto"/>
            <w:bottom w:val="none" w:sz="0" w:space="0" w:color="auto"/>
            <w:right w:val="none" w:sz="0" w:space="0" w:color="auto"/>
          </w:divBdr>
        </w:div>
        <w:div w:id="1747265699">
          <w:marLeft w:val="1008"/>
          <w:marRight w:val="0"/>
          <w:marTop w:val="134"/>
          <w:marBottom w:val="0"/>
          <w:divBdr>
            <w:top w:val="none" w:sz="0" w:space="0" w:color="auto"/>
            <w:left w:val="none" w:sz="0" w:space="0" w:color="auto"/>
            <w:bottom w:val="none" w:sz="0" w:space="0" w:color="auto"/>
            <w:right w:val="none" w:sz="0" w:space="0" w:color="auto"/>
          </w:divBdr>
        </w:div>
        <w:div w:id="1223247922">
          <w:marLeft w:val="1008"/>
          <w:marRight w:val="0"/>
          <w:marTop w:val="134"/>
          <w:marBottom w:val="0"/>
          <w:divBdr>
            <w:top w:val="none" w:sz="0" w:space="0" w:color="auto"/>
            <w:left w:val="none" w:sz="0" w:space="0" w:color="auto"/>
            <w:bottom w:val="none" w:sz="0" w:space="0" w:color="auto"/>
            <w:right w:val="none" w:sz="0" w:space="0" w:color="auto"/>
          </w:divBdr>
        </w:div>
        <w:div w:id="888227238">
          <w:marLeft w:val="1008"/>
          <w:marRight w:val="0"/>
          <w:marTop w:val="134"/>
          <w:marBottom w:val="0"/>
          <w:divBdr>
            <w:top w:val="none" w:sz="0" w:space="0" w:color="auto"/>
            <w:left w:val="none" w:sz="0" w:space="0" w:color="auto"/>
            <w:bottom w:val="none" w:sz="0" w:space="0" w:color="auto"/>
            <w:right w:val="none" w:sz="0" w:space="0" w:color="auto"/>
          </w:divBdr>
        </w:div>
        <w:div w:id="2146198454">
          <w:marLeft w:val="1008"/>
          <w:marRight w:val="0"/>
          <w:marTop w:val="134"/>
          <w:marBottom w:val="0"/>
          <w:divBdr>
            <w:top w:val="none" w:sz="0" w:space="0" w:color="auto"/>
            <w:left w:val="none" w:sz="0" w:space="0" w:color="auto"/>
            <w:bottom w:val="none" w:sz="0" w:space="0" w:color="auto"/>
            <w:right w:val="none" w:sz="0" w:space="0" w:color="auto"/>
          </w:divBdr>
        </w:div>
      </w:divsChild>
    </w:div>
    <w:div w:id="19204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6924-8F9E-45AF-839F-0B357A86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patricia.ntahorubuze</dc:creator>
  <cp:keywords/>
  <dc:description/>
  <cp:lastModifiedBy>Suzanne Kanyange</cp:lastModifiedBy>
  <cp:revision>2</cp:revision>
  <cp:lastPrinted>2017-09-11T12:56:00Z</cp:lastPrinted>
  <dcterms:created xsi:type="dcterms:W3CDTF">2018-09-07T15:10:00Z</dcterms:created>
  <dcterms:modified xsi:type="dcterms:W3CDTF">2018-09-07T15:10:00Z</dcterms:modified>
</cp:coreProperties>
</file>