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A6" w:rsidRPr="003402A6" w:rsidRDefault="003402A6" w:rsidP="003402A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  <w:r w:rsidRPr="003402A6">
        <w:rPr>
          <w:rFonts w:ascii="Times New Roman" w:eastAsia="Times New Roman" w:hAnsi="Times New Roman" w:cs="Times New Roman"/>
          <w:sz w:val="27"/>
          <w:szCs w:val="27"/>
          <w:lang w:eastAsia="en-ZA"/>
        </w:rPr>
        <w:t>MINISTRY OF AGRICULTURE, WATER AND FORESTRY</w:t>
      </w:r>
    </w:p>
    <w:p w:rsid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621F92" w:rsidRDefault="003402A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>DE</w:t>
      </w:r>
      <w:r w:rsidR="006339F9">
        <w:rPr>
          <w:rFonts w:ascii="Times New Roman" w:eastAsia="Times New Roman" w:hAnsi="Times New Roman" w:cs="Times New Roman"/>
          <w:lang w:eastAsia="en-ZA"/>
        </w:rPr>
        <w:t xml:space="preserve">CLARATION OF AN AREA AS </w:t>
      </w:r>
      <w:r w:rsidR="00013AC4" w:rsidRPr="00013AC4">
        <w:rPr>
          <w:rFonts w:ascii="Times New Roman" w:eastAsia="Times New Roman" w:hAnsi="Times New Roman" w:cs="Times New Roman"/>
          <w:caps/>
          <w:lang w:eastAsia="en-ZA"/>
        </w:rPr>
        <w:t>Omuramba Ua mbinda</w:t>
      </w:r>
      <w:r w:rsidR="00525E94" w:rsidRPr="00525E94">
        <w:rPr>
          <w:rFonts w:ascii="Times New Roman" w:eastAsia="Times New Roman" w:hAnsi="Times New Roman" w:cs="Times New Roman"/>
          <w:caps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>COMMUNITY</w:t>
      </w:r>
      <w:r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 xml:space="preserve">FOREST: </w:t>
      </w:r>
    </w:p>
    <w:p w:rsidR="003402A6" w:rsidRPr="003402A6" w:rsidRDefault="003402A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>FOREST ACT, 2001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 xml:space="preserve">Under 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subsection </w:t>
      </w:r>
      <w:r w:rsidRPr="003402A6">
        <w:rPr>
          <w:rFonts w:ascii="Times New Roman" w:eastAsia="Times New Roman" w:hAnsi="Times New Roman" w:cs="Times New Roman"/>
          <w:lang w:eastAsia="en-ZA"/>
        </w:rPr>
        <w:t>(3) of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 section 15 of</w:t>
      </w:r>
      <w:r w:rsidRPr="003402A6">
        <w:rPr>
          <w:rFonts w:ascii="Times New Roman" w:eastAsia="Times New Roman" w:hAnsi="Times New Roman" w:cs="Times New Roman"/>
          <w:lang w:eastAsia="en-ZA"/>
        </w:rPr>
        <w:t xml:space="preserve"> the Forest Act, 2001 (Act No. 12 of 2001), I declare -</w:t>
      </w: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3402A6" w:rsidP="00013AC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 xml:space="preserve">the area, in respect of which the geographical boundaries have been identified in </w:t>
      </w:r>
      <w:r w:rsidR="006339F9">
        <w:rPr>
          <w:rFonts w:ascii="Times New Roman" w:eastAsia="Times New Roman" w:hAnsi="Times New Roman" w:cs="Times New Roman"/>
          <w:lang w:eastAsia="en-ZA"/>
        </w:rPr>
        <w:t xml:space="preserve">the Schedule, to be the </w:t>
      </w:r>
      <w:r w:rsidR="00013AC4" w:rsidRPr="00013AC4">
        <w:rPr>
          <w:rFonts w:ascii="Times New Roman" w:hAnsi="Times New Roman" w:cs="Times New Roman"/>
        </w:rPr>
        <w:t xml:space="preserve">Omuramba </w:t>
      </w:r>
      <w:proofErr w:type="spellStart"/>
      <w:r w:rsidR="00013AC4" w:rsidRPr="00013AC4">
        <w:rPr>
          <w:rFonts w:ascii="Times New Roman" w:hAnsi="Times New Roman" w:cs="Times New Roman"/>
        </w:rPr>
        <w:t>Ua</w:t>
      </w:r>
      <w:proofErr w:type="spellEnd"/>
      <w:r w:rsidR="00013AC4" w:rsidRPr="00013AC4">
        <w:rPr>
          <w:rFonts w:ascii="Times New Roman" w:hAnsi="Times New Roman" w:cs="Times New Roman"/>
        </w:rPr>
        <w:t xml:space="preserve"> </w:t>
      </w:r>
      <w:proofErr w:type="spellStart"/>
      <w:r w:rsidR="00013AC4" w:rsidRPr="00013AC4">
        <w:rPr>
          <w:rFonts w:ascii="Times New Roman" w:hAnsi="Times New Roman" w:cs="Times New Roman"/>
        </w:rPr>
        <w:t>mbinda</w:t>
      </w:r>
      <w:proofErr w:type="spellEnd"/>
      <w:r w:rsidR="004852BD" w:rsidRPr="005827D1">
        <w:rPr>
          <w:rFonts w:cstheme="minorHAnsi"/>
        </w:rPr>
        <w:t xml:space="preserve"> </w:t>
      </w:r>
      <w:r w:rsidRPr="00621F92">
        <w:rPr>
          <w:rFonts w:ascii="Times New Roman" w:eastAsia="Times New Roman" w:hAnsi="Times New Roman" w:cs="Times New Roman"/>
          <w:lang w:eastAsia="en-ZA"/>
        </w:rPr>
        <w:t>Community Forest; and</w:t>
      </w:r>
    </w:p>
    <w:p w:rsidR="00C640AB" w:rsidRPr="00621F92" w:rsidRDefault="00C640AB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6339F9" w:rsidP="00013AC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ZA"/>
        </w:rPr>
      </w:pPr>
      <w:proofErr w:type="gramStart"/>
      <w:r>
        <w:rPr>
          <w:rFonts w:ascii="Times New Roman" w:eastAsia="Times New Roman" w:hAnsi="Times New Roman" w:cs="Times New Roman"/>
          <w:lang w:eastAsia="en-ZA"/>
        </w:rPr>
        <w:t>that</w:t>
      </w:r>
      <w:proofErr w:type="gramEnd"/>
      <w:r>
        <w:rPr>
          <w:rFonts w:ascii="Times New Roman" w:eastAsia="Times New Roman" w:hAnsi="Times New Roman" w:cs="Times New Roman"/>
          <w:lang w:eastAsia="en-ZA"/>
        </w:rPr>
        <w:t xml:space="preserve"> the </w:t>
      </w:r>
      <w:r w:rsidR="00013AC4" w:rsidRPr="00013AC4">
        <w:rPr>
          <w:rFonts w:ascii="Times New Roman" w:hAnsi="Times New Roman" w:cs="Times New Roman"/>
        </w:rPr>
        <w:t xml:space="preserve">Omuramba </w:t>
      </w:r>
      <w:proofErr w:type="spellStart"/>
      <w:r w:rsidR="00013AC4" w:rsidRPr="00013AC4">
        <w:rPr>
          <w:rFonts w:ascii="Times New Roman" w:hAnsi="Times New Roman" w:cs="Times New Roman"/>
        </w:rPr>
        <w:t>Ua</w:t>
      </w:r>
      <w:proofErr w:type="spellEnd"/>
      <w:r w:rsidR="00013AC4" w:rsidRPr="00013AC4">
        <w:rPr>
          <w:rFonts w:ascii="Times New Roman" w:hAnsi="Times New Roman" w:cs="Times New Roman"/>
        </w:rPr>
        <w:t xml:space="preserve"> </w:t>
      </w:r>
      <w:proofErr w:type="spellStart"/>
      <w:r w:rsidR="00013AC4" w:rsidRPr="00013AC4">
        <w:rPr>
          <w:rFonts w:ascii="Times New Roman" w:hAnsi="Times New Roman" w:cs="Times New Roman"/>
        </w:rPr>
        <w:t>mbinda</w:t>
      </w:r>
      <w:proofErr w:type="spellEnd"/>
      <w:r w:rsidR="004852BD" w:rsidRPr="005827D1">
        <w:rPr>
          <w:rFonts w:cstheme="minorHAnsi"/>
        </w:rPr>
        <w:t xml:space="preserve"> </w:t>
      </w:r>
      <w:r w:rsidR="003402A6" w:rsidRPr="00621F92">
        <w:rPr>
          <w:rFonts w:ascii="Times New Roman" w:eastAsia="Times New Roman" w:hAnsi="Times New Roman" w:cs="Times New Roman"/>
          <w:lang w:eastAsia="en-ZA"/>
        </w:rPr>
        <w:t>Community Forest shall be managed in accordance with the agreement referred to in subsection (1) of that section.</w:t>
      </w: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A map and other information referred to in paragraph (a) lie open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>for inspection by the public during off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ice hours at the offices of the </w:t>
      </w:r>
      <w:r w:rsidRPr="003402A6">
        <w:rPr>
          <w:rFonts w:ascii="Times New Roman" w:eastAsia="Times New Roman" w:hAnsi="Times New Roman" w:cs="Times New Roman"/>
          <w:lang w:eastAsia="en-ZA"/>
        </w:rPr>
        <w:t>Directorate: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Forestry, Government Office Park, Third Floor, </w:t>
      </w:r>
      <w:proofErr w:type="gramStart"/>
      <w:r w:rsidR="00C640AB" w:rsidRPr="00621F92">
        <w:rPr>
          <w:rFonts w:ascii="Times New Roman" w:eastAsia="Times New Roman" w:hAnsi="Times New Roman" w:cs="Times New Roman"/>
          <w:lang w:eastAsia="en-ZA"/>
        </w:rPr>
        <w:t>Room</w:t>
      </w:r>
      <w:proofErr w:type="gramEnd"/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No. …………….</w:t>
      </w:r>
      <w:r w:rsidRPr="003402A6">
        <w:rPr>
          <w:rFonts w:ascii="Times New Roman" w:eastAsia="Times New Roman" w:hAnsi="Times New Roman" w:cs="Times New Roman"/>
          <w:lang w:eastAsia="en-ZA"/>
        </w:rPr>
        <w:t>, Windhoek.</w:t>
      </w: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621F92" w:rsidRPr="003E3C6B" w:rsidRDefault="00621F92" w:rsidP="003E3C6B">
      <w:pPr>
        <w:spacing w:after="120" w:line="240" w:lineRule="auto"/>
        <w:rPr>
          <w:rFonts w:ascii="Times New Roman" w:eastAsia="Times New Roman" w:hAnsi="Times New Roman" w:cs="Times New Roman"/>
          <w:b/>
          <w:lang w:eastAsia="en-ZA"/>
        </w:rPr>
      </w:pPr>
      <w:r w:rsidRPr="003E3C6B">
        <w:rPr>
          <w:rFonts w:ascii="Times New Roman" w:eastAsia="Times New Roman" w:hAnsi="Times New Roman" w:cs="Times New Roman"/>
          <w:b/>
          <w:lang w:eastAsia="en-ZA"/>
        </w:rPr>
        <w:t>Hon. Alpheus G</w:t>
      </w:r>
      <w:proofErr w:type="gramStart"/>
      <w:r w:rsidRPr="003E3C6B">
        <w:rPr>
          <w:rFonts w:ascii="Times New Roman" w:eastAsia="Times New Roman" w:hAnsi="Times New Roman" w:cs="Times New Roman"/>
          <w:b/>
          <w:lang w:eastAsia="en-ZA"/>
        </w:rPr>
        <w:t>. !</w:t>
      </w:r>
      <w:proofErr w:type="spellStart"/>
      <w:proofErr w:type="gramEnd"/>
      <w:r w:rsidRPr="003E3C6B">
        <w:rPr>
          <w:rFonts w:ascii="Times New Roman" w:eastAsia="Times New Roman" w:hAnsi="Times New Roman" w:cs="Times New Roman"/>
          <w:b/>
          <w:lang w:eastAsia="en-ZA"/>
        </w:rPr>
        <w:t>Naruseb</w:t>
      </w:r>
      <w:proofErr w:type="spellEnd"/>
      <w:r w:rsidRPr="003E3C6B">
        <w:rPr>
          <w:rFonts w:ascii="Times New Roman" w:eastAsia="Times New Roman" w:hAnsi="Times New Roman" w:cs="Times New Roman"/>
          <w:b/>
          <w:lang w:eastAsia="en-ZA"/>
        </w:rPr>
        <w:t xml:space="preserve"> 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MINISTER OF AGRICULTURE,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WATER AND FORESTRY</w:t>
      </w:r>
    </w:p>
    <w:p w:rsidR="003402A6" w:rsidRPr="00621F92" w:rsidRDefault="003402A6" w:rsidP="003402A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lang w:eastAsia="en-ZA"/>
        </w:rPr>
      </w:pPr>
      <w:proofErr w:type="gramStart"/>
      <w:r w:rsidRPr="003402A6">
        <w:rPr>
          <w:rFonts w:ascii="Times New Roman" w:eastAsia="Times New Roman" w:hAnsi="Times New Roman" w:cs="Times New Roman"/>
          <w:lang w:eastAsia="en-ZA"/>
        </w:rPr>
        <w:t xml:space="preserve">Windhoek, </w:t>
      </w:r>
      <w:r w:rsidR="00621F92" w:rsidRPr="00621F92">
        <w:rPr>
          <w:rFonts w:ascii="Times New Roman" w:eastAsia="Times New Roman" w:hAnsi="Times New Roman" w:cs="Times New Roman"/>
          <w:lang w:eastAsia="en-ZA"/>
        </w:rPr>
        <w:t>………………….</w:t>
      </w:r>
      <w:proofErr w:type="gramEnd"/>
    </w:p>
    <w:p w:rsidR="003402A6" w:rsidRPr="003402A6" w:rsidRDefault="003402A6" w:rsidP="003402A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3402A6" w:rsidRDefault="003402A6" w:rsidP="003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  <w:r w:rsidRPr="003402A6">
        <w:rPr>
          <w:rFonts w:ascii="Times New Roman" w:eastAsia="Times New Roman" w:hAnsi="Times New Roman" w:cs="Times New Roman"/>
          <w:sz w:val="27"/>
          <w:szCs w:val="27"/>
          <w:lang w:eastAsia="en-ZA"/>
        </w:rPr>
        <w:t>SCHEDULE</w:t>
      </w:r>
    </w:p>
    <w:p w:rsidR="003402A6" w:rsidRPr="003402A6" w:rsidRDefault="003402A6" w:rsidP="003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3402A6" w:rsidRDefault="00F31DFC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>
        <w:rPr>
          <w:rFonts w:ascii="Times New Roman" w:eastAsia="Times New Roman" w:hAnsi="Times New Roman" w:cs="Times New Roman"/>
          <w:lang w:eastAsia="en-ZA"/>
        </w:rPr>
        <w:t>BOUNDARY</w:t>
      </w:r>
      <w:r w:rsidR="003402A6" w:rsidRPr="003402A6">
        <w:rPr>
          <w:rFonts w:ascii="Times New Roman" w:eastAsia="Times New Roman" w:hAnsi="Times New Roman" w:cs="Times New Roman"/>
          <w:lang w:eastAsia="en-ZA"/>
        </w:rPr>
        <w:t xml:space="preserve"> DESCRIPTION OF </w:t>
      </w:r>
      <w:r w:rsidR="00013AC4" w:rsidRPr="00013AC4">
        <w:rPr>
          <w:rFonts w:ascii="Times New Roman" w:hAnsi="Times New Roman" w:cs="Times New Roman"/>
          <w:caps/>
        </w:rPr>
        <w:t>Omuramba Ua mbinda</w:t>
      </w:r>
      <w:r w:rsidR="00525E94">
        <w:rPr>
          <w:rFonts w:ascii="Times New Roman" w:eastAsia="Times New Roman" w:hAnsi="Times New Roman" w:cs="Times New Roman"/>
          <w:lang w:eastAsia="en-ZA"/>
        </w:rPr>
        <w:t xml:space="preserve"> </w:t>
      </w:r>
      <w:r w:rsidR="00621F92">
        <w:rPr>
          <w:rFonts w:ascii="Times New Roman" w:eastAsia="Times New Roman" w:hAnsi="Times New Roman" w:cs="Times New Roman"/>
          <w:lang w:eastAsia="en-ZA"/>
        </w:rPr>
        <w:t>COMMUNITY FOREST:</w:t>
      </w:r>
    </w:p>
    <w:p w:rsidR="00621F92" w:rsidRDefault="007E1AA3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en-ZA"/>
        </w:rPr>
      </w:pPr>
      <w:r>
        <w:rPr>
          <w:rFonts w:ascii="Times New Roman" w:eastAsia="Times New Roman" w:hAnsi="Times New Roman" w:cs="Times New Roman"/>
          <w:caps/>
          <w:lang w:eastAsia="en-ZA"/>
        </w:rPr>
        <w:t xml:space="preserve">Omaheke </w:t>
      </w:r>
      <w:r w:rsidR="00621F92" w:rsidRPr="00621F92">
        <w:rPr>
          <w:rFonts w:ascii="Times New Roman" w:eastAsia="Times New Roman" w:hAnsi="Times New Roman" w:cs="Times New Roman"/>
          <w:caps/>
          <w:lang w:eastAsia="en-ZA"/>
        </w:rPr>
        <w:t>Region</w:t>
      </w:r>
    </w:p>
    <w:p w:rsidR="0086127F" w:rsidRPr="003402A6" w:rsidRDefault="0086127F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en-ZA"/>
        </w:rPr>
      </w:pPr>
    </w:p>
    <w:p w:rsidR="000F76FA" w:rsidRDefault="000F76FA" w:rsidP="000F76FA">
      <w:pPr>
        <w:jc w:val="both"/>
        <w:rPr>
          <w:rFonts w:cstheme="minorHAnsi"/>
          <w:lang w:val="en-US"/>
        </w:rPr>
      </w:pPr>
      <w:r w:rsidRPr="008C53F3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>m</w:t>
      </w:r>
      <w:r w:rsidRPr="008C53F3">
        <w:rPr>
          <w:rFonts w:cstheme="minorHAnsi"/>
          <w:lang w:val="en-US"/>
        </w:rPr>
        <w:t>ura</w:t>
      </w:r>
      <w:r>
        <w:rPr>
          <w:rFonts w:cstheme="minorHAnsi"/>
          <w:lang w:val="en-US"/>
        </w:rPr>
        <w:t xml:space="preserve">mba </w:t>
      </w:r>
      <w:proofErr w:type="spellStart"/>
      <w:r>
        <w:rPr>
          <w:rFonts w:cstheme="minorHAnsi"/>
          <w:lang w:val="en-US"/>
        </w:rPr>
        <w:t>Ua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Mbinda</w:t>
      </w:r>
      <w:proofErr w:type="spellEnd"/>
      <w:r>
        <w:rPr>
          <w:rFonts w:cstheme="minorHAnsi"/>
          <w:lang w:val="en-US"/>
        </w:rPr>
        <w:t xml:space="preserve"> Community Forest is located within the Otjombinde constituency in the Omaheke region</w:t>
      </w:r>
      <w:r w:rsidR="00F31DFC">
        <w:rPr>
          <w:rFonts w:cstheme="minorHAnsi"/>
          <w:lang w:val="en-US"/>
        </w:rPr>
        <w:t>, under the jurisdiction of the Ovaherero Traditional A</w:t>
      </w:r>
      <w:r w:rsidR="00F31DFC" w:rsidRPr="00F31DFC">
        <w:rPr>
          <w:rFonts w:cstheme="minorHAnsi"/>
          <w:lang w:val="en-US"/>
        </w:rPr>
        <w:t>uthorit</w:t>
      </w:r>
      <w:r w:rsidR="00F31DFC">
        <w:rPr>
          <w:rFonts w:cstheme="minorHAnsi"/>
          <w:lang w:val="en-US"/>
        </w:rPr>
        <w:t>y</w:t>
      </w:r>
      <w:r>
        <w:rPr>
          <w:rFonts w:cstheme="minorHAnsi"/>
          <w:lang w:val="en-US"/>
        </w:rPr>
        <w:t xml:space="preserve">. It covers an area of </w:t>
      </w:r>
      <w:r w:rsidR="00F31DFC" w:rsidRPr="00F31DFC">
        <w:rPr>
          <w:rFonts w:cstheme="minorHAnsi"/>
          <w:lang w:val="en-US"/>
        </w:rPr>
        <w:t>38</w:t>
      </w:r>
      <w:r w:rsidR="00F31DFC">
        <w:rPr>
          <w:rFonts w:cstheme="minorHAnsi"/>
          <w:lang w:val="en-US"/>
        </w:rPr>
        <w:t xml:space="preserve"> </w:t>
      </w:r>
      <w:r w:rsidR="00F31DFC" w:rsidRPr="00F31DFC">
        <w:rPr>
          <w:rFonts w:cstheme="minorHAnsi"/>
          <w:lang w:val="en-US"/>
        </w:rPr>
        <w:t>2400</w:t>
      </w:r>
      <w:r w:rsidR="00F31DFC">
        <w:rPr>
          <w:rFonts w:cstheme="minorHAnsi"/>
          <w:lang w:val="en-US"/>
        </w:rPr>
        <w:t xml:space="preserve"> ha </w:t>
      </w:r>
      <w:r>
        <w:rPr>
          <w:rFonts w:cstheme="minorHAnsi"/>
          <w:lang w:val="en-US"/>
        </w:rPr>
        <w:t>with a population of approximately 1, 397 people and 27 villages. The area was declared as a conservancy in 2011.</w:t>
      </w:r>
      <w:bookmarkStart w:id="0" w:name="_GoBack"/>
      <w:bookmarkEnd w:id="0"/>
    </w:p>
    <w:p w:rsidR="000F76FA" w:rsidRPr="00F31DFC" w:rsidRDefault="000F76FA" w:rsidP="00F31DFC">
      <w:pPr>
        <w:spacing w:after="240" w:line="276" w:lineRule="auto"/>
        <w:jc w:val="both"/>
        <w:rPr>
          <w:rFonts w:cstheme="minorHAnsi"/>
        </w:rPr>
      </w:pPr>
      <w:r w:rsidRPr="000F76FA">
        <w:rPr>
          <w:rFonts w:cstheme="minorHAnsi"/>
        </w:rPr>
        <w:t xml:space="preserve">The </w:t>
      </w:r>
      <w:r w:rsidRPr="000F76FA">
        <w:rPr>
          <w:rFonts w:cstheme="minorHAnsi"/>
          <w:lang w:val="en-US"/>
        </w:rPr>
        <w:t xml:space="preserve">Omuramba </w:t>
      </w:r>
      <w:proofErr w:type="spellStart"/>
      <w:r w:rsidRPr="000F76FA">
        <w:rPr>
          <w:rFonts w:cstheme="minorHAnsi"/>
          <w:lang w:val="en-US"/>
        </w:rPr>
        <w:t>Ua</w:t>
      </w:r>
      <w:proofErr w:type="spellEnd"/>
      <w:r w:rsidRPr="000F76FA">
        <w:rPr>
          <w:rFonts w:cstheme="minorHAnsi"/>
          <w:lang w:val="en-US"/>
        </w:rPr>
        <w:t xml:space="preserve"> </w:t>
      </w:r>
      <w:proofErr w:type="spellStart"/>
      <w:r w:rsidRPr="000F76FA">
        <w:rPr>
          <w:rFonts w:cstheme="minorHAnsi"/>
          <w:lang w:val="en-US"/>
        </w:rPr>
        <w:t>Mbinda</w:t>
      </w:r>
      <w:proofErr w:type="spellEnd"/>
      <w:r w:rsidRPr="000F76FA">
        <w:rPr>
          <w:rFonts w:cstheme="minorHAnsi"/>
          <w:lang w:val="en-US"/>
        </w:rPr>
        <w:t xml:space="preserve"> Community</w:t>
      </w:r>
      <w:r>
        <w:rPr>
          <w:rFonts w:cstheme="minorHAnsi"/>
          <w:lang w:val="en-US"/>
        </w:rPr>
        <w:t xml:space="preserve"> Forest</w:t>
      </w:r>
      <w:r w:rsidRPr="000F76FA">
        <w:rPr>
          <w:rFonts w:cstheme="minorHAnsi"/>
        </w:rPr>
        <w:t xml:space="preserve"> borders with Eiseb Conservancy in the north starting at Omuramba </w:t>
      </w:r>
      <w:proofErr w:type="spellStart"/>
      <w:r w:rsidRPr="000F76FA">
        <w:rPr>
          <w:rFonts w:cstheme="minorHAnsi"/>
        </w:rPr>
        <w:t>ua</w:t>
      </w:r>
      <w:proofErr w:type="spellEnd"/>
      <w:r w:rsidRPr="000F76FA">
        <w:rPr>
          <w:rFonts w:cstheme="minorHAnsi"/>
        </w:rPr>
        <w:t xml:space="preserve"> </w:t>
      </w:r>
      <w:proofErr w:type="spellStart"/>
      <w:r w:rsidRPr="000F76FA">
        <w:rPr>
          <w:rFonts w:cstheme="minorHAnsi"/>
        </w:rPr>
        <w:t>Tjora</w:t>
      </w:r>
      <w:proofErr w:type="spellEnd"/>
      <w:r w:rsidRPr="000F76FA">
        <w:rPr>
          <w:rFonts w:cstheme="minorHAnsi"/>
        </w:rPr>
        <w:t xml:space="preserve"> at the quarantine fence separating Omuramba </w:t>
      </w:r>
      <w:proofErr w:type="spellStart"/>
      <w:r w:rsidRPr="000F76FA">
        <w:rPr>
          <w:rFonts w:cstheme="minorHAnsi"/>
        </w:rPr>
        <w:t>ua</w:t>
      </w:r>
      <w:proofErr w:type="spellEnd"/>
      <w:r w:rsidRPr="000F76FA">
        <w:rPr>
          <w:rFonts w:cstheme="minorHAnsi"/>
        </w:rPr>
        <w:t xml:space="preserve"> </w:t>
      </w:r>
      <w:proofErr w:type="spellStart"/>
      <w:r w:rsidRPr="000F76FA">
        <w:rPr>
          <w:rFonts w:cstheme="minorHAnsi"/>
        </w:rPr>
        <w:t>Mbinda</w:t>
      </w:r>
      <w:proofErr w:type="spellEnd"/>
      <w:r w:rsidRPr="000F76FA">
        <w:rPr>
          <w:rFonts w:cstheme="minorHAnsi"/>
        </w:rPr>
        <w:t xml:space="preserve"> and Epukiro (Point A). The boundaries then moves in a north easterly direction to an area between </w:t>
      </w:r>
      <w:proofErr w:type="spellStart"/>
      <w:r w:rsidRPr="000F76FA">
        <w:rPr>
          <w:rFonts w:cstheme="minorHAnsi"/>
        </w:rPr>
        <w:t>oruua</w:t>
      </w:r>
      <w:proofErr w:type="spellEnd"/>
      <w:r w:rsidRPr="000F76FA">
        <w:rPr>
          <w:rFonts w:cstheme="minorHAnsi"/>
        </w:rPr>
        <w:t xml:space="preserve"> </w:t>
      </w:r>
      <w:proofErr w:type="spellStart"/>
      <w:r w:rsidRPr="000F76FA">
        <w:rPr>
          <w:rFonts w:cstheme="minorHAnsi"/>
        </w:rPr>
        <w:t>rondjamao</w:t>
      </w:r>
      <w:proofErr w:type="spellEnd"/>
      <w:r w:rsidRPr="000F76FA">
        <w:rPr>
          <w:rFonts w:cstheme="minorHAnsi"/>
        </w:rPr>
        <w:t xml:space="preserve"> and </w:t>
      </w:r>
      <w:proofErr w:type="spellStart"/>
      <w:r w:rsidRPr="000F76FA">
        <w:rPr>
          <w:rFonts w:cstheme="minorHAnsi"/>
        </w:rPr>
        <w:t>Otjikoto</w:t>
      </w:r>
      <w:proofErr w:type="spellEnd"/>
      <w:r w:rsidRPr="000F76FA">
        <w:rPr>
          <w:rFonts w:cstheme="minorHAnsi"/>
        </w:rPr>
        <w:t xml:space="preserve"> (Point B) and then proceeds east to the national border dividing Namibia and Botswana (Point C). From Point C the boundary follows the national border in a southerly direction to </w:t>
      </w:r>
      <w:proofErr w:type="spellStart"/>
      <w:r w:rsidRPr="000F76FA">
        <w:rPr>
          <w:rFonts w:cstheme="minorHAnsi"/>
        </w:rPr>
        <w:t>Okomukaru</w:t>
      </w:r>
      <w:proofErr w:type="spellEnd"/>
      <w:r w:rsidRPr="000F76FA">
        <w:rPr>
          <w:rFonts w:cstheme="minorHAnsi"/>
        </w:rPr>
        <w:t xml:space="preserve"> (Point D). From Point D the boundary moves in a westerly direction to </w:t>
      </w:r>
      <w:proofErr w:type="spellStart"/>
      <w:r w:rsidRPr="000F76FA">
        <w:rPr>
          <w:rFonts w:cstheme="minorHAnsi"/>
        </w:rPr>
        <w:t>Ourundu</w:t>
      </w:r>
      <w:proofErr w:type="spellEnd"/>
      <w:r w:rsidRPr="000F76FA">
        <w:rPr>
          <w:rFonts w:cstheme="minorHAnsi"/>
        </w:rPr>
        <w:t xml:space="preserve"> (Point E) and then in a northerly direction until point of beginning.</w:t>
      </w:r>
    </w:p>
    <w:p w:rsidR="003E2492" w:rsidRDefault="003E3C6B" w:rsidP="00753A04">
      <w:pPr>
        <w:jc w:val="center"/>
        <w:rPr>
          <w:b/>
          <w:lang w:val="en-GB"/>
        </w:rPr>
      </w:pPr>
      <w:r w:rsidRPr="003E3C6B">
        <w:rPr>
          <w:b/>
          <w:lang w:val="en-GB"/>
        </w:rPr>
        <w:t>Co-ordinates of geo</w:t>
      </w:r>
      <w:r w:rsidR="006339F9">
        <w:rPr>
          <w:b/>
          <w:lang w:val="en-GB"/>
        </w:rPr>
        <w:t xml:space="preserve">graphical boundaries of </w:t>
      </w:r>
      <w:r w:rsidR="00955A12" w:rsidRPr="00955A12">
        <w:rPr>
          <w:b/>
          <w:lang w:val="en-US"/>
        </w:rPr>
        <w:t xml:space="preserve">Omuramba </w:t>
      </w:r>
      <w:proofErr w:type="spellStart"/>
      <w:r w:rsidR="00955A12" w:rsidRPr="00955A12">
        <w:rPr>
          <w:b/>
          <w:lang w:val="en-US"/>
        </w:rPr>
        <w:t>Ua</w:t>
      </w:r>
      <w:proofErr w:type="spellEnd"/>
      <w:r w:rsidR="00955A12" w:rsidRPr="00955A12">
        <w:rPr>
          <w:b/>
          <w:lang w:val="en-US"/>
        </w:rPr>
        <w:t xml:space="preserve"> </w:t>
      </w:r>
      <w:proofErr w:type="spellStart"/>
      <w:r w:rsidR="00955A12" w:rsidRPr="00955A12">
        <w:rPr>
          <w:b/>
          <w:lang w:val="en-US"/>
        </w:rPr>
        <w:t>Mbinda</w:t>
      </w:r>
      <w:proofErr w:type="spellEnd"/>
      <w:r w:rsidR="004852BD" w:rsidRPr="004852BD">
        <w:rPr>
          <w:b/>
        </w:rPr>
        <w:t xml:space="preserve"> </w:t>
      </w:r>
      <w:r w:rsidRPr="003E3C6B">
        <w:rPr>
          <w:b/>
          <w:lang w:val="en-GB"/>
        </w:rPr>
        <w:t>Community Forest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F76FA" w:rsidRPr="002B6E04" w:rsidTr="001E66B7">
        <w:tc>
          <w:tcPr>
            <w:tcW w:w="1803" w:type="dxa"/>
          </w:tcPr>
          <w:p w:rsidR="000F76FA" w:rsidRPr="002B6E04" w:rsidRDefault="000F76FA" w:rsidP="001E66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E04">
              <w:rPr>
                <w:rFonts w:ascii="Times New Roman" w:hAnsi="Times New Roman" w:cs="Times New Roman"/>
                <w:b/>
                <w:sz w:val="24"/>
              </w:rPr>
              <w:t>Point</w:t>
            </w:r>
          </w:p>
        </w:tc>
        <w:tc>
          <w:tcPr>
            <w:tcW w:w="1803" w:type="dxa"/>
          </w:tcPr>
          <w:p w:rsidR="000F76FA" w:rsidRPr="002B6E04" w:rsidRDefault="000F76FA" w:rsidP="001E66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E04">
              <w:rPr>
                <w:rFonts w:ascii="Times New Roman" w:hAnsi="Times New Roman" w:cs="Times New Roman"/>
                <w:b/>
                <w:sz w:val="24"/>
              </w:rPr>
              <w:t>Degree East</w:t>
            </w:r>
          </w:p>
        </w:tc>
        <w:tc>
          <w:tcPr>
            <w:tcW w:w="1803" w:type="dxa"/>
          </w:tcPr>
          <w:p w:rsidR="000F76FA" w:rsidRPr="002B6E04" w:rsidRDefault="000F76FA" w:rsidP="001E66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E04">
              <w:rPr>
                <w:rFonts w:ascii="Times New Roman" w:hAnsi="Times New Roman" w:cs="Times New Roman"/>
                <w:b/>
                <w:sz w:val="24"/>
              </w:rPr>
              <w:t>Minutes East</w:t>
            </w:r>
          </w:p>
        </w:tc>
        <w:tc>
          <w:tcPr>
            <w:tcW w:w="1803" w:type="dxa"/>
          </w:tcPr>
          <w:p w:rsidR="000F76FA" w:rsidRPr="002B6E04" w:rsidRDefault="000F76FA" w:rsidP="001E66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E04">
              <w:rPr>
                <w:rFonts w:ascii="Times New Roman" w:hAnsi="Times New Roman" w:cs="Times New Roman"/>
                <w:b/>
                <w:sz w:val="24"/>
              </w:rPr>
              <w:t>Degree South</w:t>
            </w:r>
          </w:p>
        </w:tc>
        <w:tc>
          <w:tcPr>
            <w:tcW w:w="1804" w:type="dxa"/>
          </w:tcPr>
          <w:p w:rsidR="000F76FA" w:rsidRPr="002B6E04" w:rsidRDefault="000F76FA" w:rsidP="001E66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E04">
              <w:rPr>
                <w:rFonts w:ascii="Times New Roman" w:hAnsi="Times New Roman" w:cs="Times New Roman"/>
                <w:b/>
                <w:sz w:val="24"/>
              </w:rPr>
              <w:t>Minutes South</w:t>
            </w:r>
          </w:p>
        </w:tc>
      </w:tr>
      <w:tr w:rsidR="000F76FA" w:rsidTr="001E66B7"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8.9118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-21</w:t>
            </w:r>
          </w:p>
        </w:tc>
        <w:tc>
          <w:tcPr>
            <w:tcW w:w="1804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14.8728</w:t>
            </w:r>
          </w:p>
        </w:tc>
      </w:tr>
      <w:tr w:rsidR="000F76FA" w:rsidTr="001E66B7"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46.161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-21</w:t>
            </w:r>
          </w:p>
        </w:tc>
        <w:tc>
          <w:tcPr>
            <w:tcW w:w="1804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8.9604</w:t>
            </w:r>
          </w:p>
        </w:tc>
      </w:tr>
      <w:tr w:rsidR="000F76FA" w:rsidTr="001E66B7">
        <w:trPr>
          <w:trHeight w:val="185"/>
        </w:trPr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-20</w:t>
            </w:r>
          </w:p>
        </w:tc>
        <w:tc>
          <w:tcPr>
            <w:tcW w:w="1804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51.3594</w:t>
            </w:r>
          </w:p>
        </w:tc>
      </w:tr>
      <w:tr w:rsidR="000F76FA" w:rsidTr="001E66B7"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-21</w:t>
            </w:r>
          </w:p>
        </w:tc>
        <w:tc>
          <w:tcPr>
            <w:tcW w:w="1804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28.1988</w:t>
            </w:r>
          </w:p>
        </w:tc>
      </w:tr>
      <w:tr w:rsidR="000F76FA" w:rsidTr="001E66B7"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11.4822</w:t>
            </w:r>
          </w:p>
        </w:tc>
        <w:tc>
          <w:tcPr>
            <w:tcW w:w="1803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-21</w:t>
            </w:r>
          </w:p>
        </w:tc>
        <w:tc>
          <w:tcPr>
            <w:tcW w:w="1804" w:type="dxa"/>
          </w:tcPr>
          <w:p w:rsidR="000F76FA" w:rsidRDefault="000F76FA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29.2548</w:t>
            </w:r>
          </w:p>
        </w:tc>
      </w:tr>
    </w:tbl>
    <w:p w:rsidR="00D00217" w:rsidRDefault="00D00217" w:rsidP="0086127F">
      <w:pPr>
        <w:jc w:val="both"/>
      </w:pPr>
    </w:p>
    <w:sectPr w:rsidR="00D00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2A7"/>
    <w:multiLevelType w:val="hybridMultilevel"/>
    <w:tmpl w:val="CA2A674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730"/>
    <w:multiLevelType w:val="hybridMultilevel"/>
    <w:tmpl w:val="091CE9C8"/>
    <w:lvl w:ilvl="0" w:tplc="391AEC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A6"/>
    <w:rsid w:val="00013AC4"/>
    <w:rsid w:val="000F76FA"/>
    <w:rsid w:val="001F14A1"/>
    <w:rsid w:val="00221CE8"/>
    <w:rsid w:val="0023293C"/>
    <w:rsid w:val="002701CD"/>
    <w:rsid w:val="003402A6"/>
    <w:rsid w:val="0036324E"/>
    <w:rsid w:val="003E2492"/>
    <w:rsid w:val="003E3C6B"/>
    <w:rsid w:val="00404ED5"/>
    <w:rsid w:val="00456D82"/>
    <w:rsid w:val="004852BD"/>
    <w:rsid w:val="00525E94"/>
    <w:rsid w:val="005965F6"/>
    <w:rsid w:val="00621F92"/>
    <w:rsid w:val="006339F9"/>
    <w:rsid w:val="00753A04"/>
    <w:rsid w:val="007E1AA3"/>
    <w:rsid w:val="0086127F"/>
    <w:rsid w:val="008C7601"/>
    <w:rsid w:val="00955A12"/>
    <w:rsid w:val="00C640AB"/>
    <w:rsid w:val="00D00217"/>
    <w:rsid w:val="00F25C4A"/>
    <w:rsid w:val="00F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E3EA-B3B9-4108-B270-9BC75B95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6"/>
    <w:pPr>
      <w:ind w:left="720"/>
      <w:contextualSpacing/>
    </w:pPr>
  </w:style>
  <w:style w:type="table" w:styleId="TableGrid">
    <w:name w:val="Table Grid"/>
    <w:basedOn w:val="TableNormal"/>
    <w:uiPriority w:val="39"/>
    <w:rsid w:val="006339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852B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NAC16</b:Tag>
    <b:SourceType>InternetSite</b:SourceType>
    <b:Guid>{2D4BA525-D9B2-4C3D-A49C-E6700BE056B4}</b:Guid>
    <b:Month>August</b:Month>
    <b:Day>10</b:Day>
    <b:URL>http://www.nacso.org.na/dwnlds/refs/SOC2007_profile_Otjituuo.pdf.</b:URL>
    <b:Author>
      <b:Author>
        <b:NameList>
          <b:Person>
            <b:Last>NACSO</b:Last>
          </b:Person>
        </b:NameList>
      </b:Author>
    </b:Author>
    <b:InternetSiteTitle>NACSO</b:InternetSiteTitle>
    <b:Title>Namibia’s communal conservancies. Conservancy profile</b:Title>
    <b:Publisher>NACSO</b:Publisher>
    <b:YearAccessed>2016</b:YearAccessed>
    <b:MonthAccessed>August</b:MonthAccessed>
    <b:DayAccessed>11</b:DayAccessed>
    <b:Year>2007</b:Year>
    <b:RefOrder>3</b:RefOrder>
  </b:Source>
</b:Sources>
</file>

<file path=customXml/itemProps1.xml><?xml version="1.0" encoding="utf-8"?>
<ds:datastoreItem xmlns:ds="http://schemas.openxmlformats.org/officeDocument/2006/customXml" ds:itemID="{4D0DE1C1-BE12-4299-A850-067D8AC1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2018-08-07T08:43:00Z</dcterms:created>
  <dcterms:modified xsi:type="dcterms:W3CDTF">2018-08-07T10:32:00Z</dcterms:modified>
</cp:coreProperties>
</file>