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F8" w:rsidRPr="00D65258" w:rsidRDefault="00E104F8" w:rsidP="00283DB1">
      <w:pPr>
        <w:tabs>
          <w:tab w:val="left" w:pos="1400"/>
        </w:tabs>
        <w:jc w:val="center"/>
        <w:rPr>
          <w:b/>
          <w:sz w:val="22"/>
          <w:szCs w:val="22"/>
          <w:lang w:val="fr-FR"/>
        </w:rPr>
      </w:pPr>
      <w:r w:rsidRPr="00D65258">
        <w:rPr>
          <w:b/>
          <w:sz w:val="22"/>
          <w:szCs w:val="22"/>
          <w:lang w:val="fr-FR"/>
        </w:rPr>
        <w:t>Evaluation Plan Template</w:t>
      </w:r>
      <w:r>
        <w:rPr>
          <w:b/>
          <w:sz w:val="22"/>
          <w:szCs w:val="22"/>
          <w:lang w:val="fr-FR"/>
        </w:rPr>
        <w:t xml:space="preserve"> _ Nouveau Modèle</w:t>
      </w:r>
    </w:p>
    <w:p w:rsidR="00E104F8" w:rsidRPr="00D65258" w:rsidRDefault="00E104F8" w:rsidP="00E104F8">
      <w:pPr>
        <w:tabs>
          <w:tab w:val="left" w:pos="1400"/>
        </w:tabs>
        <w:ind w:left="-720"/>
        <w:rPr>
          <w:b/>
          <w:i/>
          <w:sz w:val="22"/>
          <w:szCs w:val="22"/>
          <w:lang w:val="fr-FR"/>
        </w:rPr>
      </w:pPr>
      <w:r w:rsidRPr="00D65258">
        <w:rPr>
          <w:b/>
          <w:sz w:val="22"/>
          <w:szCs w:val="22"/>
          <w:lang w:val="fr-FR"/>
        </w:rPr>
        <w:t>Plan d’Evaluation: BENIN</w:t>
      </w:r>
      <w:r w:rsidRPr="00D65258">
        <w:rPr>
          <w:b/>
          <w:i/>
          <w:sz w:val="22"/>
          <w:szCs w:val="22"/>
          <w:lang w:val="fr-FR"/>
        </w:rPr>
        <w:t xml:space="preserve"> </w:t>
      </w:r>
    </w:p>
    <w:p w:rsidR="00E104F8" w:rsidRPr="00D65258" w:rsidRDefault="00E104F8" w:rsidP="00E104F8">
      <w:pPr>
        <w:ind w:left="-720"/>
        <w:rPr>
          <w:b/>
          <w:sz w:val="22"/>
          <w:szCs w:val="22"/>
          <w:lang w:val="fr-FR"/>
        </w:rPr>
      </w:pPr>
      <w:r w:rsidRPr="00D65258">
        <w:rPr>
          <w:b/>
          <w:sz w:val="22"/>
          <w:szCs w:val="22"/>
          <w:lang w:val="fr-FR"/>
        </w:rPr>
        <w:t>Cycle de Programmation: 2009- 2013</w:t>
      </w:r>
    </w:p>
    <w:p w:rsidR="00E104F8" w:rsidRPr="00D65258" w:rsidRDefault="00E104F8" w:rsidP="00E104F8">
      <w:pPr>
        <w:ind w:left="-720"/>
        <w:rPr>
          <w:b/>
          <w:sz w:val="22"/>
          <w:szCs w:val="22"/>
          <w:lang w:val="fr-FR"/>
        </w:rPr>
      </w:pPr>
      <w:r w:rsidRPr="00D65258">
        <w:rPr>
          <w:b/>
          <w:sz w:val="22"/>
          <w:szCs w:val="22"/>
          <w:lang w:val="fr-FR"/>
        </w:rPr>
        <w:t>Date: 19 Juin 2009</w:t>
      </w:r>
    </w:p>
    <w:p w:rsidR="00E104F8" w:rsidRDefault="00E104F8" w:rsidP="00E104F8">
      <w:pPr>
        <w:ind w:left="-720"/>
        <w:rPr>
          <w:b/>
          <w:sz w:val="22"/>
          <w:szCs w:val="22"/>
          <w:lang w:val="fr-FR"/>
        </w:rPr>
      </w:pPr>
      <w:r w:rsidRPr="007A02EE">
        <w:rPr>
          <w:b/>
          <w:sz w:val="22"/>
          <w:szCs w:val="22"/>
          <w:lang w:val="fr-FR"/>
        </w:rPr>
        <w:t xml:space="preserve">Date de mise à jour: </w:t>
      </w:r>
      <w:r w:rsidR="002464D0">
        <w:rPr>
          <w:b/>
          <w:sz w:val="22"/>
          <w:szCs w:val="22"/>
          <w:lang w:val="fr-FR"/>
        </w:rPr>
        <w:t>1</w:t>
      </w:r>
      <w:r w:rsidR="00055194">
        <w:rPr>
          <w:b/>
          <w:sz w:val="22"/>
          <w:szCs w:val="22"/>
          <w:lang w:val="fr-FR"/>
        </w:rPr>
        <w:t>5</w:t>
      </w:r>
      <w:r w:rsidR="00D9621F">
        <w:rPr>
          <w:b/>
          <w:sz w:val="22"/>
          <w:szCs w:val="22"/>
          <w:lang w:val="fr-FR"/>
        </w:rPr>
        <w:t xml:space="preserve"> </w:t>
      </w:r>
      <w:r w:rsidR="00055194">
        <w:rPr>
          <w:b/>
          <w:sz w:val="22"/>
          <w:szCs w:val="22"/>
          <w:lang w:val="fr-FR"/>
        </w:rPr>
        <w:t>Mars 2013</w:t>
      </w:r>
    </w:p>
    <w:p w:rsidR="003F71CF" w:rsidRDefault="003F71CF" w:rsidP="00E104F8">
      <w:pPr>
        <w:ind w:left="-720"/>
        <w:rPr>
          <w:b/>
          <w:sz w:val="22"/>
          <w:szCs w:val="22"/>
          <w:lang w:val="fr-FR"/>
        </w:rPr>
      </w:pPr>
    </w:p>
    <w:p w:rsidR="003F71CF" w:rsidRPr="007A02EE" w:rsidRDefault="003F71CF" w:rsidP="00E104F8">
      <w:pPr>
        <w:ind w:left="-720"/>
        <w:rPr>
          <w:b/>
          <w:sz w:val="22"/>
          <w:szCs w:val="22"/>
          <w:lang w:val="fr-FR"/>
        </w:rPr>
      </w:pPr>
    </w:p>
    <w:tbl>
      <w:tblPr>
        <w:tblStyle w:val="Grilledutableau"/>
        <w:tblW w:w="15735" w:type="dxa"/>
        <w:tblInd w:w="-601" w:type="dxa"/>
        <w:tblLayout w:type="fixed"/>
        <w:tblLook w:val="04A0" w:firstRow="1" w:lastRow="0" w:firstColumn="1" w:lastColumn="0" w:noHBand="0" w:noVBand="1"/>
      </w:tblPr>
      <w:tblGrid>
        <w:gridCol w:w="1671"/>
        <w:gridCol w:w="2074"/>
        <w:gridCol w:w="1854"/>
        <w:gridCol w:w="1719"/>
        <w:gridCol w:w="1659"/>
        <w:gridCol w:w="1513"/>
        <w:gridCol w:w="1985"/>
        <w:gridCol w:w="1417"/>
        <w:gridCol w:w="1843"/>
      </w:tblGrid>
      <w:tr w:rsidR="003F71CF" w:rsidTr="009B204F">
        <w:tc>
          <w:tcPr>
            <w:tcW w:w="1671" w:type="dxa"/>
            <w:shd w:val="clear" w:color="auto" w:fill="DBE5F1" w:themeFill="accent1" w:themeFillTint="33"/>
          </w:tcPr>
          <w:p w:rsidR="003F71CF" w:rsidRDefault="003F71CF">
            <w:pPr>
              <w:rPr>
                <w:lang w:val="fr-FR"/>
              </w:rPr>
            </w:pPr>
            <w:r>
              <w:rPr>
                <w:lang w:val="fr-FR"/>
              </w:rPr>
              <w:t>EFFET DE L’UNDAF/CPD</w:t>
            </w:r>
          </w:p>
        </w:tc>
        <w:tc>
          <w:tcPr>
            <w:tcW w:w="2074" w:type="dxa"/>
            <w:shd w:val="clear" w:color="auto" w:fill="DBE5F1" w:themeFill="accent1" w:themeFillTint="33"/>
          </w:tcPr>
          <w:p w:rsidR="003F71CF" w:rsidRDefault="003F71CF">
            <w:pPr>
              <w:rPr>
                <w:lang w:val="fr-FR"/>
              </w:rPr>
            </w:pPr>
            <w:r>
              <w:rPr>
                <w:lang w:val="fr-FR"/>
              </w:rPr>
              <w:t>DOMAINE D’INTERVENTION DU PLAN STRATEGIQUE</w:t>
            </w:r>
          </w:p>
        </w:tc>
        <w:tc>
          <w:tcPr>
            <w:tcW w:w="1854" w:type="dxa"/>
            <w:shd w:val="clear" w:color="auto" w:fill="DBE5F1" w:themeFill="accent1" w:themeFillTint="33"/>
          </w:tcPr>
          <w:p w:rsidR="003F71CF" w:rsidRDefault="003F71CF">
            <w:pPr>
              <w:rPr>
                <w:lang w:val="fr-FR"/>
              </w:rPr>
            </w:pPr>
            <w:r>
              <w:rPr>
                <w:lang w:val="fr-FR"/>
              </w:rPr>
              <w:t>TITRE DE L’EVALUATION</w:t>
            </w:r>
          </w:p>
        </w:tc>
        <w:tc>
          <w:tcPr>
            <w:tcW w:w="1719" w:type="dxa"/>
            <w:shd w:val="clear" w:color="auto" w:fill="DBE5F1" w:themeFill="accent1" w:themeFillTint="33"/>
          </w:tcPr>
          <w:p w:rsidR="003F71CF" w:rsidRDefault="003F71CF">
            <w:pPr>
              <w:rPr>
                <w:lang w:val="fr-FR"/>
              </w:rPr>
            </w:pPr>
            <w:r>
              <w:rPr>
                <w:lang w:val="fr-FR"/>
              </w:rPr>
              <w:t>PARTENAIRES (EVALUATION CONJOINTE)</w:t>
            </w:r>
          </w:p>
        </w:tc>
        <w:tc>
          <w:tcPr>
            <w:tcW w:w="1659" w:type="dxa"/>
            <w:shd w:val="clear" w:color="auto" w:fill="DBE5F1" w:themeFill="accent1" w:themeFillTint="33"/>
          </w:tcPr>
          <w:p w:rsidR="003F71CF" w:rsidRDefault="003F71CF">
            <w:pPr>
              <w:rPr>
                <w:lang w:val="fr-FR"/>
              </w:rPr>
            </w:pPr>
            <w:r>
              <w:rPr>
                <w:lang w:val="fr-FR"/>
              </w:rPr>
              <w:t>EVALUATION COMMANDEE PAR</w:t>
            </w:r>
          </w:p>
        </w:tc>
        <w:tc>
          <w:tcPr>
            <w:tcW w:w="1513" w:type="dxa"/>
            <w:shd w:val="clear" w:color="auto" w:fill="DBE5F1" w:themeFill="accent1" w:themeFillTint="33"/>
          </w:tcPr>
          <w:p w:rsidR="003F71CF" w:rsidRDefault="003F71CF">
            <w:pPr>
              <w:rPr>
                <w:lang w:val="fr-FR"/>
              </w:rPr>
            </w:pPr>
            <w:r>
              <w:rPr>
                <w:lang w:val="fr-FR"/>
              </w:rPr>
              <w:t>TYPE D’EVALUATION</w:t>
            </w:r>
          </w:p>
        </w:tc>
        <w:tc>
          <w:tcPr>
            <w:tcW w:w="1985" w:type="dxa"/>
            <w:shd w:val="clear" w:color="auto" w:fill="DBE5F1" w:themeFill="accent1" w:themeFillTint="33"/>
          </w:tcPr>
          <w:p w:rsidR="003F71CF" w:rsidRDefault="003F71CF">
            <w:pPr>
              <w:rPr>
                <w:lang w:val="fr-FR"/>
              </w:rPr>
            </w:pPr>
            <w:r>
              <w:rPr>
                <w:lang w:val="fr-FR"/>
              </w:rPr>
              <w:t>DATE D’ACHEVEMENT PREVUE DE L’EVALUATION</w:t>
            </w:r>
          </w:p>
        </w:tc>
        <w:tc>
          <w:tcPr>
            <w:tcW w:w="1417" w:type="dxa"/>
            <w:shd w:val="clear" w:color="auto" w:fill="DBE5F1" w:themeFill="accent1" w:themeFillTint="33"/>
          </w:tcPr>
          <w:p w:rsidR="003F71CF" w:rsidRDefault="003F71CF">
            <w:pPr>
              <w:rPr>
                <w:lang w:val="fr-FR"/>
              </w:rPr>
            </w:pPr>
            <w:r>
              <w:rPr>
                <w:lang w:val="fr-FR"/>
              </w:rPr>
              <w:t>COUT ESTIMATIF</w:t>
            </w:r>
          </w:p>
        </w:tc>
        <w:tc>
          <w:tcPr>
            <w:tcW w:w="1843" w:type="dxa"/>
            <w:shd w:val="clear" w:color="auto" w:fill="DBE5F1" w:themeFill="accent1" w:themeFillTint="33"/>
          </w:tcPr>
          <w:p w:rsidR="003F71CF" w:rsidRDefault="003F71CF">
            <w:pPr>
              <w:rPr>
                <w:lang w:val="fr-FR"/>
              </w:rPr>
            </w:pPr>
            <w:r>
              <w:rPr>
                <w:lang w:val="fr-FR"/>
              </w:rPr>
              <w:t>SOURCE DE FINANCEMENT PROVISOIRE</w:t>
            </w:r>
          </w:p>
        </w:tc>
      </w:tr>
      <w:tr w:rsidR="008C7F38" w:rsidRPr="00DB0D01" w:rsidTr="003F71CF">
        <w:tc>
          <w:tcPr>
            <w:tcW w:w="1671" w:type="dxa"/>
          </w:tcPr>
          <w:p w:rsidR="008C7F38" w:rsidRDefault="008C7F38">
            <w:pPr>
              <w:rPr>
                <w:lang w:val="fr-FR"/>
              </w:rPr>
            </w:pPr>
            <w:r w:rsidRPr="00650C33">
              <w:rPr>
                <w:rFonts w:eastAsia="Times New Roman"/>
                <w:color w:val="000000"/>
                <w:sz w:val="18"/>
                <w:szCs w:val="18"/>
                <w:lang w:val="fr-FR"/>
              </w:rPr>
              <w:t>D’ici 2013, les institutions publiques, les collectivités locales et la société civile mettent davantage en œuvre les règles de bonne gouvernance et assurent une meilleure gestion des crises et catastrophes naturelles.</w:t>
            </w:r>
          </w:p>
        </w:tc>
        <w:tc>
          <w:tcPr>
            <w:tcW w:w="2074" w:type="dxa"/>
          </w:tcPr>
          <w:p w:rsidR="008C7F38" w:rsidRDefault="008C7F38">
            <w:pPr>
              <w:rPr>
                <w:lang w:val="fr-FR"/>
              </w:rPr>
            </w:pPr>
            <w:r w:rsidRPr="004C3E1D">
              <w:rPr>
                <w:rFonts w:eastAsia="Times New Roman"/>
                <w:sz w:val="18"/>
                <w:szCs w:val="18"/>
                <w:lang w:val="fr-FR"/>
              </w:rPr>
              <w:t>Encourager la participation de tous</w:t>
            </w:r>
          </w:p>
        </w:tc>
        <w:tc>
          <w:tcPr>
            <w:tcW w:w="1854" w:type="dxa"/>
          </w:tcPr>
          <w:p w:rsidR="008C7F38" w:rsidRDefault="008C7F38">
            <w:pPr>
              <w:rPr>
                <w:rFonts w:eastAsia="Times New Roman"/>
                <w:color w:val="000000"/>
                <w:sz w:val="18"/>
                <w:szCs w:val="18"/>
                <w:lang w:val="fr-FR"/>
              </w:rPr>
            </w:pPr>
            <w:r>
              <w:rPr>
                <w:rFonts w:eastAsia="Times New Roman"/>
                <w:color w:val="000000"/>
                <w:sz w:val="18"/>
                <w:szCs w:val="18"/>
                <w:lang w:val="fr-FR"/>
              </w:rPr>
              <w:t>La participation effective des populations et des OSC dans la prise de décision et dans la gestion des affaires publiques est accrue à travers le mécanisme de la gouvernance concertée.</w:t>
            </w:r>
          </w:p>
        </w:tc>
        <w:tc>
          <w:tcPr>
            <w:tcW w:w="1719" w:type="dxa"/>
          </w:tcPr>
          <w:p w:rsidR="008C7F38" w:rsidRDefault="00E86A0A">
            <w:pPr>
              <w:rPr>
                <w:lang w:val="fr-FR"/>
              </w:rPr>
            </w:pPr>
            <w:r>
              <w:rPr>
                <w:lang w:val="fr-FR"/>
              </w:rPr>
              <w:t>Gouvernement, Partenaires Bilatéraux.</w:t>
            </w:r>
          </w:p>
        </w:tc>
        <w:tc>
          <w:tcPr>
            <w:tcW w:w="1659" w:type="dxa"/>
          </w:tcPr>
          <w:p w:rsidR="008C7F38" w:rsidRDefault="00E86A0A">
            <w:pPr>
              <w:rPr>
                <w:lang w:val="fr-FR"/>
              </w:rPr>
            </w:pPr>
            <w:r>
              <w:rPr>
                <w:lang w:val="fr-FR"/>
              </w:rPr>
              <w:t>PNUD</w:t>
            </w:r>
          </w:p>
        </w:tc>
        <w:tc>
          <w:tcPr>
            <w:tcW w:w="1513" w:type="dxa"/>
          </w:tcPr>
          <w:p w:rsidR="008C7F38" w:rsidRDefault="00033D79">
            <w:pPr>
              <w:rPr>
                <w:lang w:val="fr-FR"/>
              </w:rPr>
            </w:pPr>
            <w:r>
              <w:rPr>
                <w:lang w:val="fr-FR"/>
              </w:rPr>
              <w:t>Effet</w:t>
            </w:r>
          </w:p>
        </w:tc>
        <w:tc>
          <w:tcPr>
            <w:tcW w:w="1985" w:type="dxa"/>
          </w:tcPr>
          <w:p w:rsidR="008C7F38" w:rsidRDefault="008C7F38" w:rsidP="00BF2665">
            <w:pPr>
              <w:rPr>
                <w:rFonts w:eastAsia="Times New Roman"/>
                <w:color w:val="000000"/>
                <w:sz w:val="18"/>
                <w:szCs w:val="18"/>
                <w:lang w:val="fr-FR"/>
              </w:rPr>
            </w:pPr>
            <w:r>
              <w:rPr>
                <w:rFonts w:eastAsia="Times New Roman"/>
                <w:color w:val="000000"/>
                <w:sz w:val="18"/>
                <w:szCs w:val="18"/>
                <w:lang w:val="fr-FR"/>
              </w:rPr>
              <w:t xml:space="preserve">Janvier </w:t>
            </w:r>
            <w:r w:rsidRPr="008C7F38">
              <w:rPr>
                <w:rFonts w:eastAsia="Times New Roman"/>
                <w:color w:val="000000"/>
                <w:sz w:val="18"/>
                <w:szCs w:val="18"/>
                <w:lang w:val="fr-FR"/>
              </w:rPr>
              <w:t>201</w:t>
            </w:r>
            <w:r>
              <w:rPr>
                <w:rFonts w:eastAsia="Times New Roman"/>
                <w:color w:val="000000"/>
                <w:sz w:val="18"/>
                <w:szCs w:val="18"/>
                <w:lang w:val="fr-FR"/>
              </w:rPr>
              <w:t>1</w:t>
            </w:r>
          </w:p>
          <w:p w:rsidR="00DB0D01" w:rsidRDefault="00DB0D01" w:rsidP="00BF2665">
            <w:pPr>
              <w:rPr>
                <w:rFonts w:eastAsia="Times New Roman"/>
                <w:color w:val="000000"/>
                <w:sz w:val="18"/>
                <w:szCs w:val="18"/>
                <w:lang w:val="fr-FR"/>
              </w:rPr>
            </w:pPr>
          </w:p>
          <w:p w:rsidR="00DB0D01" w:rsidRPr="00207385" w:rsidRDefault="00DB0D01" w:rsidP="00BF2665">
            <w:pPr>
              <w:rPr>
                <w:rFonts w:eastAsia="Times New Roman"/>
                <w:color w:val="0070C0"/>
                <w:sz w:val="18"/>
                <w:szCs w:val="18"/>
                <w:lang w:val="fr-FR"/>
              </w:rPr>
            </w:pPr>
            <w:r w:rsidRPr="00207385">
              <w:rPr>
                <w:rFonts w:eastAsia="Times New Roman"/>
                <w:color w:val="0070C0"/>
                <w:sz w:val="18"/>
                <w:szCs w:val="18"/>
                <w:lang w:val="fr-FR"/>
              </w:rPr>
              <w:t>NB : Réalisé. Rapport disponible sur l’ERC</w:t>
            </w:r>
          </w:p>
        </w:tc>
        <w:tc>
          <w:tcPr>
            <w:tcW w:w="1417" w:type="dxa"/>
          </w:tcPr>
          <w:p w:rsidR="008C7F38" w:rsidRDefault="00E86A0A">
            <w:pPr>
              <w:rPr>
                <w:lang w:val="fr-FR"/>
              </w:rPr>
            </w:pPr>
            <w:r>
              <w:rPr>
                <w:lang w:val="fr-FR"/>
              </w:rPr>
              <w:t>USD 25 000</w:t>
            </w:r>
          </w:p>
        </w:tc>
        <w:tc>
          <w:tcPr>
            <w:tcW w:w="1843" w:type="dxa"/>
          </w:tcPr>
          <w:p w:rsidR="008C7F38" w:rsidRDefault="00E86A0A">
            <w:pPr>
              <w:rPr>
                <w:lang w:val="fr-FR"/>
              </w:rPr>
            </w:pPr>
            <w:r>
              <w:rPr>
                <w:lang w:val="fr-FR"/>
              </w:rPr>
              <w:t>TRAC 1, 2 (Appui au Programme)</w:t>
            </w:r>
          </w:p>
        </w:tc>
      </w:tr>
      <w:tr w:rsidR="008C7F38" w:rsidTr="003F71CF">
        <w:tc>
          <w:tcPr>
            <w:tcW w:w="1671" w:type="dxa"/>
          </w:tcPr>
          <w:p w:rsidR="008C7F38" w:rsidRDefault="004F4221">
            <w:pPr>
              <w:rPr>
                <w:lang w:val="fr-FR"/>
              </w:rPr>
            </w:pPr>
            <w:r w:rsidRPr="00650C33">
              <w:rPr>
                <w:rFonts w:eastAsia="Times New Roman"/>
                <w:color w:val="000000"/>
                <w:sz w:val="18"/>
                <w:szCs w:val="18"/>
                <w:lang w:val="fr-FR"/>
              </w:rPr>
              <w:t>D’ici 2013, les populations des milieux défavorisés, notamment les jeunes et les femmes, bénéficient d’opportunités accrues d’emplois et d’activités génératrices de revenus ainsi que d’une meilleure sécurité alimentaire.</w:t>
            </w:r>
          </w:p>
        </w:tc>
        <w:tc>
          <w:tcPr>
            <w:tcW w:w="2074" w:type="dxa"/>
          </w:tcPr>
          <w:p w:rsidR="008C7F38" w:rsidRDefault="008C7F38">
            <w:pPr>
              <w:rPr>
                <w:lang w:val="fr-FR"/>
              </w:rPr>
            </w:pPr>
            <w:r w:rsidRPr="00453F69">
              <w:rPr>
                <w:rFonts w:eastAsia="Times New Roman"/>
                <w:color w:val="000000"/>
                <w:sz w:val="18"/>
                <w:szCs w:val="18"/>
                <w:lang w:val="fr-FR"/>
              </w:rPr>
              <w:t>Promouvoir une croissance profitant à tous, l’égalité des sexes et la réalisation des OMD</w:t>
            </w:r>
          </w:p>
        </w:tc>
        <w:tc>
          <w:tcPr>
            <w:tcW w:w="1854" w:type="dxa"/>
          </w:tcPr>
          <w:p w:rsidR="008C7F38" w:rsidRDefault="008C7F38">
            <w:pPr>
              <w:rPr>
                <w:rFonts w:eastAsia="Times New Roman"/>
                <w:color w:val="000000"/>
                <w:sz w:val="18"/>
                <w:szCs w:val="18"/>
                <w:lang w:val="fr-FR"/>
              </w:rPr>
            </w:pPr>
            <w:r w:rsidRPr="00453F69">
              <w:rPr>
                <w:rFonts w:eastAsia="Times New Roman"/>
                <w:sz w:val="18"/>
                <w:szCs w:val="18"/>
                <w:lang w:val="fr-FR"/>
              </w:rPr>
              <w:t>PA3D</w:t>
            </w:r>
          </w:p>
        </w:tc>
        <w:tc>
          <w:tcPr>
            <w:tcW w:w="1719" w:type="dxa"/>
          </w:tcPr>
          <w:p w:rsidR="008C7F38" w:rsidRDefault="004F4221" w:rsidP="004F4221">
            <w:pPr>
              <w:rPr>
                <w:lang w:val="fr-FR"/>
              </w:rPr>
            </w:pPr>
            <w:r>
              <w:rPr>
                <w:lang w:val="fr-FR"/>
              </w:rPr>
              <w:t>UNCDF, Gouvernement</w:t>
            </w:r>
          </w:p>
        </w:tc>
        <w:tc>
          <w:tcPr>
            <w:tcW w:w="1659" w:type="dxa"/>
          </w:tcPr>
          <w:p w:rsidR="008C7F38" w:rsidRDefault="004F4221">
            <w:pPr>
              <w:rPr>
                <w:lang w:val="fr-FR"/>
              </w:rPr>
            </w:pPr>
            <w:r>
              <w:rPr>
                <w:lang w:val="fr-FR"/>
              </w:rPr>
              <w:t>UNCDF</w:t>
            </w:r>
          </w:p>
        </w:tc>
        <w:tc>
          <w:tcPr>
            <w:tcW w:w="1513" w:type="dxa"/>
          </w:tcPr>
          <w:p w:rsidR="008C7F38" w:rsidRDefault="00033D79">
            <w:pPr>
              <w:rPr>
                <w:lang w:val="fr-FR"/>
              </w:rPr>
            </w:pPr>
            <w:r>
              <w:rPr>
                <w:lang w:val="fr-FR"/>
              </w:rPr>
              <w:t>Projet</w:t>
            </w:r>
          </w:p>
        </w:tc>
        <w:tc>
          <w:tcPr>
            <w:tcW w:w="1985" w:type="dxa"/>
          </w:tcPr>
          <w:p w:rsidR="008C7F38" w:rsidRPr="008C7F38" w:rsidRDefault="008C7F38" w:rsidP="0044777B">
            <w:pPr>
              <w:rPr>
                <w:rFonts w:eastAsia="Times New Roman"/>
                <w:color w:val="000000"/>
                <w:sz w:val="18"/>
                <w:szCs w:val="18"/>
                <w:lang w:val="fr-FR"/>
              </w:rPr>
            </w:pPr>
            <w:r>
              <w:rPr>
                <w:rFonts w:eastAsia="Times New Roman"/>
                <w:color w:val="000000"/>
                <w:sz w:val="18"/>
                <w:szCs w:val="18"/>
                <w:lang w:val="fr-FR"/>
              </w:rPr>
              <w:t>Décembre</w:t>
            </w:r>
            <w:r w:rsidRPr="008C7F38">
              <w:rPr>
                <w:rFonts w:eastAsia="Times New Roman"/>
                <w:color w:val="000000"/>
                <w:sz w:val="18"/>
                <w:szCs w:val="18"/>
                <w:lang w:val="fr-FR"/>
              </w:rPr>
              <w:t xml:space="preserve"> 201</w:t>
            </w:r>
            <w:r w:rsidR="0044777B">
              <w:rPr>
                <w:rFonts w:eastAsia="Times New Roman"/>
                <w:color w:val="000000"/>
                <w:sz w:val="18"/>
                <w:szCs w:val="18"/>
                <w:lang w:val="fr-FR"/>
              </w:rPr>
              <w:t>3</w:t>
            </w:r>
          </w:p>
        </w:tc>
        <w:tc>
          <w:tcPr>
            <w:tcW w:w="1417" w:type="dxa"/>
          </w:tcPr>
          <w:p w:rsidR="008C7F38" w:rsidRDefault="004F4221">
            <w:pPr>
              <w:rPr>
                <w:lang w:val="fr-FR"/>
              </w:rPr>
            </w:pPr>
            <w:r>
              <w:rPr>
                <w:lang w:val="fr-FR"/>
              </w:rPr>
              <w:t>USD 15 000</w:t>
            </w:r>
            <w:bookmarkStart w:id="0" w:name="_GoBack"/>
            <w:bookmarkEnd w:id="0"/>
          </w:p>
        </w:tc>
        <w:tc>
          <w:tcPr>
            <w:tcW w:w="1843" w:type="dxa"/>
          </w:tcPr>
          <w:p w:rsidR="008C7F38" w:rsidRDefault="004F4221">
            <w:pPr>
              <w:rPr>
                <w:lang w:val="fr-FR"/>
              </w:rPr>
            </w:pPr>
            <w:r>
              <w:rPr>
                <w:lang w:val="fr-FR"/>
              </w:rPr>
              <w:t>TRAC 1, 2 (Budget Projet)</w:t>
            </w:r>
          </w:p>
        </w:tc>
      </w:tr>
      <w:tr w:rsidR="00586596" w:rsidRPr="00586596" w:rsidTr="003F71CF">
        <w:tc>
          <w:tcPr>
            <w:tcW w:w="1671" w:type="dxa"/>
          </w:tcPr>
          <w:p w:rsidR="00586596" w:rsidRPr="00074280" w:rsidRDefault="00586596">
            <w:pPr>
              <w:rPr>
                <w:rFonts w:eastAsia="Times New Roman"/>
                <w:sz w:val="18"/>
                <w:szCs w:val="18"/>
                <w:lang w:val="fr-FR"/>
              </w:rPr>
            </w:pPr>
            <w:r w:rsidRPr="00074280">
              <w:rPr>
                <w:rFonts w:eastAsia="Times New Roman"/>
                <w:sz w:val="18"/>
                <w:szCs w:val="18"/>
                <w:lang w:val="fr-FR"/>
              </w:rPr>
              <w:lastRenderedPageBreak/>
              <w:t>D’ici 2013, les institutions publiques, les collectivités locales et la société civile mettent davantage en œuvre les règles de bonne gouvernance et assurent une meilleure gestion des crises et catastrophes naturelles.</w:t>
            </w:r>
          </w:p>
        </w:tc>
        <w:tc>
          <w:tcPr>
            <w:tcW w:w="2074" w:type="dxa"/>
          </w:tcPr>
          <w:p w:rsidR="00586596" w:rsidRPr="00074280" w:rsidRDefault="00586596">
            <w:pPr>
              <w:rPr>
                <w:rFonts w:eastAsia="Times New Roman"/>
                <w:sz w:val="18"/>
                <w:szCs w:val="18"/>
                <w:lang w:val="fr-FR"/>
              </w:rPr>
            </w:pPr>
            <w:r w:rsidRPr="00074280">
              <w:rPr>
                <w:rFonts w:eastAsia="Times New Roman"/>
                <w:sz w:val="18"/>
                <w:szCs w:val="18"/>
                <w:lang w:val="fr-FR"/>
              </w:rPr>
              <w:t>Ancrer la gouvernance démocratique dans des principes reconnus au plan international</w:t>
            </w:r>
          </w:p>
        </w:tc>
        <w:tc>
          <w:tcPr>
            <w:tcW w:w="1854" w:type="dxa"/>
          </w:tcPr>
          <w:p w:rsidR="00586596" w:rsidRPr="00074280" w:rsidRDefault="00586596">
            <w:pPr>
              <w:rPr>
                <w:rFonts w:eastAsia="Times New Roman"/>
                <w:sz w:val="18"/>
                <w:szCs w:val="18"/>
                <w:lang w:val="fr-FR"/>
              </w:rPr>
            </w:pPr>
            <w:r w:rsidRPr="00074280">
              <w:rPr>
                <w:rFonts w:eastAsia="Times New Roman"/>
                <w:sz w:val="18"/>
                <w:szCs w:val="18"/>
                <w:lang w:val="fr-FR"/>
              </w:rPr>
              <w:t>Projet d’Appui à la réalisation de la LEPI</w:t>
            </w:r>
          </w:p>
        </w:tc>
        <w:tc>
          <w:tcPr>
            <w:tcW w:w="1719" w:type="dxa"/>
          </w:tcPr>
          <w:p w:rsidR="00586596" w:rsidRPr="00074280" w:rsidRDefault="00586596" w:rsidP="00586596">
            <w:pPr>
              <w:rPr>
                <w:rFonts w:eastAsia="Times New Roman"/>
                <w:sz w:val="18"/>
                <w:szCs w:val="18"/>
                <w:lang w:val="fr-FR"/>
              </w:rPr>
            </w:pPr>
            <w:r w:rsidRPr="00074280">
              <w:rPr>
                <w:rFonts w:eastAsia="Times New Roman"/>
                <w:sz w:val="18"/>
                <w:szCs w:val="18"/>
                <w:lang w:val="fr-FR"/>
              </w:rPr>
              <w:t>Gouvernement,</w:t>
            </w:r>
          </w:p>
          <w:p w:rsidR="00586596" w:rsidRPr="00074280" w:rsidRDefault="00586596" w:rsidP="00586596">
            <w:pPr>
              <w:rPr>
                <w:lang w:val="fr-FR"/>
              </w:rPr>
            </w:pPr>
            <w:r w:rsidRPr="00074280">
              <w:rPr>
                <w:rFonts w:eastAsia="Times New Roman"/>
                <w:sz w:val="18"/>
                <w:szCs w:val="18"/>
                <w:lang w:val="fr-FR"/>
              </w:rPr>
              <w:t>Partenaires Techniques et Financiers</w:t>
            </w:r>
          </w:p>
        </w:tc>
        <w:tc>
          <w:tcPr>
            <w:tcW w:w="1659" w:type="dxa"/>
          </w:tcPr>
          <w:p w:rsidR="00586596" w:rsidRPr="00074280" w:rsidRDefault="00586596">
            <w:pPr>
              <w:rPr>
                <w:lang w:val="fr-FR"/>
              </w:rPr>
            </w:pPr>
            <w:r w:rsidRPr="00074280">
              <w:rPr>
                <w:lang w:val="fr-FR"/>
              </w:rPr>
              <w:t>PNUD</w:t>
            </w:r>
          </w:p>
        </w:tc>
        <w:tc>
          <w:tcPr>
            <w:tcW w:w="1513" w:type="dxa"/>
          </w:tcPr>
          <w:p w:rsidR="00586596" w:rsidRPr="00074280" w:rsidRDefault="00586596">
            <w:pPr>
              <w:rPr>
                <w:lang w:val="fr-FR"/>
              </w:rPr>
            </w:pPr>
            <w:r w:rsidRPr="00074280">
              <w:rPr>
                <w:lang w:val="fr-FR"/>
              </w:rPr>
              <w:t>Projet</w:t>
            </w:r>
          </w:p>
        </w:tc>
        <w:tc>
          <w:tcPr>
            <w:tcW w:w="1985" w:type="dxa"/>
          </w:tcPr>
          <w:p w:rsidR="00586596" w:rsidRDefault="00A801E2" w:rsidP="00BF2665">
            <w:pPr>
              <w:rPr>
                <w:rFonts w:eastAsia="Times New Roman"/>
                <w:sz w:val="18"/>
                <w:szCs w:val="18"/>
                <w:lang w:val="fr-FR"/>
              </w:rPr>
            </w:pPr>
            <w:r>
              <w:rPr>
                <w:rFonts w:eastAsia="Times New Roman"/>
                <w:sz w:val="18"/>
                <w:szCs w:val="18"/>
                <w:lang w:val="fr-FR"/>
              </w:rPr>
              <w:t>Mars  2012</w:t>
            </w:r>
          </w:p>
          <w:p w:rsidR="00DB0D01" w:rsidRDefault="00DB0D01" w:rsidP="00BF2665">
            <w:pPr>
              <w:rPr>
                <w:rFonts w:eastAsia="Times New Roman"/>
                <w:sz w:val="18"/>
                <w:szCs w:val="18"/>
                <w:lang w:val="fr-FR"/>
              </w:rPr>
            </w:pPr>
          </w:p>
          <w:p w:rsidR="00DB0D01" w:rsidRPr="00207385" w:rsidRDefault="00DB0D01" w:rsidP="00BF2665">
            <w:pPr>
              <w:rPr>
                <w:rFonts w:eastAsia="Times New Roman"/>
                <w:color w:val="0070C0"/>
                <w:sz w:val="18"/>
                <w:szCs w:val="18"/>
                <w:lang w:val="fr-FR"/>
              </w:rPr>
            </w:pPr>
            <w:r w:rsidRPr="00207385">
              <w:rPr>
                <w:rFonts w:eastAsia="Times New Roman"/>
                <w:color w:val="0070C0"/>
                <w:sz w:val="18"/>
                <w:szCs w:val="18"/>
                <w:lang w:val="fr-FR"/>
              </w:rPr>
              <w:t>NB : Réalisé. Rapport disponible sur l’ERC</w:t>
            </w:r>
          </w:p>
        </w:tc>
        <w:tc>
          <w:tcPr>
            <w:tcW w:w="1417" w:type="dxa"/>
          </w:tcPr>
          <w:p w:rsidR="00586596" w:rsidRPr="00074280" w:rsidRDefault="00586596">
            <w:pPr>
              <w:rPr>
                <w:lang w:val="fr-FR"/>
              </w:rPr>
            </w:pPr>
            <w:r w:rsidRPr="00074280">
              <w:rPr>
                <w:lang w:val="fr-FR"/>
              </w:rPr>
              <w:t>USD 40 000</w:t>
            </w:r>
          </w:p>
        </w:tc>
        <w:tc>
          <w:tcPr>
            <w:tcW w:w="1843" w:type="dxa"/>
          </w:tcPr>
          <w:p w:rsidR="00586596" w:rsidRPr="00074280" w:rsidRDefault="00586596">
            <w:pPr>
              <w:rPr>
                <w:lang w:val="fr-FR"/>
              </w:rPr>
            </w:pPr>
            <w:r w:rsidRPr="00074280">
              <w:rPr>
                <w:lang w:val="fr-FR"/>
              </w:rPr>
              <w:t>Gov Cost Sharing (Bénin)</w:t>
            </w:r>
          </w:p>
        </w:tc>
      </w:tr>
      <w:tr w:rsidR="008C7F38" w:rsidRPr="00207385" w:rsidTr="003F71CF">
        <w:tc>
          <w:tcPr>
            <w:tcW w:w="1671" w:type="dxa"/>
          </w:tcPr>
          <w:p w:rsidR="008C7F38" w:rsidRDefault="004F4221">
            <w:pPr>
              <w:rPr>
                <w:lang w:val="fr-FR"/>
              </w:rPr>
            </w:pPr>
            <w:r w:rsidRPr="00650C33">
              <w:rPr>
                <w:rFonts w:eastAsia="Times New Roman"/>
                <w:color w:val="000000"/>
                <w:sz w:val="18"/>
                <w:szCs w:val="18"/>
                <w:lang w:val="fr-FR"/>
              </w:rPr>
              <w:t>D’ici 2013, les populations des milieux défavorisés, notamment les jeunes et les femmes, bénéficient d’opportunités accrues d’emplois et d’activités génératrices de revenus ainsi que d’une meilleure sécurité alimentaire.</w:t>
            </w:r>
          </w:p>
        </w:tc>
        <w:tc>
          <w:tcPr>
            <w:tcW w:w="2074" w:type="dxa"/>
          </w:tcPr>
          <w:p w:rsidR="008C7F38" w:rsidRDefault="008C7F38">
            <w:pPr>
              <w:rPr>
                <w:lang w:val="fr-FR"/>
              </w:rPr>
            </w:pPr>
            <w:r w:rsidRPr="004C3E1D">
              <w:rPr>
                <w:rFonts w:eastAsia="Times New Roman"/>
                <w:sz w:val="18"/>
                <w:szCs w:val="18"/>
                <w:lang w:val="fr-FR"/>
              </w:rPr>
              <w:t>Promouvoir l’adaptation au changement climatique </w:t>
            </w:r>
          </w:p>
        </w:tc>
        <w:tc>
          <w:tcPr>
            <w:tcW w:w="1854" w:type="dxa"/>
          </w:tcPr>
          <w:p w:rsidR="008C7F38" w:rsidRPr="00453F69" w:rsidRDefault="008C7F38">
            <w:pPr>
              <w:rPr>
                <w:rFonts w:eastAsia="Times New Roman"/>
                <w:sz w:val="18"/>
                <w:szCs w:val="18"/>
                <w:lang w:val="fr-FR"/>
              </w:rPr>
            </w:pPr>
            <w:r>
              <w:rPr>
                <w:rFonts w:eastAsia="Times New Roman"/>
                <w:sz w:val="18"/>
                <w:szCs w:val="18"/>
                <w:lang w:val="fr-FR"/>
              </w:rPr>
              <w:t>Projet PANA</w:t>
            </w:r>
          </w:p>
        </w:tc>
        <w:tc>
          <w:tcPr>
            <w:tcW w:w="1719" w:type="dxa"/>
          </w:tcPr>
          <w:p w:rsidR="008C7F38" w:rsidRDefault="004F4221">
            <w:pPr>
              <w:rPr>
                <w:lang w:val="fr-FR"/>
              </w:rPr>
            </w:pPr>
            <w:r>
              <w:rPr>
                <w:lang w:val="fr-FR"/>
              </w:rPr>
              <w:t>Gouvernement,</w:t>
            </w:r>
          </w:p>
          <w:p w:rsidR="004F4221" w:rsidRDefault="004F4221">
            <w:pPr>
              <w:rPr>
                <w:lang w:val="fr-FR"/>
              </w:rPr>
            </w:pPr>
            <w:r>
              <w:rPr>
                <w:lang w:val="fr-FR"/>
              </w:rPr>
              <w:t>FEM</w:t>
            </w:r>
          </w:p>
        </w:tc>
        <w:tc>
          <w:tcPr>
            <w:tcW w:w="1659" w:type="dxa"/>
          </w:tcPr>
          <w:p w:rsidR="008C7F38" w:rsidRDefault="004F4221">
            <w:pPr>
              <w:rPr>
                <w:lang w:val="fr-FR"/>
              </w:rPr>
            </w:pPr>
            <w:r>
              <w:rPr>
                <w:lang w:val="fr-FR"/>
              </w:rPr>
              <w:t>PNUD</w:t>
            </w:r>
          </w:p>
        </w:tc>
        <w:tc>
          <w:tcPr>
            <w:tcW w:w="1513" w:type="dxa"/>
          </w:tcPr>
          <w:p w:rsidR="008C7F38" w:rsidRDefault="00033D79">
            <w:pPr>
              <w:rPr>
                <w:lang w:val="fr-FR"/>
              </w:rPr>
            </w:pPr>
            <w:r>
              <w:rPr>
                <w:lang w:val="fr-FR"/>
              </w:rPr>
              <w:t>Projet</w:t>
            </w:r>
          </w:p>
        </w:tc>
        <w:tc>
          <w:tcPr>
            <w:tcW w:w="1985" w:type="dxa"/>
          </w:tcPr>
          <w:p w:rsidR="008C7F38" w:rsidRDefault="00055194" w:rsidP="00BF2665">
            <w:pPr>
              <w:rPr>
                <w:rFonts w:eastAsia="Times New Roman"/>
                <w:color w:val="000000"/>
                <w:sz w:val="18"/>
                <w:szCs w:val="18"/>
                <w:lang w:val="fr-FR"/>
              </w:rPr>
            </w:pPr>
            <w:r>
              <w:rPr>
                <w:rFonts w:eastAsia="Times New Roman"/>
                <w:color w:val="000000"/>
                <w:sz w:val="18"/>
                <w:szCs w:val="18"/>
                <w:lang w:val="fr-FR"/>
              </w:rPr>
              <w:t>Juin</w:t>
            </w:r>
            <w:r w:rsidR="00A801E2">
              <w:rPr>
                <w:rFonts w:eastAsia="Times New Roman"/>
                <w:color w:val="000000"/>
                <w:sz w:val="18"/>
                <w:szCs w:val="18"/>
                <w:lang w:val="fr-FR"/>
              </w:rPr>
              <w:t xml:space="preserve"> 2013</w:t>
            </w:r>
          </w:p>
          <w:p w:rsidR="00DB0D01" w:rsidRDefault="00DB0D01" w:rsidP="00BF2665">
            <w:pPr>
              <w:rPr>
                <w:rFonts w:eastAsia="Times New Roman"/>
                <w:color w:val="000000"/>
                <w:sz w:val="18"/>
                <w:szCs w:val="18"/>
                <w:lang w:val="fr-FR"/>
              </w:rPr>
            </w:pPr>
          </w:p>
          <w:p w:rsidR="00DB0D01" w:rsidRPr="008C7F38" w:rsidRDefault="00DB0D01" w:rsidP="00207385">
            <w:pPr>
              <w:rPr>
                <w:rFonts w:eastAsia="Times New Roman"/>
                <w:color w:val="000000"/>
                <w:sz w:val="18"/>
                <w:szCs w:val="18"/>
                <w:lang w:val="fr-FR"/>
              </w:rPr>
            </w:pPr>
          </w:p>
        </w:tc>
        <w:tc>
          <w:tcPr>
            <w:tcW w:w="1417" w:type="dxa"/>
          </w:tcPr>
          <w:p w:rsidR="00F43BAB" w:rsidRDefault="00F43BAB">
            <w:pPr>
              <w:rPr>
                <w:lang w:val="fr-FR"/>
              </w:rPr>
            </w:pPr>
            <w:r>
              <w:rPr>
                <w:lang w:val="fr-FR"/>
              </w:rPr>
              <w:t>USD 40 000</w:t>
            </w:r>
          </w:p>
        </w:tc>
        <w:tc>
          <w:tcPr>
            <w:tcW w:w="1843" w:type="dxa"/>
          </w:tcPr>
          <w:p w:rsidR="008C7F38" w:rsidRDefault="00F43BAB">
            <w:pPr>
              <w:rPr>
                <w:lang w:val="fr-FR"/>
              </w:rPr>
            </w:pPr>
            <w:r>
              <w:rPr>
                <w:lang w:val="fr-FR"/>
              </w:rPr>
              <w:t>FEM</w:t>
            </w:r>
          </w:p>
        </w:tc>
      </w:tr>
      <w:tr w:rsidR="008C7F38" w:rsidRPr="00AD540C" w:rsidTr="003F71CF">
        <w:tc>
          <w:tcPr>
            <w:tcW w:w="1671" w:type="dxa"/>
          </w:tcPr>
          <w:p w:rsidR="008C7F38" w:rsidRDefault="008C7F38">
            <w:pPr>
              <w:rPr>
                <w:lang w:val="fr-FR"/>
              </w:rPr>
            </w:pPr>
          </w:p>
        </w:tc>
        <w:tc>
          <w:tcPr>
            <w:tcW w:w="2074" w:type="dxa"/>
          </w:tcPr>
          <w:p w:rsidR="008C7F38" w:rsidRDefault="00033D79">
            <w:pPr>
              <w:rPr>
                <w:lang w:val="fr-FR"/>
              </w:rPr>
            </w:pPr>
            <w:r>
              <w:rPr>
                <w:lang w:val="fr-FR"/>
              </w:rPr>
              <w:t>N/A</w:t>
            </w:r>
          </w:p>
        </w:tc>
        <w:tc>
          <w:tcPr>
            <w:tcW w:w="1854" w:type="dxa"/>
          </w:tcPr>
          <w:p w:rsidR="008C7F38" w:rsidRDefault="008C7F38">
            <w:pPr>
              <w:rPr>
                <w:rFonts w:eastAsia="Times New Roman"/>
                <w:sz w:val="18"/>
                <w:szCs w:val="18"/>
                <w:lang w:val="fr-FR"/>
              </w:rPr>
            </w:pPr>
            <w:r>
              <w:rPr>
                <w:rFonts w:eastAsia="Times New Roman"/>
                <w:sz w:val="18"/>
                <w:szCs w:val="18"/>
                <w:lang w:val="fr-FR"/>
              </w:rPr>
              <w:t>Document de Programme Pays (CPD)</w:t>
            </w:r>
          </w:p>
        </w:tc>
        <w:tc>
          <w:tcPr>
            <w:tcW w:w="1719" w:type="dxa"/>
          </w:tcPr>
          <w:p w:rsidR="008C7F38" w:rsidRDefault="00F43BAB">
            <w:pPr>
              <w:rPr>
                <w:lang w:val="fr-FR"/>
              </w:rPr>
            </w:pPr>
            <w:r>
              <w:rPr>
                <w:lang w:val="fr-FR"/>
              </w:rPr>
              <w:t>Agences SNU, Gouvernement, Partenaires Bilatéraux</w:t>
            </w:r>
          </w:p>
        </w:tc>
        <w:tc>
          <w:tcPr>
            <w:tcW w:w="1659" w:type="dxa"/>
          </w:tcPr>
          <w:p w:rsidR="008C7F38" w:rsidRDefault="00F43BAB">
            <w:pPr>
              <w:rPr>
                <w:lang w:val="fr-FR"/>
              </w:rPr>
            </w:pPr>
            <w:r>
              <w:rPr>
                <w:lang w:val="fr-FR"/>
              </w:rPr>
              <w:t>PNUD</w:t>
            </w:r>
          </w:p>
        </w:tc>
        <w:tc>
          <w:tcPr>
            <w:tcW w:w="1513" w:type="dxa"/>
          </w:tcPr>
          <w:p w:rsidR="008C7F38" w:rsidRDefault="00033D79">
            <w:pPr>
              <w:rPr>
                <w:lang w:val="fr-FR"/>
              </w:rPr>
            </w:pPr>
            <w:r>
              <w:rPr>
                <w:lang w:val="fr-FR"/>
              </w:rPr>
              <w:t>Autres</w:t>
            </w:r>
          </w:p>
        </w:tc>
        <w:tc>
          <w:tcPr>
            <w:tcW w:w="1985" w:type="dxa"/>
          </w:tcPr>
          <w:p w:rsidR="008C7F38" w:rsidRPr="008C7F38" w:rsidRDefault="00637F03" w:rsidP="00BF2665">
            <w:pPr>
              <w:rPr>
                <w:rFonts w:eastAsia="Times New Roman"/>
                <w:color w:val="000000"/>
                <w:sz w:val="18"/>
                <w:szCs w:val="18"/>
                <w:lang w:val="fr-FR"/>
              </w:rPr>
            </w:pPr>
            <w:r>
              <w:rPr>
                <w:rFonts w:eastAsia="Times New Roman"/>
                <w:color w:val="000000"/>
                <w:sz w:val="18"/>
                <w:szCs w:val="18"/>
                <w:lang w:val="fr-FR"/>
              </w:rPr>
              <w:t xml:space="preserve">Juin </w:t>
            </w:r>
            <w:r w:rsidR="008C7F38" w:rsidRPr="008C7F38">
              <w:rPr>
                <w:rFonts w:eastAsia="Times New Roman"/>
                <w:color w:val="000000"/>
                <w:sz w:val="18"/>
                <w:szCs w:val="18"/>
                <w:lang w:val="fr-FR"/>
              </w:rPr>
              <w:t>201</w:t>
            </w:r>
            <w:r>
              <w:rPr>
                <w:rFonts w:eastAsia="Times New Roman"/>
                <w:color w:val="000000"/>
                <w:sz w:val="18"/>
                <w:szCs w:val="18"/>
                <w:lang w:val="fr-FR"/>
              </w:rPr>
              <w:t>3</w:t>
            </w:r>
          </w:p>
        </w:tc>
        <w:tc>
          <w:tcPr>
            <w:tcW w:w="1417" w:type="dxa"/>
          </w:tcPr>
          <w:p w:rsidR="008C7F38" w:rsidRDefault="00F43BAB" w:rsidP="00F43BAB">
            <w:pPr>
              <w:rPr>
                <w:lang w:val="fr-FR"/>
              </w:rPr>
            </w:pPr>
            <w:r>
              <w:rPr>
                <w:lang w:val="fr-FR"/>
              </w:rPr>
              <w:t>USD 60 000</w:t>
            </w:r>
          </w:p>
        </w:tc>
        <w:tc>
          <w:tcPr>
            <w:tcW w:w="1843" w:type="dxa"/>
          </w:tcPr>
          <w:p w:rsidR="008C7F38" w:rsidRDefault="00F43BAB">
            <w:pPr>
              <w:rPr>
                <w:lang w:val="fr-FR"/>
              </w:rPr>
            </w:pPr>
            <w:r>
              <w:rPr>
                <w:lang w:val="fr-FR"/>
              </w:rPr>
              <w:t>TRAC 1, 2 (Appui au Programme)</w:t>
            </w:r>
          </w:p>
        </w:tc>
      </w:tr>
    </w:tbl>
    <w:p w:rsidR="00B07722" w:rsidRPr="00E104F8" w:rsidRDefault="00B07722">
      <w:pPr>
        <w:rPr>
          <w:lang w:val="fr-FR"/>
        </w:rPr>
      </w:pPr>
    </w:p>
    <w:sectPr w:rsidR="00B07722" w:rsidRPr="00E104F8" w:rsidSect="00E104F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BC" w:rsidRDefault="007D68BC" w:rsidP="00283DB1">
      <w:r>
        <w:separator/>
      </w:r>
    </w:p>
  </w:endnote>
  <w:endnote w:type="continuationSeparator" w:id="0">
    <w:p w:rsidR="007D68BC" w:rsidRDefault="007D68BC" w:rsidP="0028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534"/>
      <w:docPartObj>
        <w:docPartGallery w:val="Page Numbers (Bottom of Page)"/>
        <w:docPartUnique/>
      </w:docPartObj>
    </w:sdtPr>
    <w:sdtEndPr/>
    <w:sdtContent>
      <w:sdt>
        <w:sdtPr>
          <w:id w:val="123787606"/>
          <w:docPartObj>
            <w:docPartGallery w:val="Page Numbers (Top of Page)"/>
            <w:docPartUnique/>
          </w:docPartObj>
        </w:sdtPr>
        <w:sdtEndPr/>
        <w:sdtContent>
          <w:p w:rsidR="00BF2665" w:rsidRDefault="00BF2665">
            <w:pPr>
              <w:pStyle w:val="Pieddepage"/>
              <w:jc w:val="right"/>
            </w:pPr>
            <w:r>
              <w:t xml:space="preserve">Page </w:t>
            </w:r>
            <w:r w:rsidR="00C42A80">
              <w:rPr>
                <w:b/>
              </w:rPr>
              <w:fldChar w:fldCharType="begin"/>
            </w:r>
            <w:r>
              <w:rPr>
                <w:b/>
              </w:rPr>
              <w:instrText>PAGE</w:instrText>
            </w:r>
            <w:r w:rsidR="00C42A80">
              <w:rPr>
                <w:b/>
              </w:rPr>
              <w:fldChar w:fldCharType="separate"/>
            </w:r>
            <w:r w:rsidR="000A2CFC">
              <w:rPr>
                <w:b/>
                <w:noProof/>
              </w:rPr>
              <w:t>2</w:t>
            </w:r>
            <w:r w:rsidR="00C42A80">
              <w:rPr>
                <w:b/>
              </w:rPr>
              <w:fldChar w:fldCharType="end"/>
            </w:r>
            <w:r>
              <w:t xml:space="preserve"> </w:t>
            </w:r>
            <w:proofErr w:type="spellStart"/>
            <w:r>
              <w:t>sur</w:t>
            </w:r>
            <w:proofErr w:type="spellEnd"/>
            <w:r>
              <w:t xml:space="preserve"> </w:t>
            </w:r>
            <w:r w:rsidR="00C42A80">
              <w:rPr>
                <w:b/>
              </w:rPr>
              <w:fldChar w:fldCharType="begin"/>
            </w:r>
            <w:r>
              <w:rPr>
                <w:b/>
              </w:rPr>
              <w:instrText>NUMPAGES</w:instrText>
            </w:r>
            <w:r w:rsidR="00C42A80">
              <w:rPr>
                <w:b/>
              </w:rPr>
              <w:fldChar w:fldCharType="separate"/>
            </w:r>
            <w:r w:rsidR="000A2CFC">
              <w:rPr>
                <w:b/>
                <w:noProof/>
              </w:rPr>
              <w:t>2</w:t>
            </w:r>
            <w:r w:rsidR="00C42A80">
              <w:rPr>
                <w:b/>
              </w:rPr>
              <w:fldChar w:fldCharType="end"/>
            </w:r>
          </w:p>
        </w:sdtContent>
      </w:sdt>
    </w:sdtContent>
  </w:sdt>
  <w:p w:rsidR="00BF2665" w:rsidRDefault="00BF26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BC" w:rsidRDefault="007D68BC" w:rsidP="00283DB1">
      <w:r>
        <w:separator/>
      </w:r>
    </w:p>
  </w:footnote>
  <w:footnote w:type="continuationSeparator" w:id="0">
    <w:p w:rsidR="007D68BC" w:rsidRDefault="007D68BC" w:rsidP="00283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4F8"/>
    <w:rsid w:val="00033D79"/>
    <w:rsid w:val="00055194"/>
    <w:rsid w:val="000701FC"/>
    <w:rsid w:val="00074280"/>
    <w:rsid w:val="00085413"/>
    <w:rsid w:val="000A20CB"/>
    <w:rsid w:val="000A2CFC"/>
    <w:rsid w:val="000D0524"/>
    <w:rsid w:val="000D5C9F"/>
    <w:rsid w:val="001A4BC1"/>
    <w:rsid w:val="001C37D5"/>
    <w:rsid w:val="00207385"/>
    <w:rsid w:val="00210357"/>
    <w:rsid w:val="002338E2"/>
    <w:rsid w:val="002464D0"/>
    <w:rsid w:val="002475E6"/>
    <w:rsid w:val="00283DB1"/>
    <w:rsid w:val="003C4D64"/>
    <w:rsid w:val="003F71CF"/>
    <w:rsid w:val="00422FB8"/>
    <w:rsid w:val="0044777B"/>
    <w:rsid w:val="004F4221"/>
    <w:rsid w:val="00501CAF"/>
    <w:rsid w:val="00586596"/>
    <w:rsid w:val="005A40AE"/>
    <w:rsid w:val="005D5EE3"/>
    <w:rsid w:val="00637F03"/>
    <w:rsid w:val="00650C33"/>
    <w:rsid w:val="007B741F"/>
    <w:rsid w:val="007D68BC"/>
    <w:rsid w:val="00815AD6"/>
    <w:rsid w:val="00826614"/>
    <w:rsid w:val="008438FA"/>
    <w:rsid w:val="0089712F"/>
    <w:rsid w:val="008C7F38"/>
    <w:rsid w:val="008E34FC"/>
    <w:rsid w:val="009B204F"/>
    <w:rsid w:val="00A07D0F"/>
    <w:rsid w:val="00A801E2"/>
    <w:rsid w:val="00AD540C"/>
    <w:rsid w:val="00B01D58"/>
    <w:rsid w:val="00B07722"/>
    <w:rsid w:val="00BF2665"/>
    <w:rsid w:val="00C42A80"/>
    <w:rsid w:val="00CE6D2A"/>
    <w:rsid w:val="00D208EE"/>
    <w:rsid w:val="00D26A0D"/>
    <w:rsid w:val="00D95F9F"/>
    <w:rsid w:val="00D9621F"/>
    <w:rsid w:val="00DB0D01"/>
    <w:rsid w:val="00E104F8"/>
    <w:rsid w:val="00E146D1"/>
    <w:rsid w:val="00E86A0A"/>
    <w:rsid w:val="00ED290E"/>
    <w:rsid w:val="00EE56D6"/>
    <w:rsid w:val="00F20619"/>
    <w:rsid w:val="00F3560C"/>
    <w:rsid w:val="00F43BAB"/>
    <w:rsid w:val="00F70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F8"/>
    <w:pPr>
      <w:spacing w:after="0" w:line="240" w:lineRule="auto"/>
    </w:pPr>
    <w:rPr>
      <w:rFonts w:ascii="Times New Roman" w:eastAsia="MS Mincho"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83DB1"/>
    <w:pPr>
      <w:tabs>
        <w:tab w:val="center" w:pos="4536"/>
        <w:tab w:val="right" w:pos="9072"/>
      </w:tabs>
    </w:pPr>
  </w:style>
  <w:style w:type="character" w:customStyle="1" w:styleId="En-tteCar">
    <w:name w:val="En-tête Car"/>
    <w:basedOn w:val="Policepardfaut"/>
    <w:link w:val="En-tte"/>
    <w:uiPriority w:val="99"/>
    <w:semiHidden/>
    <w:rsid w:val="00283DB1"/>
    <w:rPr>
      <w:rFonts w:ascii="Times New Roman" w:eastAsia="MS Mincho" w:hAnsi="Times New Roman" w:cs="Times New Roman"/>
      <w:sz w:val="24"/>
      <w:szCs w:val="24"/>
      <w:lang w:val="en-GB"/>
    </w:rPr>
  </w:style>
  <w:style w:type="paragraph" w:styleId="Pieddepage">
    <w:name w:val="footer"/>
    <w:basedOn w:val="Normal"/>
    <w:link w:val="PieddepageCar"/>
    <w:uiPriority w:val="99"/>
    <w:unhideWhenUsed/>
    <w:rsid w:val="00283DB1"/>
    <w:pPr>
      <w:tabs>
        <w:tab w:val="center" w:pos="4536"/>
        <w:tab w:val="right" w:pos="9072"/>
      </w:tabs>
    </w:pPr>
  </w:style>
  <w:style w:type="character" w:customStyle="1" w:styleId="PieddepageCar">
    <w:name w:val="Pied de page Car"/>
    <w:basedOn w:val="Policepardfaut"/>
    <w:link w:val="Pieddepage"/>
    <w:uiPriority w:val="99"/>
    <w:rsid w:val="00283DB1"/>
    <w:rPr>
      <w:rFonts w:ascii="Times New Roman" w:eastAsia="MS Mincho" w:hAnsi="Times New Roman" w:cs="Times New Roman"/>
      <w:sz w:val="24"/>
      <w:szCs w:val="24"/>
      <w:lang w:val="en-GB"/>
    </w:rPr>
  </w:style>
  <w:style w:type="paragraph" w:styleId="Textedebulles">
    <w:name w:val="Balloon Text"/>
    <w:basedOn w:val="Normal"/>
    <w:link w:val="TextedebullesCar"/>
    <w:uiPriority w:val="99"/>
    <w:semiHidden/>
    <w:unhideWhenUsed/>
    <w:rsid w:val="00DB0D01"/>
    <w:rPr>
      <w:rFonts w:ascii="Tahoma" w:hAnsi="Tahoma" w:cs="Tahoma"/>
      <w:sz w:val="16"/>
      <w:szCs w:val="16"/>
    </w:rPr>
  </w:style>
  <w:style w:type="character" w:customStyle="1" w:styleId="TextedebullesCar">
    <w:name w:val="Texte de bulles Car"/>
    <w:basedOn w:val="Policepardfaut"/>
    <w:link w:val="Textedebulles"/>
    <w:uiPriority w:val="99"/>
    <w:semiHidden/>
    <w:rsid w:val="00DB0D01"/>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679F-A659-47AF-A917-30035257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adrien.tigo</dc:creator>
  <cp:lastModifiedBy>adrien.tigo</cp:lastModifiedBy>
  <cp:revision>26</cp:revision>
  <cp:lastPrinted>2013-03-15T10:14:00Z</cp:lastPrinted>
  <dcterms:created xsi:type="dcterms:W3CDTF">2011-08-22T17:14:00Z</dcterms:created>
  <dcterms:modified xsi:type="dcterms:W3CDTF">2013-03-15T10:15:00Z</dcterms:modified>
</cp:coreProperties>
</file>