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BD" w:rsidRPr="008D7423" w:rsidRDefault="00757DBD" w:rsidP="00023C1E">
      <w:pPr>
        <w:jc w:val="center"/>
        <w:rPr>
          <w:b/>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1425"/>
        <w:gridCol w:w="1513"/>
        <w:gridCol w:w="2048"/>
        <w:gridCol w:w="1426"/>
        <w:gridCol w:w="1070"/>
        <w:gridCol w:w="1515"/>
        <w:gridCol w:w="978"/>
        <w:gridCol w:w="1402"/>
      </w:tblGrid>
      <w:tr w:rsidR="008D7423" w:rsidRPr="008D7423" w:rsidTr="00CD6E76">
        <w:trPr>
          <w:trHeight w:val="617"/>
          <w:tblHeader/>
        </w:trPr>
        <w:tc>
          <w:tcPr>
            <w:tcW w:w="68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UNDAF/</w:t>
            </w:r>
          </w:p>
          <w:p w:rsidR="00174CF0" w:rsidRPr="008D7423" w:rsidRDefault="00174CF0" w:rsidP="00174CF0">
            <w:pPr>
              <w:jc w:val="center"/>
              <w:rPr>
                <w:b/>
                <w:bCs/>
                <w:sz w:val="16"/>
                <w:szCs w:val="16"/>
              </w:rPr>
            </w:pPr>
            <w:r w:rsidRPr="008D7423">
              <w:rPr>
                <w:b/>
                <w:bCs/>
                <w:sz w:val="16"/>
                <w:szCs w:val="16"/>
              </w:rPr>
              <w:t>CPD Outcome</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 xml:space="preserve">Strategic Plan Results Area </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Evaluation Title</w:t>
            </w:r>
          </w:p>
        </w:tc>
        <w:tc>
          <w:tcPr>
            <w:tcW w:w="7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Del="00BA628C" w:rsidRDefault="00174CF0" w:rsidP="00174CF0">
            <w:pPr>
              <w:jc w:val="center"/>
              <w:rPr>
                <w:b/>
                <w:bCs/>
                <w:sz w:val="16"/>
                <w:szCs w:val="16"/>
              </w:rPr>
            </w:pPr>
            <w:r w:rsidRPr="008D7423">
              <w:rPr>
                <w:b/>
                <w:bCs/>
                <w:sz w:val="16"/>
                <w:szCs w:val="16"/>
              </w:rPr>
              <w:t>Partners</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 xml:space="preserve">Evaluation Commissioned by </w:t>
            </w:r>
          </w:p>
        </w:tc>
        <w:tc>
          <w:tcPr>
            <w:tcW w:w="40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Type of evaluation</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Planned Evaluation Completion Date</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Estimated Cost</w:t>
            </w:r>
          </w:p>
        </w:tc>
        <w:tc>
          <w:tcPr>
            <w:tcW w:w="53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4CF0" w:rsidRPr="008D7423" w:rsidRDefault="00174CF0" w:rsidP="00174CF0">
            <w:pPr>
              <w:jc w:val="center"/>
              <w:rPr>
                <w:b/>
                <w:bCs/>
                <w:sz w:val="16"/>
                <w:szCs w:val="16"/>
              </w:rPr>
            </w:pPr>
            <w:r w:rsidRPr="008D7423">
              <w:rPr>
                <w:b/>
                <w:bCs/>
                <w:sz w:val="16"/>
                <w:szCs w:val="16"/>
              </w:rPr>
              <w:t>Provisional Source of Funding</w:t>
            </w:r>
          </w:p>
        </w:tc>
      </w:tr>
      <w:tr w:rsidR="008D7423" w:rsidRPr="008D7423" w:rsidTr="00BE4F24">
        <w:trPr>
          <w:trHeight w:val="396"/>
        </w:trPr>
        <w:tc>
          <w:tcPr>
            <w:tcW w:w="5000" w:type="pct"/>
            <w:gridSpan w:val="9"/>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0F5B54" w:rsidRPr="008D7423" w:rsidRDefault="000F5B54" w:rsidP="00032873">
            <w:pPr>
              <w:rPr>
                <w:b/>
                <w:bCs/>
                <w:sz w:val="24"/>
                <w:szCs w:val="24"/>
              </w:rPr>
            </w:pPr>
            <w:r w:rsidRPr="008D7423">
              <w:rPr>
                <w:b/>
                <w:bCs/>
                <w:sz w:val="24"/>
                <w:szCs w:val="24"/>
              </w:rPr>
              <w:t xml:space="preserve">One </w:t>
            </w:r>
            <w:proofErr w:type="spellStart"/>
            <w:r w:rsidRPr="008D7423">
              <w:rPr>
                <w:b/>
                <w:bCs/>
                <w:sz w:val="24"/>
                <w:szCs w:val="24"/>
              </w:rPr>
              <w:t>Programme</w:t>
            </w:r>
            <w:proofErr w:type="spellEnd"/>
            <w:r w:rsidRPr="008D7423">
              <w:rPr>
                <w:b/>
                <w:bCs/>
                <w:sz w:val="24"/>
                <w:szCs w:val="24"/>
              </w:rPr>
              <w:t xml:space="preserve"> Mid-Term Review</w:t>
            </w:r>
            <w:r w:rsidR="00032873" w:rsidRPr="008D7423">
              <w:rPr>
                <w:rStyle w:val="FootnoteReference"/>
                <w:b/>
                <w:bCs/>
                <w:sz w:val="24"/>
                <w:szCs w:val="24"/>
              </w:rPr>
              <w:footnoteReference w:id="1"/>
            </w:r>
            <w:r w:rsidRPr="008D7423">
              <w:rPr>
                <w:b/>
                <w:bCs/>
                <w:sz w:val="24"/>
                <w:szCs w:val="24"/>
              </w:rPr>
              <w:t xml:space="preserve"> </w:t>
            </w:r>
          </w:p>
        </w:tc>
      </w:tr>
      <w:tr w:rsidR="008D7423" w:rsidRPr="008D7423" w:rsidTr="00CD6E76">
        <w:trPr>
          <w:trHeight w:val="2475"/>
        </w:trPr>
        <w:tc>
          <w:tcPr>
            <w:tcW w:w="683" w:type="pct"/>
            <w:tcBorders>
              <w:top w:val="single" w:sz="4" w:space="0" w:color="auto"/>
              <w:left w:val="single" w:sz="4" w:space="0" w:color="auto"/>
              <w:bottom w:val="single" w:sz="4" w:space="0" w:color="auto"/>
              <w:right w:val="single" w:sz="4" w:space="0" w:color="auto"/>
            </w:tcBorders>
          </w:tcPr>
          <w:p w:rsidR="00445E2D" w:rsidRPr="008D7423" w:rsidRDefault="00032873" w:rsidP="00942835">
            <w:pPr>
              <w:rPr>
                <w:sz w:val="16"/>
                <w:szCs w:val="16"/>
              </w:rPr>
            </w:pPr>
            <w:r w:rsidRPr="008D7423">
              <w:rPr>
                <w:b/>
                <w:sz w:val="16"/>
                <w:szCs w:val="16"/>
              </w:rPr>
              <w:t>Outcome 1</w:t>
            </w:r>
            <w:r w:rsidRPr="008D7423">
              <w:rPr>
                <w:sz w:val="16"/>
                <w:szCs w:val="16"/>
              </w:rPr>
              <w:t xml:space="preserve"> </w:t>
            </w:r>
            <w:r w:rsidR="00445E2D" w:rsidRPr="008D7423">
              <w:rPr>
                <w:sz w:val="16"/>
                <w:szCs w:val="16"/>
              </w:rPr>
              <w:t xml:space="preserve"> </w:t>
            </w:r>
          </w:p>
          <w:p w:rsidR="000F5B54" w:rsidRPr="008D7423" w:rsidRDefault="00445E2D" w:rsidP="00942835">
            <w:pPr>
              <w:rPr>
                <w:sz w:val="16"/>
                <w:szCs w:val="16"/>
              </w:rPr>
            </w:pPr>
            <w:r w:rsidRPr="008D7423">
              <w:rPr>
                <w:sz w:val="16"/>
                <w:szCs w:val="16"/>
              </w:rPr>
              <w:t>By 2018, sustainable and green economic growth that is equitable, inclusive, climate and disaster resilient that promotes poverty reduction and employment opportunities particularly for vulnerable groups enhanced.</w:t>
            </w:r>
          </w:p>
        </w:tc>
        <w:tc>
          <w:tcPr>
            <w:tcW w:w="541" w:type="pct"/>
            <w:tcBorders>
              <w:top w:val="single" w:sz="4" w:space="0" w:color="auto"/>
              <w:left w:val="single" w:sz="4" w:space="0" w:color="auto"/>
              <w:bottom w:val="single" w:sz="4" w:space="0" w:color="auto"/>
              <w:right w:val="single" w:sz="4" w:space="0" w:color="auto"/>
            </w:tcBorders>
          </w:tcPr>
          <w:p w:rsidR="000F5B54" w:rsidRPr="008D7423" w:rsidRDefault="000F5B54" w:rsidP="00942835">
            <w:pPr>
              <w:rPr>
                <w:sz w:val="16"/>
                <w:szCs w:val="16"/>
              </w:rPr>
            </w:pPr>
            <w:r w:rsidRPr="008D7423">
              <w:rPr>
                <w:sz w:val="16"/>
                <w:szCs w:val="16"/>
              </w:rPr>
              <w:t>Energy and environment.</w:t>
            </w:r>
          </w:p>
          <w:p w:rsidR="000F5B54" w:rsidRPr="008D7423" w:rsidRDefault="000F5B54" w:rsidP="00942835">
            <w:pPr>
              <w:rPr>
                <w:sz w:val="16"/>
                <w:szCs w:val="16"/>
              </w:rPr>
            </w:pPr>
          </w:p>
          <w:p w:rsidR="000F5B54" w:rsidRPr="008D7423" w:rsidRDefault="000F5B54" w:rsidP="00942835">
            <w:pPr>
              <w:rPr>
                <w:rFonts w:ascii="Arial" w:hAnsi="Arial" w:cs="Arial"/>
              </w:rPr>
            </w:pPr>
            <w:r w:rsidRPr="008D7423">
              <w:rPr>
                <w:sz w:val="16"/>
                <w:szCs w:val="16"/>
              </w:rPr>
              <w:t>Poverty Reduction and the MDGs</w:t>
            </w:r>
          </w:p>
        </w:tc>
        <w:tc>
          <w:tcPr>
            <w:tcW w:w="574" w:type="pct"/>
            <w:tcBorders>
              <w:top w:val="single" w:sz="4" w:space="0" w:color="auto"/>
              <w:left w:val="single" w:sz="4" w:space="0" w:color="auto"/>
              <w:bottom w:val="single" w:sz="4" w:space="0" w:color="auto"/>
              <w:right w:val="single" w:sz="4" w:space="0" w:color="auto"/>
            </w:tcBorders>
          </w:tcPr>
          <w:p w:rsidR="000F5B54" w:rsidRPr="008D7423" w:rsidRDefault="000F5B54" w:rsidP="00942835">
            <w:pPr>
              <w:rPr>
                <w:sz w:val="16"/>
                <w:szCs w:val="16"/>
              </w:rPr>
            </w:pPr>
            <w:r w:rsidRPr="008D7423">
              <w:rPr>
                <w:sz w:val="16"/>
                <w:szCs w:val="16"/>
              </w:rPr>
              <w:t xml:space="preserve">Mid-term Review: One </w:t>
            </w:r>
            <w:proofErr w:type="spellStart"/>
            <w:r w:rsidRPr="008D7423">
              <w:rPr>
                <w:sz w:val="16"/>
                <w:szCs w:val="16"/>
              </w:rPr>
              <w:t>Programme</w:t>
            </w:r>
            <w:proofErr w:type="spellEnd"/>
            <w:r w:rsidRPr="008D7423">
              <w:rPr>
                <w:sz w:val="16"/>
                <w:szCs w:val="16"/>
              </w:rPr>
              <w:t xml:space="preserve"> Outcome 1</w:t>
            </w:r>
          </w:p>
          <w:p w:rsidR="000F5B54" w:rsidRPr="008D7423" w:rsidRDefault="000F5B54" w:rsidP="00942835">
            <w:pPr>
              <w:rPr>
                <w:sz w:val="16"/>
                <w:szCs w:val="16"/>
              </w:rPr>
            </w:pPr>
          </w:p>
          <w:p w:rsidR="000F5B54" w:rsidRPr="008D7423" w:rsidRDefault="000F5B54" w:rsidP="00942835">
            <w:pPr>
              <w:rPr>
                <w:rFonts w:ascii="Arial" w:hAnsi="Arial" w:cs="Arial"/>
              </w:rPr>
            </w:pPr>
          </w:p>
        </w:tc>
        <w:tc>
          <w:tcPr>
            <w:tcW w:w="777" w:type="pct"/>
            <w:tcBorders>
              <w:top w:val="single" w:sz="4" w:space="0" w:color="auto"/>
              <w:left w:val="single" w:sz="4" w:space="0" w:color="auto"/>
              <w:bottom w:val="single" w:sz="4" w:space="0" w:color="auto"/>
              <w:right w:val="single" w:sz="4" w:space="0" w:color="auto"/>
            </w:tcBorders>
          </w:tcPr>
          <w:p w:rsidR="000F5B54" w:rsidRPr="008D7423" w:rsidRDefault="000F5B54" w:rsidP="00942835">
            <w:pPr>
              <w:rPr>
                <w:bCs/>
                <w:sz w:val="16"/>
                <w:szCs w:val="16"/>
              </w:rPr>
            </w:pPr>
            <w:r w:rsidRPr="008D7423">
              <w:rPr>
                <w:bCs/>
                <w:sz w:val="16"/>
                <w:szCs w:val="16"/>
              </w:rPr>
              <w:t>Gross National Happiness Commission; National Environment Commission; Ministry of Economic Affairs; National Bureau of Statistics</w:t>
            </w:r>
          </w:p>
          <w:p w:rsidR="000F5B54" w:rsidRPr="008D7423" w:rsidRDefault="000F5B54" w:rsidP="00942835">
            <w:pPr>
              <w:rPr>
                <w:rFonts w:ascii="Arial" w:hAnsi="Arial" w:cs="Arial"/>
              </w:rPr>
            </w:pPr>
            <w:r w:rsidRPr="008D7423">
              <w:rPr>
                <w:bCs/>
                <w:sz w:val="16"/>
                <w:szCs w:val="16"/>
              </w:rPr>
              <w:t>District governments; Department of Local Governments, Business sectors, NGOs, think tanks, the media, FAO, UNEP, UNIDO, OCHA, UNWOMEN, UNCTAD</w:t>
            </w:r>
          </w:p>
        </w:tc>
        <w:tc>
          <w:tcPr>
            <w:tcW w:w="541" w:type="pct"/>
            <w:tcBorders>
              <w:top w:val="single" w:sz="4" w:space="0" w:color="auto"/>
              <w:left w:val="single" w:sz="4" w:space="0" w:color="auto"/>
              <w:bottom w:val="single" w:sz="4" w:space="0" w:color="auto"/>
              <w:right w:val="single" w:sz="4" w:space="0" w:color="auto"/>
            </w:tcBorders>
          </w:tcPr>
          <w:p w:rsidR="000F5B54" w:rsidRPr="008D7423" w:rsidRDefault="000F5B54" w:rsidP="00942835">
            <w:pPr>
              <w:rPr>
                <w:sz w:val="16"/>
                <w:szCs w:val="16"/>
              </w:rPr>
            </w:pPr>
            <w:r w:rsidRPr="008D7423">
              <w:rPr>
                <w:sz w:val="16"/>
                <w:szCs w:val="16"/>
              </w:rPr>
              <w:t>G</w:t>
            </w:r>
            <w:r w:rsidR="00FF7C87" w:rsidRPr="008D7423">
              <w:rPr>
                <w:sz w:val="16"/>
                <w:szCs w:val="16"/>
              </w:rPr>
              <w:t xml:space="preserve">ross </w:t>
            </w:r>
            <w:r w:rsidRPr="008D7423">
              <w:rPr>
                <w:sz w:val="16"/>
                <w:szCs w:val="16"/>
              </w:rPr>
              <w:t>N</w:t>
            </w:r>
            <w:r w:rsidR="00FF7C87" w:rsidRPr="008D7423">
              <w:rPr>
                <w:sz w:val="16"/>
                <w:szCs w:val="16"/>
              </w:rPr>
              <w:t xml:space="preserve">ational </w:t>
            </w:r>
            <w:r w:rsidRPr="008D7423">
              <w:rPr>
                <w:sz w:val="16"/>
                <w:szCs w:val="16"/>
              </w:rPr>
              <w:t>H</w:t>
            </w:r>
            <w:r w:rsidR="00FF7C87" w:rsidRPr="008D7423">
              <w:rPr>
                <w:sz w:val="16"/>
                <w:szCs w:val="16"/>
              </w:rPr>
              <w:t xml:space="preserve">appiness </w:t>
            </w:r>
            <w:r w:rsidRPr="008D7423">
              <w:rPr>
                <w:sz w:val="16"/>
                <w:szCs w:val="16"/>
              </w:rPr>
              <w:t>C</w:t>
            </w:r>
            <w:r w:rsidR="00FF7C87" w:rsidRPr="008D7423">
              <w:rPr>
                <w:sz w:val="16"/>
                <w:szCs w:val="16"/>
              </w:rPr>
              <w:t>ommission (GNHC)</w:t>
            </w:r>
            <w:r w:rsidRPr="008D7423">
              <w:rPr>
                <w:sz w:val="16"/>
                <w:szCs w:val="16"/>
              </w:rPr>
              <w:t xml:space="preserve"> and UN System</w:t>
            </w:r>
          </w:p>
        </w:tc>
        <w:tc>
          <w:tcPr>
            <w:tcW w:w="406" w:type="pct"/>
            <w:tcBorders>
              <w:top w:val="single" w:sz="4" w:space="0" w:color="auto"/>
              <w:left w:val="single" w:sz="4" w:space="0" w:color="auto"/>
              <w:bottom w:val="single" w:sz="4" w:space="0" w:color="auto"/>
              <w:right w:val="single" w:sz="4" w:space="0" w:color="auto"/>
            </w:tcBorders>
          </w:tcPr>
          <w:p w:rsidR="000F5B54" w:rsidRPr="008D7423" w:rsidRDefault="00370EA5" w:rsidP="00942835">
            <w:pPr>
              <w:jc w:val="center"/>
              <w:rPr>
                <w:sz w:val="16"/>
                <w:szCs w:val="16"/>
              </w:rPr>
            </w:pPr>
            <w:r w:rsidRPr="008D7423">
              <w:rPr>
                <w:sz w:val="16"/>
                <w:szCs w:val="16"/>
              </w:rPr>
              <w:t xml:space="preserve">One </w:t>
            </w:r>
            <w:proofErr w:type="spellStart"/>
            <w:r w:rsidRPr="008D7423">
              <w:rPr>
                <w:sz w:val="16"/>
                <w:szCs w:val="16"/>
              </w:rPr>
              <w:t>Programme</w:t>
            </w:r>
            <w:proofErr w:type="spellEnd"/>
            <w:r w:rsidR="001050BE" w:rsidRPr="008D7423">
              <w:rPr>
                <w:sz w:val="16"/>
                <w:szCs w:val="16"/>
              </w:rPr>
              <w:t xml:space="preserve"> (Joint)</w:t>
            </w:r>
          </w:p>
        </w:tc>
        <w:tc>
          <w:tcPr>
            <w:tcW w:w="575" w:type="pct"/>
            <w:tcBorders>
              <w:top w:val="single" w:sz="4" w:space="0" w:color="auto"/>
              <w:left w:val="single" w:sz="4" w:space="0" w:color="auto"/>
              <w:bottom w:val="single" w:sz="4" w:space="0" w:color="auto"/>
              <w:right w:val="single" w:sz="4" w:space="0" w:color="auto"/>
            </w:tcBorders>
          </w:tcPr>
          <w:p w:rsidR="000F5B54" w:rsidRPr="008D7423" w:rsidRDefault="000F5B54" w:rsidP="00942835">
            <w:pPr>
              <w:rPr>
                <w:sz w:val="16"/>
                <w:szCs w:val="16"/>
              </w:rPr>
            </w:pPr>
            <w:r w:rsidRPr="008D7423">
              <w:rPr>
                <w:sz w:val="16"/>
                <w:szCs w:val="16"/>
              </w:rPr>
              <w:t>June 2016</w:t>
            </w:r>
          </w:p>
        </w:tc>
        <w:tc>
          <w:tcPr>
            <w:tcW w:w="371" w:type="pct"/>
            <w:tcBorders>
              <w:top w:val="single" w:sz="4" w:space="0" w:color="auto"/>
              <w:left w:val="single" w:sz="4" w:space="0" w:color="auto"/>
              <w:bottom w:val="single" w:sz="4" w:space="0" w:color="auto"/>
              <w:right w:val="single" w:sz="4" w:space="0" w:color="auto"/>
            </w:tcBorders>
          </w:tcPr>
          <w:p w:rsidR="000F5B54" w:rsidRPr="008D7423" w:rsidRDefault="00357B2B" w:rsidP="00942835">
            <w:pPr>
              <w:rPr>
                <w:sz w:val="16"/>
                <w:szCs w:val="16"/>
              </w:rPr>
            </w:pPr>
            <w:r w:rsidRPr="008D7423">
              <w:rPr>
                <w:sz w:val="16"/>
                <w:szCs w:val="16"/>
              </w:rPr>
              <w:t>$ 5</w:t>
            </w:r>
            <w:r w:rsidR="000F5B54" w:rsidRPr="008D7423">
              <w:rPr>
                <w:sz w:val="16"/>
                <w:szCs w:val="16"/>
              </w:rPr>
              <w:t>0,000</w:t>
            </w:r>
          </w:p>
        </w:tc>
        <w:tc>
          <w:tcPr>
            <w:tcW w:w="533" w:type="pct"/>
            <w:tcBorders>
              <w:top w:val="single" w:sz="4" w:space="0" w:color="auto"/>
              <w:left w:val="single" w:sz="4" w:space="0" w:color="auto"/>
              <w:bottom w:val="single" w:sz="4" w:space="0" w:color="auto"/>
              <w:right w:val="single" w:sz="4" w:space="0" w:color="auto"/>
            </w:tcBorders>
          </w:tcPr>
          <w:p w:rsidR="000F5B54" w:rsidRPr="008D7423" w:rsidRDefault="000F5B54" w:rsidP="00B377D1">
            <w:pPr>
              <w:rPr>
                <w:rStyle w:val="CommentReference"/>
                <w:sz w:val="16"/>
                <w:szCs w:val="16"/>
                <w:lang w:eastAsia="uk-UA"/>
              </w:rPr>
            </w:pPr>
            <w:r w:rsidRPr="008D7423">
              <w:rPr>
                <w:rStyle w:val="CommentReference"/>
                <w:sz w:val="16"/>
                <w:szCs w:val="16"/>
                <w:lang w:eastAsia="uk-UA"/>
              </w:rPr>
              <w:t>Project</w:t>
            </w:r>
            <w:r w:rsidR="00DF3E40" w:rsidRPr="008D7423">
              <w:rPr>
                <w:rStyle w:val="CommentReference"/>
                <w:sz w:val="16"/>
                <w:szCs w:val="16"/>
                <w:lang w:eastAsia="uk-UA"/>
              </w:rPr>
              <w:t xml:space="preserve">—to be shared with UN </w:t>
            </w:r>
            <w:r w:rsidR="00B377D1" w:rsidRPr="008D7423">
              <w:rPr>
                <w:rStyle w:val="CommentReference"/>
                <w:sz w:val="16"/>
                <w:szCs w:val="16"/>
                <w:lang w:eastAsia="uk-UA"/>
              </w:rPr>
              <w:t>System</w:t>
            </w:r>
          </w:p>
        </w:tc>
      </w:tr>
      <w:tr w:rsidR="008D7423" w:rsidRPr="008D7423" w:rsidTr="00CD6E76">
        <w:trPr>
          <w:trHeight w:val="845"/>
        </w:trPr>
        <w:tc>
          <w:tcPr>
            <w:tcW w:w="683" w:type="pct"/>
            <w:tcBorders>
              <w:top w:val="single" w:sz="4" w:space="0" w:color="auto"/>
              <w:left w:val="single" w:sz="4" w:space="0" w:color="auto"/>
              <w:bottom w:val="single" w:sz="4" w:space="0" w:color="auto"/>
              <w:right w:val="single" w:sz="4" w:space="0" w:color="auto"/>
            </w:tcBorders>
          </w:tcPr>
          <w:p w:rsidR="009968EE" w:rsidRPr="008D7423" w:rsidRDefault="00471A5E" w:rsidP="00BF1F40">
            <w:pPr>
              <w:rPr>
                <w:b/>
                <w:sz w:val="16"/>
                <w:szCs w:val="16"/>
              </w:rPr>
            </w:pPr>
            <w:r w:rsidRPr="008D7423">
              <w:rPr>
                <w:b/>
                <w:sz w:val="16"/>
                <w:szCs w:val="16"/>
              </w:rPr>
              <w:t>Outcome 3:</w:t>
            </w:r>
          </w:p>
          <w:p w:rsidR="00471A5E" w:rsidRPr="008D7423" w:rsidRDefault="00471A5E" w:rsidP="00BF1F40">
            <w:pPr>
              <w:rPr>
                <w:sz w:val="16"/>
                <w:szCs w:val="16"/>
              </w:rPr>
            </w:pPr>
            <w:r w:rsidRPr="008D7423">
              <w:rPr>
                <w:sz w:val="16"/>
                <w:szCs w:val="16"/>
              </w:rPr>
              <w:t>By 2018, communities and institutions strengthened at all levels to achieve enhanced gender equality, empowerment of women</w:t>
            </w:r>
            <w:r w:rsidR="000B0CDB" w:rsidRPr="008D7423">
              <w:rPr>
                <w:sz w:val="16"/>
                <w:szCs w:val="16"/>
              </w:rPr>
              <w:t xml:space="preserve"> and children.</w:t>
            </w:r>
          </w:p>
        </w:tc>
        <w:tc>
          <w:tcPr>
            <w:tcW w:w="541" w:type="pct"/>
            <w:tcBorders>
              <w:top w:val="single" w:sz="4" w:space="0" w:color="auto"/>
              <w:left w:val="single" w:sz="4" w:space="0" w:color="auto"/>
              <w:bottom w:val="single" w:sz="4" w:space="0" w:color="auto"/>
              <w:right w:val="single" w:sz="4" w:space="0" w:color="auto"/>
            </w:tcBorders>
          </w:tcPr>
          <w:p w:rsidR="009968EE" w:rsidRPr="008D7423" w:rsidRDefault="0025177B" w:rsidP="009968EE">
            <w:pPr>
              <w:rPr>
                <w:sz w:val="16"/>
                <w:szCs w:val="16"/>
              </w:rPr>
            </w:pPr>
            <w:r w:rsidRPr="008D7423">
              <w:rPr>
                <w:sz w:val="16"/>
                <w:szCs w:val="16"/>
              </w:rPr>
              <w:t>Gender equality and empowerment of women</w:t>
            </w:r>
          </w:p>
        </w:tc>
        <w:tc>
          <w:tcPr>
            <w:tcW w:w="574" w:type="pct"/>
            <w:tcBorders>
              <w:top w:val="single" w:sz="4" w:space="0" w:color="auto"/>
              <w:left w:val="single" w:sz="4" w:space="0" w:color="auto"/>
              <w:bottom w:val="single" w:sz="4" w:space="0" w:color="auto"/>
              <w:right w:val="single" w:sz="4" w:space="0" w:color="auto"/>
            </w:tcBorders>
          </w:tcPr>
          <w:p w:rsidR="009968EE" w:rsidRPr="008D7423" w:rsidRDefault="009968EE" w:rsidP="00942835">
            <w:pPr>
              <w:rPr>
                <w:sz w:val="16"/>
                <w:szCs w:val="16"/>
              </w:rPr>
            </w:pPr>
            <w:r w:rsidRPr="008D7423">
              <w:rPr>
                <w:sz w:val="16"/>
                <w:szCs w:val="16"/>
              </w:rPr>
              <w:t xml:space="preserve">Mid-term Review: Thematic </w:t>
            </w:r>
          </w:p>
        </w:tc>
        <w:tc>
          <w:tcPr>
            <w:tcW w:w="777" w:type="pct"/>
            <w:tcBorders>
              <w:top w:val="single" w:sz="4" w:space="0" w:color="auto"/>
              <w:left w:val="single" w:sz="4" w:space="0" w:color="auto"/>
              <w:bottom w:val="single" w:sz="4" w:space="0" w:color="auto"/>
              <w:right w:val="single" w:sz="4" w:space="0" w:color="auto"/>
            </w:tcBorders>
          </w:tcPr>
          <w:p w:rsidR="009968EE" w:rsidRPr="008D7423" w:rsidRDefault="00394F31" w:rsidP="00942835">
            <w:pPr>
              <w:rPr>
                <w:sz w:val="16"/>
                <w:szCs w:val="16"/>
              </w:rPr>
            </w:pPr>
            <w:r w:rsidRPr="008D7423">
              <w:rPr>
                <w:sz w:val="16"/>
                <w:szCs w:val="16"/>
              </w:rPr>
              <w:t xml:space="preserve">Gross National Happiness Commission; all UN agencies and implementing partners. </w:t>
            </w:r>
          </w:p>
        </w:tc>
        <w:tc>
          <w:tcPr>
            <w:tcW w:w="541" w:type="pct"/>
            <w:tcBorders>
              <w:top w:val="single" w:sz="4" w:space="0" w:color="auto"/>
              <w:left w:val="single" w:sz="4" w:space="0" w:color="auto"/>
              <w:bottom w:val="single" w:sz="4" w:space="0" w:color="auto"/>
              <w:right w:val="single" w:sz="4" w:space="0" w:color="auto"/>
            </w:tcBorders>
          </w:tcPr>
          <w:p w:rsidR="009968EE" w:rsidRPr="008D7423" w:rsidRDefault="009968EE" w:rsidP="00942835">
            <w:pPr>
              <w:rPr>
                <w:sz w:val="16"/>
                <w:szCs w:val="16"/>
              </w:rPr>
            </w:pPr>
            <w:r w:rsidRPr="008D7423">
              <w:rPr>
                <w:sz w:val="16"/>
                <w:szCs w:val="16"/>
              </w:rPr>
              <w:t>GNHC and UN System</w:t>
            </w:r>
          </w:p>
        </w:tc>
        <w:tc>
          <w:tcPr>
            <w:tcW w:w="406" w:type="pct"/>
            <w:tcBorders>
              <w:top w:val="single" w:sz="4" w:space="0" w:color="auto"/>
              <w:left w:val="single" w:sz="4" w:space="0" w:color="auto"/>
              <w:bottom w:val="single" w:sz="4" w:space="0" w:color="auto"/>
              <w:right w:val="single" w:sz="4" w:space="0" w:color="auto"/>
            </w:tcBorders>
          </w:tcPr>
          <w:p w:rsidR="009968EE" w:rsidRPr="008D7423" w:rsidRDefault="00370EA5" w:rsidP="00942835">
            <w:pPr>
              <w:jc w:val="center"/>
              <w:rPr>
                <w:sz w:val="16"/>
                <w:szCs w:val="16"/>
              </w:rPr>
            </w:pPr>
            <w:r w:rsidRPr="008D7423">
              <w:rPr>
                <w:sz w:val="16"/>
                <w:szCs w:val="16"/>
              </w:rPr>
              <w:t xml:space="preserve">One </w:t>
            </w:r>
            <w:proofErr w:type="spellStart"/>
            <w:r w:rsidRPr="008D7423">
              <w:rPr>
                <w:sz w:val="16"/>
                <w:szCs w:val="16"/>
              </w:rPr>
              <w:t>Programme</w:t>
            </w:r>
            <w:proofErr w:type="spellEnd"/>
            <w:r w:rsidRPr="008D7423">
              <w:rPr>
                <w:sz w:val="16"/>
                <w:szCs w:val="16"/>
              </w:rPr>
              <w:t xml:space="preserve"> </w:t>
            </w:r>
            <w:r w:rsidR="00C57C34" w:rsidRPr="008D7423">
              <w:rPr>
                <w:sz w:val="16"/>
                <w:szCs w:val="16"/>
              </w:rPr>
              <w:t>(Joint)</w:t>
            </w:r>
          </w:p>
        </w:tc>
        <w:tc>
          <w:tcPr>
            <w:tcW w:w="575" w:type="pct"/>
            <w:tcBorders>
              <w:top w:val="single" w:sz="4" w:space="0" w:color="auto"/>
              <w:left w:val="single" w:sz="4" w:space="0" w:color="auto"/>
              <w:bottom w:val="single" w:sz="4" w:space="0" w:color="auto"/>
              <w:right w:val="single" w:sz="4" w:space="0" w:color="auto"/>
            </w:tcBorders>
          </w:tcPr>
          <w:p w:rsidR="009968EE" w:rsidRPr="008D7423" w:rsidRDefault="009968EE" w:rsidP="00942835">
            <w:pPr>
              <w:rPr>
                <w:sz w:val="16"/>
                <w:szCs w:val="16"/>
              </w:rPr>
            </w:pPr>
            <w:r w:rsidRPr="008D7423">
              <w:rPr>
                <w:sz w:val="16"/>
                <w:szCs w:val="16"/>
              </w:rPr>
              <w:t>June 2016</w:t>
            </w:r>
          </w:p>
        </w:tc>
        <w:tc>
          <w:tcPr>
            <w:tcW w:w="371" w:type="pct"/>
            <w:tcBorders>
              <w:top w:val="single" w:sz="4" w:space="0" w:color="auto"/>
              <w:left w:val="single" w:sz="4" w:space="0" w:color="auto"/>
              <w:bottom w:val="single" w:sz="4" w:space="0" w:color="auto"/>
              <w:right w:val="single" w:sz="4" w:space="0" w:color="auto"/>
            </w:tcBorders>
          </w:tcPr>
          <w:p w:rsidR="009968EE" w:rsidRPr="008D7423" w:rsidRDefault="009968EE" w:rsidP="00942835">
            <w:pPr>
              <w:rPr>
                <w:sz w:val="16"/>
                <w:szCs w:val="16"/>
              </w:rPr>
            </w:pPr>
            <w:r w:rsidRPr="008D7423">
              <w:rPr>
                <w:sz w:val="16"/>
                <w:szCs w:val="16"/>
              </w:rPr>
              <w:t>$50,000</w:t>
            </w:r>
          </w:p>
        </w:tc>
        <w:tc>
          <w:tcPr>
            <w:tcW w:w="533" w:type="pct"/>
            <w:tcBorders>
              <w:top w:val="single" w:sz="4" w:space="0" w:color="auto"/>
              <w:left w:val="single" w:sz="4" w:space="0" w:color="auto"/>
              <w:bottom w:val="single" w:sz="4" w:space="0" w:color="auto"/>
              <w:right w:val="single" w:sz="4" w:space="0" w:color="auto"/>
            </w:tcBorders>
          </w:tcPr>
          <w:p w:rsidR="009968EE" w:rsidRPr="008D7423" w:rsidRDefault="009968EE" w:rsidP="00B377D1">
            <w:pPr>
              <w:rPr>
                <w:rStyle w:val="CommentReference"/>
                <w:sz w:val="16"/>
                <w:szCs w:val="16"/>
                <w:lang w:eastAsia="uk-UA"/>
              </w:rPr>
            </w:pPr>
            <w:r w:rsidRPr="008D7423">
              <w:rPr>
                <w:rStyle w:val="CommentReference"/>
                <w:sz w:val="16"/>
                <w:szCs w:val="16"/>
                <w:lang w:eastAsia="uk-UA"/>
              </w:rPr>
              <w:t>Project</w:t>
            </w:r>
            <w:r w:rsidR="00DF3E40" w:rsidRPr="008D7423">
              <w:rPr>
                <w:rStyle w:val="CommentReference"/>
                <w:sz w:val="16"/>
                <w:szCs w:val="16"/>
                <w:lang w:eastAsia="uk-UA"/>
              </w:rPr>
              <w:t xml:space="preserve">—to be shared with UN </w:t>
            </w:r>
            <w:r w:rsidR="00B377D1" w:rsidRPr="008D7423">
              <w:rPr>
                <w:rStyle w:val="CommentReference"/>
                <w:sz w:val="16"/>
                <w:szCs w:val="16"/>
                <w:lang w:eastAsia="uk-UA"/>
              </w:rPr>
              <w:t>System</w:t>
            </w:r>
          </w:p>
        </w:tc>
      </w:tr>
      <w:tr w:rsidR="008D7423" w:rsidRPr="008D7423" w:rsidTr="00041025">
        <w:trPr>
          <w:trHeight w:val="318"/>
        </w:trPr>
        <w:tc>
          <w:tcPr>
            <w:tcW w:w="5000" w:type="pct"/>
            <w:gridSpan w:val="9"/>
            <w:tcBorders>
              <w:top w:val="single" w:sz="4" w:space="0" w:color="auto"/>
              <w:left w:val="single" w:sz="4" w:space="0" w:color="auto"/>
            </w:tcBorders>
            <w:shd w:val="clear" w:color="auto" w:fill="C2D69B" w:themeFill="accent3" w:themeFillTint="99"/>
          </w:tcPr>
          <w:p w:rsidR="009968EE" w:rsidRPr="008D7423" w:rsidRDefault="009968EE" w:rsidP="00D34AB4">
            <w:pPr>
              <w:rPr>
                <w:rStyle w:val="CommentReference"/>
                <w:b/>
                <w:bCs/>
                <w:sz w:val="24"/>
                <w:szCs w:val="24"/>
                <w:lang w:eastAsia="uk-UA"/>
              </w:rPr>
            </w:pPr>
            <w:r w:rsidRPr="008D7423">
              <w:rPr>
                <w:rStyle w:val="CommentReference"/>
                <w:b/>
                <w:bCs/>
                <w:sz w:val="24"/>
                <w:szCs w:val="24"/>
                <w:lang w:eastAsia="uk-UA"/>
              </w:rPr>
              <w:t xml:space="preserve">One </w:t>
            </w:r>
            <w:proofErr w:type="spellStart"/>
            <w:r w:rsidRPr="008D7423">
              <w:rPr>
                <w:rStyle w:val="CommentReference"/>
                <w:b/>
                <w:bCs/>
                <w:sz w:val="24"/>
                <w:szCs w:val="24"/>
                <w:lang w:eastAsia="uk-UA"/>
              </w:rPr>
              <w:t>Programme</w:t>
            </w:r>
            <w:proofErr w:type="spellEnd"/>
            <w:r w:rsidRPr="008D7423">
              <w:rPr>
                <w:rStyle w:val="CommentReference"/>
                <w:b/>
                <w:bCs/>
                <w:sz w:val="24"/>
                <w:szCs w:val="24"/>
                <w:lang w:eastAsia="uk-UA"/>
              </w:rPr>
              <w:t xml:space="preserve"> </w:t>
            </w:r>
            <w:r w:rsidR="00ED5451" w:rsidRPr="008D7423">
              <w:rPr>
                <w:rStyle w:val="CommentReference"/>
                <w:b/>
                <w:bCs/>
                <w:sz w:val="24"/>
                <w:szCs w:val="24"/>
                <w:lang w:eastAsia="uk-UA"/>
              </w:rPr>
              <w:t xml:space="preserve">Comprehensive </w:t>
            </w:r>
            <w:r w:rsidRPr="008D7423">
              <w:rPr>
                <w:rStyle w:val="CommentReference"/>
                <w:b/>
                <w:bCs/>
                <w:sz w:val="24"/>
                <w:szCs w:val="24"/>
                <w:lang w:eastAsia="uk-UA"/>
              </w:rPr>
              <w:t>Evaluation</w:t>
            </w:r>
            <w:r w:rsidR="00D34AB4" w:rsidRPr="008D7423">
              <w:rPr>
                <w:rStyle w:val="CommentReference"/>
                <w:b/>
                <w:bCs/>
                <w:sz w:val="24"/>
                <w:szCs w:val="24"/>
                <w:lang w:eastAsia="uk-UA"/>
              </w:rPr>
              <w:t xml:space="preserve"> at End-of-Cycle</w:t>
            </w:r>
            <w:r w:rsidR="00D34AB4" w:rsidRPr="008D7423">
              <w:rPr>
                <w:rStyle w:val="FootnoteReference"/>
                <w:b/>
                <w:bCs/>
                <w:sz w:val="24"/>
                <w:szCs w:val="24"/>
                <w:lang w:eastAsia="uk-UA"/>
              </w:rPr>
              <w:t xml:space="preserve"> </w:t>
            </w:r>
            <w:r w:rsidRPr="008D7423">
              <w:rPr>
                <w:rStyle w:val="FootnoteReference"/>
                <w:b/>
                <w:bCs/>
                <w:sz w:val="24"/>
                <w:szCs w:val="24"/>
                <w:lang w:eastAsia="uk-UA"/>
              </w:rPr>
              <w:footnoteReference w:id="2"/>
            </w:r>
            <w:r w:rsidR="00ED5451" w:rsidRPr="008D7423">
              <w:rPr>
                <w:rStyle w:val="CommentReference"/>
                <w:b/>
                <w:bCs/>
                <w:sz w:val="24"/>
                <w:szCs w:val="24"/>
                <w:lang w:eastAsia="uk-UA"/>
              </w:rPr>
              <w:t xml:space="preserve"> </w:t>
            </w:r>
          </w:p>
        </w:tc>
      </w:tr>
      <w:tr w:rsidR="008D7423" w:rsidRPr="008D7423" w:rsidTr="00CD6E76">
        <w:trPr>
          <w:trHeight w:val="2271"/>
        </w:trPr>
        <w:tc>
          <w:tcPr>
            <w:tcW w:w="683" w:type="pct"/>
            <w:tcBorders>
              <w:top w:val="single" w:sz="4" w:space="0" w:color="auto"/>
              <w:left w:val="single" w:sz="4" w:space="0" w:color="auto"/>
              <w:right w:val="single" w:sz="4" w:space="0" w:color="auto"/>
            </w:tcBorders>
          </w:tcPr>
          <w:p w:rsidR="000E6CC9" w:rsidRPr="008D7423" w:rsidRDefault="002417D3" w:rsidP="000E6CC9">
            <w:pPr>
              <w:rPr>
                <w:sz w:val="16"/>
                <w:szCs w:val="16"/>
              </w:rPr>
            </w:pPr>
            <w:r w:rsidRPr="008D7423">
              <w:rPr>
                <w:b/>
                <w:sz w:val="16"/>
                <w:szCs w:val="16"/>
              </w:rPr>
              <w:t xml:space="preserve">All Outcomes </w:t>
            </w:r>
            <w:r w:rsidR="000E6CC9" w:rsidRPr="008D7423">
              <w:rPr>
                <w:b/>
                <w:sz w:val="16"/>
                <w:szCs w:val="16"/>
              </w:rPr>
              <w:t>(1-4)</w:t>
            </w:r>
            <w:r w:rsidR="000E6CC9" w:rsidRPr="008D7423">
              <w:rPr>
                <w:rStyle w:val="FootnoteReference"/>
                <w:sz w:val="16"/>
                <w:szCs w:val="16"/>
              </w:rPr>
              <w:t xml:space="preserve"> </w:t>
            </w:r>
            <w:r w:rsidR="000E6CC9" w:rsidRPr="008D7423">
              <w:rPr>
                <w:rStyle w:val="FootnoteReference"/>
                <w:sz w:val="16"/>
                <w:szCs w:val="16"/>
              </w:rPr>
              <w:footnoteReference w:id="3"/>
            </w:r>
          </w:p>
          <w:p w:rsidR="00394F31" w:rsidRPr="008D7423" w:rsidRDefault="00394F31" w:rsidP="009968EE">
            <w:pPr>
              <w:rPr>
                <w:sz w:val="16"/>
                <w:szCs w:val="16"/>
              </w:rPr>
            </w:pPr>
          </w:p>
          <w:p w:rsidR="00394F31" w:rsidRPr="008D7423" w:rsidRDefault="00394F31" w:rsidP="004C3333">
            <w:pPr>
              <w:rPr>
                <w:sz w:val="16"/>
                <w:szCs w:val="16"/>
              </w:rPr>
            </w:pPr>
            <w:r w:rsidRPr="008D7423">
              <w:rPr>
                <w:sz w:val="16"/>
                <w:szCs w:val="16"/>
              </w:rPr>
              <w:t xml:space="preserve"> </w:t>
            </w:r>
          </w:p>
        </w:tc>
        <w:tc>
          <w:tcPr>
            <w:tcW w:w="541" w:type="pct"/>
            <w:tcBorders>
              <w:top w:val="single" w:sz="4" w:space="0" w:color="auto"/>
              <w:left w:val="single" w:sz="4" w:space="0" w:color="auto"/>
              <w:right w:val="single" w:sz="4" w:space="0" w:color="auto"/>
            </w:tcBorders>
          </w:tcPr>
          <w:p w:rsidR="009968EE" w:rsidRPr="008D7423" w:rsidRDefault="009968EE" w:rsidP="009968EE">
            <w:pPr>
              <w:rPr>
                <w:sz w:val="16"/>
                <w:szCs w:val="16"/>
              </w:rPr>
            </w:pPr>
            <w:r w:rsidRPr="008D7423">
              <w:rPr>
                <w:sz w:val="16"/>
                <w:szCs w:val="16"/>
              </w:rPr>
              <w:t>Energy and environment.</w:t>
            </w:r>
          </w:p>
          <w:p w:rsidR="009968EE" w:rsidRPr="008D7423" w:rsidRDefault="009968EE" w:rsidP="009968EE">
            <w:pPr>
              <w:rPr>
                <w:sz w:val="16"/>
                <w:szCs w:val="16"/>
              </w:rPr>
            </w:pPr>
          </w:p>
          <w:p w:rsidR="009968EE" w:rsidRPr="008D7423" w:rsidRDefault="009968EE" w:rsidP="009968EE">
            <w:pPr>
              <w:rPr>
                <w:sz w:val="16"/>
                <w:szCs w:val="16"/>
              </w:rPr>
            </w:pPr>
            <w:r w:rsidRPr="008D7423">
              <w:rPr>
                <w:sz w:val="16"/>
                <w:szCs w:val="16"/>
              </w:rPr>
              <w:t>Poverty Reduction and the MDGs</w:t>
            </w:r>
          </w:p>
          <w:p w:rsidR="00394F31" w:rsidRPr="008D7423" w:rsidRDefault="00394F31" w:rsidP="009968EE">
            <w:pPr>
              <w:rPr>
                <w:sz w:val="16"/>
                <w:szCs w:val="16"/>
              </w:rPr>
            </w:pPr>
          </w:p>
          <w:p w:rsidR="00394F31" w:rsidRPr="008D7423" w:rsidRDefault="00394F31" w:rsidP="009968EE">
            <w:pPr>
              <w:rPr>
                <w:sz w:val="16"/>
                <w:szCs w:val="16"/>
              </w:rPr>
            </w:pPr>
            <w:r w:rsidRPr="008D7423">
              <w:rPr>
                <w:sz w:val="16"/>
                <w:szCs w:val="16"/>
              </w:rPr>
              <w:t>Gender equality and empowerment of women</w:t>
            </w:r>
          </w:p>
          <w:p w:rsidR="00394F31" w:rsidRPr="008D7423" w:rsidRDefault="00394F31" w:rsidP="009968EE">
            <w:pPr>
              <w:rPr>
                <w:sz w:val="16"/>
                <w:szCs w:val="16"/>
              </w:rPr>
            </w:pPr>
          </w:p>
          <w:p w:rsidR="00394F31" w:rsidRPr="008D7423" w:rsidRDefault="00394F31" w:rsidP="009968EE">
            <w:pPr>
              <w:rPr>
                <w:sz w:val="16"/>
                <w:szCs w:val="16"/>
              </w:rPr>
            </w:pPr>
            <w:r w:rsidRPr="008D7423">
              <w:rPr>
                <w:sz w:val="16"/>
                <w:szCs w:val="16"/>
              </w:rPr>
              <w:t xml:space="preserve">Democratic Governance </w:t>
            </w:r>
          </w:p>
        </w:tc>
        <w:tc>
          <w:tcPr>
            <w:tcW w:w="574" w:type="pct"/>
            <w:tcBorders>
              <w:top w:val="single" w:sz="4" w:space="0" w:color="auto"/>
              <w:left w:val="single" w:sz="4" w:space="0" w:color="auto"/>
              <w:right w:val="single" w:sz="4" w:space="0" w:color="auto"/>
            </w:tcBorders>
          </w:tcPr>
          <w:p w:rsidR="009968EE" w:rsidRPr="008D7423" w:rsidRDefault="009968EE" w:rsidP="009968EE">
            <w:pPr>
              <w:rPr>
                <w:sz w:val="16"/>
                <w:szCs w:val="16"/>
              </w:rPr>
            </w:pPr>
            <w:r w:rsidRPr="008D7423">
              <w:rPr>
                <w:sz w:val="16"/>
                <w:szCs w:val="16"/>
              </w:rPr>
              <w:t xml:space="preserve">Comprehensive Evaluation of One </w:t>
            </w:r>
            <w:proofErr w:type="spellStart"/>
            <w:r w:rsidRPr="008D7423">
              <w:rPr>
                <w:sz w:val="16"/>
                <w:szCs w:val="16"/>
              </w:rPr>
              <w:t>Programme</w:t>
            </w:r>
            <w:proofErr w:type="spellEnd"/>
            <w:r w:rsidRPr="008D7423">
              <w:rPr>
                <w:sz w:val="16"/>
                <w:szCs w:val="16"/>
              </w:rPr>
              <w:t xml:space="preserve"> 2014-2018</w:t>
            </w:r>
            <w:r w:rsidRPr="008D7423">
              <w:rPr>
                <w:rStyle w:val="FootnoteReference"/>
                <w:sz w:val="16"/>
                <w:szCs w:val="16"/>
              </w:rPr>
              <w:footnoteReference w:id="4"/>
            </w:r>
          </w:p>
        </w:tc>
        <w:tc>
          <w:tcPr>
            <w:tcW w:w="777" w:type="pct"/>
            <w:tcBorders>
              <w:top w:val="single" w:sz="4" w:space="0" w:color="auto"/>
              <w:left w:val="single" w:sz="4" w:space="0" w:color="auto"/>
              <w:right w:val="single" w:sz="4" w:space="0" w:color="auto"/>
            </w:tcBorders>
          </w:tcPr>
          <w:p w:rsidR="00394F31" w:rsidRPr="008D7423" w:rsidRDefault="009968EE" w:rsidP="00394F31">
            <w:pPr>
              <w:rPr>
                <w:bCs/>
                <w:sz w:val="16"/>
                <w:szCs w:val="16"/>
              </w:rPr>
            </w:pPr>
            <w:r w:rsidRPr="008D7423">
              <w:rPr>
                <w:bCs/>
                <w:sz w:val="16"/>
                <w:szCs w:val="16"/>
              </w:rPr>
              <w:t xml:space="preserve">Gross National Happiness Commission; </w:t>
            </w:r>
            <w:r w:rsidR="00394F31" w:rsidRPr="008D7423">
              <w:rPr>
                <w:bCs/>
                <w:sz w:val="16"/>
                <w:szCs w:val="16"/>
              </w:rPr>
              <w:t xml:space="preserve">all UN agencies and implementing partners. </w:t>
            </w:r>
          </w:p>
          <w:p w:rsidR="009968EE" w:rsidRPr="008D7423" w:rsidRDefault="009968EE" w:rsidP="00394F31">
            <w:pPr>
              <w:rPr>
                <w:bCs/>
                <w:sz w:val="16"/>
                <w:szCs w:val="16"/>
              </w:rPr>
            </w:pPr>
          </w:p>
        </w:tc>
        <w:tc>
          <w:tcPr>
            <w:tcW w:w="541" w:type="pct"/>
            <w:tcBorders>
              <w:top w:val="single" w:sz="4" w:space="0" w:color="auto"/>
              <w:left w:val="single" w:sz="4" w:space="0" w:color="auto"/>
              <w:right w:val="single" w:sz="4" w:space="0" w:color="auto"/>
            </w:tcBorders>
          </w:tcPr>
          <w:p w:rsidR="009968EE" w:rsidRPr="008D7423" w:rsidRDefault="009968EE" w:rsidP="009968EE">
            <w:pPr>
              <w:rPr>
                <w:sz w:val="16"/>
                <w:szCs w:val="16"/>
              </w:rPr>
            </w:pPr>
            <w:r w:rsidRPr="008D7423">
              <w:rPr>
                <w:sz w:val="16"/>
                <w:szCs w:val="16"/>
              </w:rPr>
              <w:t>GNHC and UN System</w:t>
            </w:r>
          </w:p>
        </w:tc>
        <w:tc>
          <w:tcPr>
            <w:tcW w:w="406" w:type="pct"/>
            <w:tcBorders>
              <w:top w:val="single" w:sz="4" w:space="0" w:color="auto"/>
              <w:left w:val="single" w:sz="4" w:space="0" w:color="auto"/>
              <w:right w:val="single" w:sz="4" w:space="0" w:color="auto"/>
            </w:tcBorders>
          </w:tcPr>
          <w:p w:rsidR="009968EE" w:rsidRPr="008D7423" w:rsidRDefault="009968EE" w:rsidP="00C57C34">
            <w:pPr>
              <w:jc w:val="center"/>
              <w:rPr>
                <w:sz w:val="16"/>
                <w:szCs w:val="16"/>
              </w:rPr>
            </w:pPr>
            <w:r w:rsidRPr="008D7423">
              <w:rPr>
                <w:sz w:val="16"/>
                <w:szCs w:val="16"/>
              </w:rPr>
              <w:t xml:space="preserve">One </w:t>
            </w:r>
            <w:proofErr w:type="spellStart"/>
            <w:r w:rsidRPr="008D7423">
              <w:rPr>
                <w:sz w:val="16"/>
                <w:szCs w:val="16"/>
              </w:rPr>
              <w:t>Programme</w:t>
            </w:r>
            <w:proofErr w:type="spellEnd"/>
            <w:r w:rsidRPr="008D7423">
              <w:rPr>
                <w:sz w:val="16"/>
                <w:szCs w:val="16"/>
              </w:rPr>
              <w:t xml:space="preserve"> </w:t>
            </w:r>
            <w:r w:rsidR="00C57C34" w:rsidRPr="008D7423">
              <w:rPr>
                <w:sz w:val="16"/>
                <w:szCs w:val="16"/>
              </w:rPr>
              <w:t>(Joint)</w:t>
            </w:r>
          </w:p>
        </w:tc>
        <w:tc>
          <w:tcPr>
            <w:tcW w:w="575" w:type="pct"/>
            <w:tcBorders>
              <w:top w:val="single" w:sz="4" w:space="0" w:color="auto"/>
              <w:left w:val="single" w:sz="4" w:space="0" w:color="auto"/>
              <w:right w:val="single" w:sz="4" w:space="0" w:color="auto"/>
            </w:tcBorders>
          </w:tcPr>
          <w:p w:rsidR="009968EE" w:rsidRPr="008D7423" w:rsidRDefault="009968EE" w:rsidP="00CF0C20">
            <w:pPr>
              <w:rPr>
                <w:sz w:val="16"/>
                <w:szCs w:val="16"/>
              </w:rPr>
            </w:pPr>
            <w:r w:rsidRPr="008D7423">
              <w:rPr>
                <w:sz w:val="16"/>
                <w:szCs w:val="16"/>
              </w:rPr>
              <w:t>December  2017</w:t>
            </w:r>
          </w:p>
        </w:tc>
        <w:tc>
          <w:tcPr>
            <w:tcW w:w="371" w:type="pct"/>
            <w:tcBorders>
              <w:top w:val="single" w:sz="4" w:space="0" w:color="auto"/>
              <w:left w:val="single" w:sz="4" w:space="0" w:color="auto"/>
              <w:right w:val="single" w:sz="4" w:space="0" w:color="auto"/>
            </w:tcBorders>
          </w:tcPr>
          <w:p w:rsidR="009968EE" w:rsidRPr="008D7423" w:rsidRDefault="00394F31" w:rsidP="009968EE">
            <w:pPr>
              <w:rPr>
                <w:sz w:val="16"/>
                <w:szCs w:val="16"/>
              </w:rPr>
            </w:pPr>
            <w:r w:rsidRPr="008D7423">
              <w:rPr>
                <w:sz w:val="16"/>
                <w:szCs w:val="16"/>
              </w:rPr>
              <w:t>$80,000</w:t>
            </w:r>
          </w:p>
          <w:p w:rsidR="009968EE" w:rsidRPr="008D7423" w:rsidRDefault="009968EE" w:rsidP="009968EE">
            <w:pPr>
              <w:jc w:val="center"/>
              <w:rPr>
                <w:sz w:val="16"/>
                <w:szCs w:val="16"/>
              </w:rPr>
            </w:pPr>
          </w:p>
        </w:tc>
        <w:tc>
          <w:tcPr>
            <w:tcW w:w="533" w:type="pct"/>
            <w:tcBorders>
              <w:top w:val="single" w:sz="4" w:space="0" w:color="auto"/>
              <w:left w:val="single" w:sz="4" w:space="0" w:color="auto"/>
              <w:right w:val="single" w:sz="4" w:space="0" w:color="auto"/>
            </w:tcBorders>
          </w:tcPr>
          <w:p w:rsidR="009968EE" w:rsidRPr="008D7423" w:rsidRDefault="009968EE" w:rsidP="009968EE">
            <w:pPr>
              <w:rPr>
                <w:rStyle w:val="CommentReference"/>
                <w:sz w:val="16"/>
                <w:szCs w:val="16"/>
                <w:lang w:eastAsia="uk-UA"/>
              </w:rPr>
            </w:pPr>
            <w:r w:rsidRPr="008D7423">
              <w:rPr>
                <w:rStyle w:val="CommentReference"/>
                <w:sz w:val="16"/>
                <w:szCs w:val="16"/>
                <w:lang w:eastAsia="uk-UA"/>
              </w:rPr>
              <w:t>Project</w:t>
            </w:r>
            <w:r w:rsidR="004113EF" w:rsidRPr="008D7423">
              <w:rPr>
                <w:rStyle w:val="CommentReference"/>
                <w:sz w:val="16"/>
                <w:szCs w:val="16"/>
                <w:lang w:eastAsia="uk-UA"/>
              </w:rPr>
              <w:t>—to be shared with UN System</w:t>
            </w:r>
          </w:p>
        </w:tc>
      </w:tr>
    </w:tbl>
    <w:p w:rsidR="00CD6E76" w:rsidRPr="008D7423" w:rsidRDefault="00CD6E76">
      <w:r w:rsidRPr="008D7423">
        <w:br w:type="page"/>
      </w: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6"/>
        <w:gridCol w:w="1246"/>
        <w:gridCol w:w="1513"/>
        <w:gridCol w:w="2048"/>
        <w:gridCol w:w="1426"/>
        <w:gridCol w:w="1067"/>
        <w:gridCol w:w="1515"/>
        <w:gridCol w:w="978"/>
        <w:gridCol w:w="1407"/>
      </w:tblGrid>
      <w:tr w:rsidR="008D7423" w:rsidRPr="008D7423" w:rsidTr="00797473">
        <w:trPr>
          <w:trHeight w:val="617"/>
          <w:tblHeader/>
        </w:trPr>
        <w:tc>
          <w:tcPr>
            <w:tcW w:w="7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97473" w:rsidRPr="008D7423" w:rsidRDefault="00797473" w:rsidP="002D31EE">
            <w:pPr>
              <w:jc w:val="center"/>
              <w:rPr>
                <w:b/>
                <w:bCs/>
                <w:sz w:val="16"/>
                <w:szCs w:val="16"/>
              </w:rPr>
            </w:pPr>
          </w:p>
          <w:p w:rsidR="0007460B" w:rsidRPr="008D7423" w:rsidRDefault="0007460B" w:rsidP="002D31EE">
            <w:pPr>
              <w:jc w:val="center"/>
              <w:rPr>
                <w:b/>
                <w:bCs/>
                <w:sz w:val="16"/>
                <w:szCs w:val="16"/>
              </w:rPr>
            </w:pPr>
            <w:r w:rsidRPr="008D7423">
              <w:rPr>
                <w:b/>
                <w:bCs/>
                <w:sz w:val="16"/>
                <w:szCs w:val="16"/>
              </w:rPr>
              <w:t>UNDAF/</w:t>
            </w:r>
          </w:p>
          <w:p w:rsidR="0007460B" w:rsidRPr="008D7423" w:rsidRDefault="0007460B" w:rsidP="002D31EE">
            <w:pPr>
              <w:jc w:val="center"/>
              <w:rPr>
                <w:b/>
                <w:bCs/>
                <w:sz w:val="16"/>
                <w:szCs w:val="16"/>
              </w:rPr>
            </w:pPr>
            <w:r w:rsidRPr="008D7423">
              <w:rPr>
                <w:b/>
                <w:bCs/>
                <w:sz w:val="16"/>
                <w:szCs w:val="16"/>
              </w:rPr>
              <w:t>CPD Outcome</w:t>
            </w:r>
          </w:p>
        </w:tc>
        <w:tc>
          <w:tcPr>
            <w:tcW w:w="47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 xml:space="preserve">Strategic Plan Results Area </w:t>
            </w:r>
          </w:p>
        </w:tc>
        <w:tc>
          <w:tcPr>
            <w:tcW w:w="57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Evaluation Title</w:t>
            </w:r>
          </w:p>
        </w:tc>
        <w:tc>
          <w:tcPr>
            <w:tcW w:w="77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Del="00BA628C" w:rsidRDefault="0007460B" w:rsidP="002D31EE">
            <w:pPr>
              <w:jc w:val="center"/>
              <w:rPr>
                <w:b/>
                <w:bCs/>
                <w:sz w:val="16"/>
                <w:szCs w:val="16"/>
              </w:rPr>
            </w:pPr>
            <w:r w:rsidRPr="008D7423">
              <w:rPr>
                <w:b/>
                <w:bCs/>
                <w:sz w:val="16"/>
                <w:szCs w:val="16"/>
              </w:rPr>
              <w:t>Partners</w:t>
            </w:r>
          </w:p>
        </w:tc>
        <w:tc>
          <w:tcPr>
            <w:tcW w:w="5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 xml:space="preserve">Evaluation Commissioned by </w:t>
            </w:r>
          </w:p>
        </w:tc>
        <w:tc>
          <w:tcPr>
            <w:tcW w:w="4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Type of evaluation</w:t>
            </w:r>
          </w:p>
        </w:tc>
        <w:tc>
          <w:tcPr>
            <w:tcW w:w="5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Planned Evaluation Completion Date</w:t>
            </w:r>
          </w:p>
        </w:tc>
        <w:tc>
          <w:tcPr>
            <w:tcW w:w="3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Estimated Cost</w:t>
            </w:r>
          </w:p>
        </w:tc>
        <w:tc>
          <w:tcPr>
            <w:tcW w:w="5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460B" w:rsidRPr="008D7423" w:rsidRDefault="0007460B" w:rsidP="002D31EE">
            <w:pPr>
              <w:jc w:val="center"/>
              <w:rPr>
                <w:b/>
                <w:bCs/>
                <w:sz w:val="16"/>
                <w:szCs w:val="16"/>
              </w:rPr>
            </w:pPr>
            <w:r w:rsidRPr="008D7423">
              <w:rPr>
                <w:b/>
                <w:bCs/>
                <w:sz w:val="16"/>
                <w:szCs w:val="16"/>
              </w:rPr>
              <w:t>Provisional Source of Funding</w:t>
            </w:r>
          </w:p>
        </w:tc>
      </w:tr>
      <w:tr w:rsidR="008D7423" w:rsidRPr="008D7423" w:rsidTr="00041025">
        <w:trPr>
          <w:trHeight w:val="354"/>
        </w:trPr>
        <w:tc>
          <w:tcPr>
            <w:tcW w:w="5000"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968EE" w:rsidRPr="008D7423" w:rsidRDefault="009968EE" w:rsidP="00D34AB4">
            <w:pPr>
              <w:rPr>
                <w:rStyle w:val="CommentReference"/>
                <w:b/>
                <w:bCs/>
                <w:sz w:val="24"/>
                <w:szCs w:val="24"/>
                <w:lang w:eastAsia="uk-UA"/>
              </w:rPr>
            </w:pPr>
            <w:r w:rsidRPr="008D7423">
              <w:rPr>
                <w:rStyle w:val="CommentReference"/>
                <w:b/>
                <w:bCs/>
                <w:sz w:val="24"/>
                <w:szCs w:val="24"/>
                <w:lang w:eastAsia="uk-UA"/>
              </w:rPr>
              <w:t>Thematic Evaluation</w:t>
            </w:r>
            <w:r w:rsidR="00D34AB4" w:rsidRPr="008D7423">
              <w:rPr>
                <w:rStyle w:val="CommentReference"/>
                <w:b/>
                <w:bCs/>
                <w:sz w:val="24"/>
                <w:szCs w:val="24"/>
                <w:lang w:eastAsia="uk-UA"/>
              </w:rPr>
              <w:t xml:space="preserve"> at End-of-Cycle</w:t>
            </w:r>
            <w:r w:rsidR="00D34AB4" w:rsidRPr="008D7423">
              <w:rPr>
                <w:rStyle w:val="FootnoteReference"/>
                <w:b/>
                <w:bCs/>
                <w:sz w:val="24"/>
                <w:szCs w:val="24"/>
                <w:lang w:eastAsia="uk-UA"/>
              </w:rPr>
              <w:t xml:space="preserve"> </w:t>
            </w:r>
            <w:r w:rsidRPr="008D7423">
              <w:rPr>
                <w:rStyle w:val="FootnoteReference"/>
                <w:b/>
                <w:bCs/>
                <w:sz w:val="24"/>
                <w:szCs w:val="24"/>
                <w:lang w:eastAsia="uk-UA"/>
              </w:rPr>
              <w:footnoteReference w:id="5"/>
            </w:r>
            <w:r w:rsidR="001C6822" w:rsidRPr="008D7423">
              <w:rPr>
                <w:rStyle w:val="CommentReference"/>
                <w:b/>
                <w:bCs/>
                <w:sz w:val="24"/>
                <w:szCs w:val="24"/>
                <w:lang w:eastAsia="uk-UA"/>
              </w:rPr>
              <w:t xml:space="preserve"> </w:t>
            </w:r>
          </w:p>
        </w:tc>
      </w:tr>
      <w:tr w:rsidR="008D7423" w:rsidRPr="008D7423" w:rsidTr="005D1A2D">
        <w:trPr>
          <w:trHeight w:val="260"/>
        </w:trPr>
        <w:tc>
          <w:tcPr>
            <w:tcW w:w="750" w:type="pct"/>
            <w:tcBorders>
              <w:top w:val="single" w:sz="4" w:space="0" w:color="auto"/>
              <w:left w:val="single" w:sz="4" w:space="0" w:color="auto"/>
              <w:bottom w:val="single" w:sz="4" w:space="0" w:color="auto"/>
              <w:right w:val="single" w:sz="4" w:space="0" w:color="auto"/>
            </w:tcBorders>
          </w:tcPr>
          <w:p w:rsidR="009968EE" w:rsidRPr="008D7423" w:rsidRDefault="00585EBB" w:rsidP="00D34AB4">
            <w:pPr>
              <w:rPr>
                <w:bCs/>
                <w:sz w:val="16"/>
                <w:szCs w:val="16"/>
                <w:lang w:eastAsia="en-GB"/>
              </w:rPr>
            </w:pPr>
            <w:r w:rsidRPr="008D7423">
              <w:rPr>
                <w:b/>
                <w:sz w:val="16"/>
                <w:szCs w:val="16"/>
              </w:rPr>
              <w:t>All Outcomes (1-4)</w:t>
            </w:r>
          </w:p>
        </w:tc>
        <w:tc>
          <w:tcPr>
            <w:tcW w:w="473"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sz w:val="16"/>
                <w:szCs w:val="16"/>
              </w:rPr>
            </w:pPr>
            <w:r w:rsidRPr="008D7423">
              <w:rPr>
                <w:sz w:val="16"/>
                <w:szCs w:val="16"/>
              </w:rPr>
              <w:t>Gender equality and empowerment of women</w:t>
            </w:r>
          </w:p>
        </w:tc>
        <w:tc>
          <w:tcPr>
            <w:tcW w:w="574"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sz w:val="16"/>
                <w:szCs w:val="16"/>
              </w:rPr>
            </w:pPr>
            <w:r w:rsidRPr="008D7423">
              <w:rPr>
                <w:sz w:val="16"/>
                <w:szCs w:val="16"/>
              </w:rPr>
              <w:t>End-of-cycle Gender Thematic Evaluation</w:t>
            </w:r>
          </w:p>
        </w:tc>
        <w:tc>
          <w:tcPr>
            <w:tcW w:w="777" w:type="pct"/>
            <w:tcBorders>
              <w:top w:val="single" w:sz="4" w:space="0" w:color="auto"/>
              <w:left w:val="single" w:sz="4" w:space="0" w:color="auto"/>
              <w:bottom w:val="single" w:sz="4" w:space="0" w:color="auto"/>
              <w:right w:val="single" w:sz="4" w:space="0" w:color="auto"/>
            </w:tcBorders>
          </w:tcPr>
          <w:p w:rsidR="00394F31" w:rsidRPr="008D7423" w:rsidRDefault="00A108C1" w:rsidP="009968EE">
            <w:pPr>
              <w:tabs>
                <w:tab w:val="left" w:pos="0"/>
              </w:tabs>
              <w:rPr>
                <w:sz w:val="16"/>
                <w:szCs w:val="16"/>
              </w:rPr>
            </w:pPr>
            <w:r w:rsidRPr="008D7423">
              <w:rPr>
                <w:sz w:val="16"/>
                <w:szCs w:val="16"/>
              </w:rPr>
              <w:t>GNHC</w:t>
            </w:r>
            <w:r w:rsidR="009968EE" w:rsidRPr="008D7423">
              <w:rPr>
                <w:sz w:val="16"/>
                <w:szCs w:val="16"/>
              </w:rPr>
              <w:t>, Ministry of Health, Ministry of Education, Youth Development Funds, Respect Educate Nurture Empower Women, National commission for Women and Children, Ministry of Home and Culture Affairs, Royal Bhutan Police, Bhutan’s Nun foundation, UNICEF,  UNW, UNDP, WHO, UNFPA</w:t>
            </w:r>
          </w:p>
        </w:tc>
        <w:tc>
          <w:tcPr>
            <w:tcW w:w="541"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sz w:val="16"/>
                <w:szCs w:val="16"/>
              </w:rPr>
            </w:pPr>
            <w:r w:rsidRPr="008D7423">
              <w:rPr>
                <w:sz w:val="16"/>
                <w:szCs w:val="16"/>
              </w:rPr>
              <w:t>GNHC and UN System</w:t>
            </w:r>
          </w:p>
        </w:tc>
        <w:tc>
          <w:tcPr>
            <w:tcW w:w="405"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sz w:val="16"/>
                <w:szCs w:val="16"/>
              </w:rPr>
            </w:pPr>
            <w:r w:rsidRPr="008D7423">
              <w:rPr>
                <w:sz w:val="16"/>
                <w:szCs w:val="16"/>
              </w:rPr>
              <w:t>Thematic</w:t>
            </w:r>
            <w:r w:rsidR="00C57C34" w:rsidRPr="008D7423">
              <w:rPr>
                <w:sz w:val="16"/>
                <w:szCs w:val="16"/>
              </w:rPr>
              <w:t xml:space="preserve"> (Joint)</w:t>
            </w:r>
          </w:p>
        </w:tc>
        <w:tc>
          <w:tcPr>
            <w:tcW w:w="575"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spacing w:before="40" w:after="40"/>
              <w:rPr>
                <w:sz w:val="16"/>
                <w:szCs w:val="16"/>
              </w:rPr>
            </w:pPr>
            <w:r w:rsidRPr="008D7423">
              <w:rPr>
                <w:sz w:val="16"/>
                <w:szCs w:val="16"/>
              </w:rPr>
              <w:t>December 2017</w:t>
            </w:r>
          </w:p>
        </w:tc>
        <w:tc>
          <w:tcPr>
            <w:tcW w:w="371"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sz w:val="16"/>
                <w:szCs w:val="16"/>
              </w:rPr>
            </w:pPr>
            <w:r w:rsidRPr="008D7423">
              <w:rPr>
                <w:sz w:val="16"/>
                <w:szCs w:val="16"/>
              </w:rPr>
              <w:t>$50,000</w:t>
            </w:r>
          </w:p>
        </w:tc>
        <w:tc>
          <w:tcPr>
            <w:tcW w:w="534" w:type="pct"/>
            <w:tcBorders>
              <w:top w:val="single" w:sz="4" w:space="0" w:color="auto"/>
              <w:left w:val="single" w:sz="4" w:space="0" w:color="auto"/>
              <w:bottom w:val="single" w:sz="4" w:space="0" w:color="auto"/>
              <w:right w:val="single" w:sz="4" w:space="0" w:color="auto"/>
            </w:tcBorders>
          </w:tcPr>
          <w:p w:rsidR="009968EE" w:rsidRPr="008D7423" w:rsidRDefault="009968EE" w:rsidP="009968EE">
            <w:pPr>
              <w:rPr>
                <w:rStyle w:val="CommentReference"/>
                <w:sz w:val="16"/>
                <w:szCs w:val="16"/>
                <w:lang w:eastAsia="uk-UA"/>
              </w:rPr>
            </w:pPr>
            <w:r w:rsidRPr="008D7423">
              <w:rPr>
                <w:rStyle w:val="CommentReference"/>
                <w:sz w:val="16"/>
                <w:szCs w:val="16"/>
                <w:lang w:eastAsia="uk-UA"/>
              </w:rPr>
              <w:t>Project</w:t>
            </w:r>
            <w:r w:rsidR="005E67B4" w:rsidRPr="008D7423">
              <w:rPr>
                <w:rStyle w:val="CommentReference"/>
                <w:sz w:val="16"/>
                <w:szCs w:val="16"/>
                <w:lang w:eastAsia="uk-UA"/>
              </w:rPr>
              <w:t>—to be shared with UN System</w:t>
            </w:r>
          </w:p>
        </w:tc>
      </w:tr>
      <w:tr w:rsidR="008D7423" w:rsidRPr="008D7423" w:rsidTr="00C06156">
        <w:trPr>
          <w:trHeight w:val="304"/>
        </w:trPr>
        <w:tc>
          <w:tcPr>
            <w:tcW w:w="5000" w:type="pct"/>
            <w:gridSpan w:val="9"/>
            <w:tcBorders>
              <w:top w:val="single" w:sz="4" w:space="0" w:color="auto"/>
              <w:left w:val="single" w:sz="4" w:space="0" w:color="auto"/>
              <w:bottom w:val="single" w:sz="4" w:space="0" w:color="auto"/>
              <w:right w:val="single" w:sz="4" w:space="0" w:color="auto"/>
            </w:tcBorders>
            <w:shd w:val="clear" w:color="auto" w:fill="CCC0D9" w:themeFill="accent4" w:themeFillTint="66"/>
          </w:tcPr>
          <w:p w:rsidR="009968EE" w:rsidRPr="008D7423" w:rsidRDefault="009968EE" w:rsidP="009968EE">
            <w:pPr>
              <w:rPr>
                <w:rStyle w:val="CommentReference"/>
                <w:b/>
                <w:bCs/>
                <w:sz w:val="24"/>
                <w:szCs w:val="24"/>
                <w:lang w:eastAsia="uk-UA"/>
              </w:rPr>
            </w:pPr>
            <w:r w:rsidRPr="008D7423">
              <w:rPr>
                <w:rStyle w:val="CommentReference"/>
                <w:b/>
                <w:bCs/>
                <w:sz w:val="24"/>
                <w:szCs w:val="24"/>
                <w:lang w:eastAsia="uk-UA"/>
              </w:rPr>
              <w:t>UNDP Project Evaluations</w:t>
            </w:r>
            <w:r w:rsidRPr="008D7423">
              <w:rPr>
                <w:rStyle w:val="FootnoteReference"/>
                <w:b/>
                <w:bCs/>
                <w:sz w:val="24"/>
                <w:szCs w:val="24"/>
                <w:lang w:eastAsia="uk-UA"/>
              </w:rPr>
              <w:footnoteReference w:id="6"/>
            </w:r>
          </w:p>
        </w:tc>
      </w:tr>
      <w:tr w:rsidR="008D7423" w:rsidRPr="008D7423" w:rsidTr="005D1A2D">
        <w:trPr>
          <w:trHeight w:val="790"/>
        </w:trPr>
        <w:tc>
          <w:tcPr>
            <w:tcW w:w="750" w:type="pct"/>
            <w:vMerge w:val="restart"/>
            <w:tcBorders>
              <w:top w:val="single" w:sz="4" w:space="0" w:color="auto"/>
              <w:left w:val="single" w:sz="4" w:space="0" w:color="auto"/>
              <w:right w:val="single" w:sz="4" w:space="0" w:color="auto"/>
            </w:tcBorders>
          </w:tcPr>
          <w:p w:rsidR="001502D1" w:rsidRPr="008D7423" w:rsidRDefault="001502D1" w:rsidP="009552EE">
            <w:pPr>
              <w:rPr>
                <w:sz w:val="16"/>
                <w:szCs w:val="16"/>
              </w:rPr>
            </w:pPr>
            <w:r w:rsidRPr="008D7423">
              <w:rPr>
                <w:b/>
                <w:sz w:val="16"/>
                <w:szCs w:val="16"/>
              </w:rPr>
              <w:t>Outcome 1</w:t>
            </w:r>
            <w:r w:rsidRPr="008D7423">
              <w:rPr>
                <w:sz w:val="16"/>
                <w:szCs w:val="16"/>
              </w:rPr>
              <w:t xml:space="preserve">  </w:t>
            </w:r>
          </w:p>
          <w:p w:rsidR="001502D1" w:rsidRPr="008D7423" w:rsidRDefault="001502D1" w:rsidP="009552EE">
            <w:pPr>
              <w:rPr>
                <w:rFonts w:eastAsiaTheme="minorHAnsi"/>
                <w:sz w:val="16"/>
                <w:szCs w:val="16"/>
              </w:rPr>
            </w:pPr>
            <w:r w:rsidRPr="008D7423">
              <w:rPr>
                <w:sz w:val="16"/>
                <w:szCs w:val="16"/>
              </w:rPr>
              <w:t>By 2018, sustainable and green economic growth that is equitable, inclusive, climate and disaster resilient that promotes poverty reduction and employment opportunities particularly for vulnerable groups enhanced.</w:t>
            </w:r>
          </w:p>
        </w:tc>
        <w:tc>
          <w:tcPr>
            <w:tcW w:w="473" w:type="pct"/>
            <w:vMerge w:val="restart"/>
            <w:tcBorders>
              <w:top w:val="single" w:sz="4" w:space="0" w:color="auto"/>
              <w:left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 xml:space="preserve">Energy and Environment </w:t>
            </w: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Mid-term evaluation: Sustainable Rural Biomass Energy Project</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Ministry of Economic Affairs</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GEF</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June 2014</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$20,000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rFonts w:eastAsiaTheme="minorHAnsi"/>
                <w:sz w:val="16"/>
                <w:szCs w:val="16"/>
              </w:rPr>
            </w:pPr>
            <w:r w:rsidRPr="008D7423">
              <w:rPr>
                <w:sz w:val="16"/>
                <w:szCs w:val="16"/>
              </w:rPr>
              <w:t xml:space="preserve">GEF </w:t>
            </w:r>
          </w:p>
        </w:tc>
      </w:tr>
      <w:tr w:rsidR="008D7423" w:rsidRPr="008D7423" w:rsidTr="005D1A2D">
        <w:trPr>
          <w:trHeight w:val="1069"/>
        </w:trPr>
        <w:tc>
          <w:tcPr>
            <w:tcW w:w="750" w:type="pct"/>
            <w:vMerge/>
            <w:tcBorders>
              <w:left w:val="single" w:sz="4" w:space="0" w:color="auto"/>
              <w:right w:val="single" w:sz="4" w:space="0" w:color="auto"/>
            </w:tcBorders>
          </w:tcPr>
          <w:p w:rsidR="001502D1" w:rsidRPr="008D7423" w:rsidRDefault="001502D1" w:rsidP="009552EE">
            <w:pPr>
              <w:rPr>
                <w:sz w:val="16"/>
                <w:szCs w:val="16"/>
              </w:rPr>
            </w:pPr>
          </w:p>
        </w:tc>
        <w:tc>
          <w:tcPr>
            <w:tcW w:w="473" w:type="pct"/>
            <w:vMerge/>
            <w:tcBorders>
              <w:left w:val="single" w:sz="4" w:space="0" w:color="auto"/>
              <w:right w:val="single" w:sz="4" w:space="0" w:color="auto"/>
            </w:tcBorders>
          </w:tcPr>
          <w:p w:rsidR="001502D1" w:rsidRPr="008D7423" w:rsidRDefault="001502D1" w:rsidP="00D609CB">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End of Project Evaluation: Sustainable Rural Biomass Energy Project</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Ministry of Economic Affairs</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GEF</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December 2015</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$30,000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GEF</w:t>
            </w:r>
          </w:p>
        </w:tc>
      </w:tr>
      <w:tr w:rsidR="008D7423" w:rsidRPr="008D7423" w:rsidTr="005D1A2D">
        <w:trPr>
          <w:trHeight w:val="1069"/>
        </w:trPr>
        <w:tc>
          <w:tcPr>
            <w:tcW w:w="750" w:type="pct"/>
            <w:vMerge/>
            <w:tcBorders>
              <w:left w:val="single" w:sz="4" w:space="0" w:color="auto"/>
              <w:right w:val="single" w:sz="4" w:space="0" w:color="auto"/>
            </w:tcBorders>
          </w:tcPr>
          <w:p w:rsidR="001502D1" w:rsidRPr="008D7423" w:rsidRDefault="001502D1" w:rsidP="009552EE">
            <w:pPr>
              <w:rPr>
                <w:sz w:val="16"/>
                <w:szCs w:val="16"/>
              </w:rPr>
            </w:pPr>
          </w:p>
        </w:tc>
        <w:tc>
          <w:tcPr>
            <w:tcW w:w="473" w:type="pct"/>
            <w:vMerge w:val="restart"/>
            <w:tcBorders>
              <w:left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Sustainable livelihoods</w:t>
            </w: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3A428F">
            <w:pPr>
              <w:spacing w:afterLines="60" w:after="144"/>
              <w:rPr>
                <w:sz w:val="16"/>
                <w:szCs w:val="16"/>
              </w:rPr>
            </w:pPr>
            <w:r w:rsidRPr="008D7423">
              <w:rPr>
                <w:sz w:val="16"/>
                <w:szCs w:val="16"/>
              </w:rPr>
              <w:t>Mid-term evaluation: Implementing the Nagoya Protocol on Access to Genetics Resources &amp; Benefit Sharing in Bhutan</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National Biodiversity Centre, Ministry of Agriculture &amp; Forests</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GEF_NPIF</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August 2016</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$20,000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D609CB">
            <w:pPr>
              <w:spacing w:afterLines="60" w:after="144"/>
              <w:rPr>
                <w:sz w:val="16"/>
                <w:szCs w:val="16"/>
              </w:rPr>
            </w:pPr>
            <w:r w:rsidRPr="008D7423">
              <w:rPr>
                <w:sz w:val="16"/>
                <w:szCs w:val="16"/>
              </w:rPr>
              <w:t>GEF-NPIF</w:t>
            </w:r>
          </w:p>
        </w:tc>
      </w:tr>
      <w:tr w:rsidR="008D7423" w:rsidRPr="008D7423" w:rsidTr="001502D1">
        <w:trPr>
          <w:trHeight w:val="256"/>
        </w:trPr>
        <w:tc>
          <w:tcPr>
            <w:tcW w:w="750" w:type="pct"/>
            <w:vMerge/>
            <w:tcBorders>
              <w:left w:val="single" w:sz="4" w:space="0" w:color="auto"/>
              <w:right w:val="single" w:sz="4" w:space="0" w:color="auto"/>
            </w:tcBorders>
          </w:tcPr>
          <w:p w:rsidR="001502D1" w:rsidRPr="008D7423" w:rsidRDefault="001502D1" w:rsidP="002413A9">
            <w:pPr>
              <w:rPr>
                <w:sz w:val="16"/>
                <w:szCs w:val="16"/>
              </w:rPr>
            </w:pPr>
          </w:p>
        </w:tc>
        <w:tc>
          <w:tcPr>
            <w:tcW w:w="473" w:type="pct"/>
            <w:vMerge/>
            <w:tcBorders>
              <w:left w:val="single" w:sz="4" w:space="0" w:color="auto"/>
              <w:right w:val="single" w:sz="4" w:space="0" w:color="auto"/>
            </w:tcBorders>
          </w:tcPr>
          <w:p w:rsidR="001502D1" w:rsidRPr="008D7423" w:rsidRDefault="001502D1" w:rsidP="002413A9">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Terminal evaluation: Implementing the Nagoya Protocol on Access to Genetics Resources &amp; Benefit Sharing in Bhutan</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National Biodiversity Centre, Ministry of Agriculture &amp; Forests</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GEF_NPIF</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August 2016</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$25,000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2413A9">
            <w:pPr>
              <w:spacing w:afterLines="60" w:after="144"/>
              <w:rPr>
                <w:sz w:val="16"/>
                <w:szCs w:val="16"/>
              </w:rPr>
            </w:pPr>
            <w:r w:rsidRPr="008D7423">
              <w:rPr>
                <w:sz w:val="16"/>
                <w:szCs w:val="16"/>
              </w:rPr>
              <w:t>GEF-NPIF</w:t>
            </w:r>
          </w:p>
        </w:tc>
      </w:tr>
      <w:tr w:rsidR="008D7423" w:rsidRPr="008D7423" w:rsidTr="001502D1">
        <w:trPr>
          <w:trHeight w:val="256"/>
        </w:trPr>
        <w:tc>
          <w:tcPr>
            <w:tcW w:w="750" w:type="pct"/>
            <w:vMerge/>
            <w:tcBorders>
              <w:left w:val="single" w:sz="4" w:space="0" w:color="auto"/>
              <w:right w:val="single" w:sz="4" w:space="0" w:color="auto"/>
            </w:tcBorders>
          </w:tcPr>
          <w:p w:rsidR="001502D1" w:rsidRPr="008D7423" w:rsidRDefault="001502D1" w:rsidP="001502D1">
            <w:pPr>
              <w:rPr>
                <w:sz w:val="16"/>
                <w:szCs w:val="16"/>
              </w:rPr>
            </w:pPr>
          </w:p>
        </w:tc>
        <w:tc>
          <w:tcPr>
            <w:tcW w:w="473" w:type="pct"/>
            <w:vMerge/>
            <w:tcBorders>
              <w:left w:val="single" w:sz="4" w:space="0" w:color="auto"/>
              <w:right w:val="single" w:sz="4" w:space="0" w:color="auto"/>
            </w:tcBorders>
          </w:tcPr>
          <w:p w:rsidR="001502D1" w:rsidRPr="008D7423" w:rsidRDefault="001502D1"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Mid-term evaluation: Enhancing Sustainability and Resilience of Endangered Species Landscape and Communities.  </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Wildlife Conservation Division, Department of Forests &amp; Park Services, Ministry of Agriculture &amp; Forests.  </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GEF</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June 2018</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$ 30,000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Project </w:t>
            </w:r>
          </w:p>
        </w:tc>
      </w:tr>
      <w:tr w:rsidR="008D7423" w:rsidRPr="008D7423" w:rsidTr="001502D1">
        <w:trPr>
          <w:trHeight w:val="256"/>
        </w:trPr>
        <w:tc>
          <w:tcPr>
            <w:tcW w:w="750" w:type="pct"/>
            <w:vMerge/>
            <w:tcBorders>
              <w:left w:val="single" w:sz="4" w:space="0" w:color="auto"/>
              <w:right w:val="single" w:sz="4" w:space="0" w:color="auto"/>
            </w:tcBorders>
          </w:tcPr>
          <w:p w:rsidR="001502D1" w:rsidRPr="008D7423" w:rsidRDefault="001502D1" w:rsidP="001502D1">
            <w:pPr>
              <w:rPr>
                <w:sz w:val="16"/>
                <w:szCs w:val="16"/>
              </w:rPr>
            </w:pPr>
          </w:p>
        </w:tc>
        <w:tc>
          <w:tcPr>
            <w:tcW w:w="473" w:type="pct"/>
            <w:vMerge/>
            <w:tcBorders>
              <w:left w:val="single" w:sz="4" w:space="0" w:color="auto"/>
              <w:right w:val="single" w:sz="4" w:space="0" w:color="auto"/>
            </w:tcBorders>
          </w:tcPr>
          <w:p w:rsidR="001502D1" w:rsidRPr="008D7423" w:rsidRDefault="001502D1"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Mid-term evaluation of Joint UNDP-UNEP Poverty-Environment Initiative (2013-2017)</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Department of Local Governance/</w:t>
            </w:r>
            <w:proofErr w:type="spellStart"/>
            <w:r w:rsidRPr="008D7423">
              <w:rPr>
                <w:sz w:val="16"/>
                <w:szCs w:val="16"/>
              </w:rPr>
              <w:t>MoHCA</w:t>
            </w:r>
            <w:proofErr w:type="spellEnd"/>
            <w:r w:rsidRPr="008D7423">
              <w:rPr>
                <w:sz w:val="16"/>
                <w:szCs w:val="16"/>
              </w:rPr>
              <w:t xml:space="preserve"> &amp; Local Governments. </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UNDP-UNEP PEI</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Project </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June 2015</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N/A</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Project</w:t>
            </w:r>
          </w:p>
        </w:tc>
      </w:tr>
      <w:tr w:rsidR="008D7423" w:rsidRPr="008D7423" w:rsidTr="001502D1">
        <w:trPr>
          <w:trHeight w:val="1084"/>
        </w:trPr>
        <w:tc>
          <w:tcPr>
            <w:tcW w:w="750" w:type="pct"/>
            <w:vMerge/>
            <w:tcBorders>
              <w:left w:val="single" w:sz="4" w:space="0" w:color="auto"/>
              <w:right w:val="single" w:sz="4" w:space="0" w:color="auto"/>
            </w:tcBorders>
          </w:tcPr>
          <w:p w:rsidR="001502D1" w:rsidRPr="008D7423" w:rsidRDefault="001502D1" w:rsidP="001502D1">
            <w:pPr>
              <w:rPr>
                <w:sz w:val="16"/>
                <w:szCs w:val="16"/>
              </w:rPr>
            </w:pPr>
          </w:p>
        </w:tc>
        <w:tc>
          <w:tcPr>
            <w:tcW w:w="473" w:type="pct"/>
            <w:vMerge/>
            <w:tcBorders>
              <w:left w:val="single" w:sz="4" w:space="0" w:color="auto"/>
              <w:right w:val="single" w:sz="4" w:space="0" w:color="auto"/>
            </w:tcBorders>
          </w:tcPr>
          <w:p w:rsidR="001502D1" w:rsidRPr="008D7423" w:rsidRDefault="001502D1"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Final Evaluation:  Joint UNDP-UNEP Poverty-Environment Initiative (2013-2017)</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Department of Local Governance/</w:t>
            </w:r>
            <w:proofErr w:type="spellStart"/>
            <w:r w:rsidRPr="008D7423">
              <w:rPr>
                <w:sz w:val="16"/>
                <w:szCs w:val="16"/>
              </w:rPr>
              <w:t>MoHCA</w:t>
            </w:r>
            <w:proofErr w:type="spellEnd"/>
            <w:r w:rsidRPr="008D7423">
              <w:rPr>
                <w:sz w:val="16"/>
                <w:szCs w:val="16"/>
              </w:rPr>
              <w:t xml:space="preserve"> &amp; Local Governments.</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UNDP-UNEP PEI</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June 2018</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N/A</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Project </w:t>
            </w:r>
          </w:p>
        </w:tc>
      </w:tr>
      <w:tr w:rsidR="008D7423" w:rsidRPr="008D7423" w:rsidTr="005D1A2D">
        <w:trPr>
          <w:trHeight w:val="1069"/>
        </w:trPr>
        <w:tc>
          <w:tcPr>
            <w:tcW w:w="750" w:type="pct"/>
            <w:vMerge/>
            <w:tcBorders>
              <w:left w:val="single" w:sz="4" w:space="0" w:color="auto"/>
              <w:right w:val="single" w:sz="4" w:space="0" w:color="auto"/>
            </w:tcBorders>
          </w:tcPr>
          <w:p w:rsidR="001502D1" w:rsidRPr="008D7423" w:rsidRDefault="001502D1" w:rsidP="001502D1">
            <w:pPr>
              <w:rPr>
                <w:sz w:val="16"/>
                <w:szCs w:val="16"/>
              </w:rPr>
            </w:pPr>
          </w:p>
        </w:tc>
        <w:tc>
          <w:tcPr>
            <w:tcW w:w="473" w:type="pct"/>
            <w:tcBorders>
              <w:left w:val="single" w:sz="4" w:space="0" w:color="auto"/>
              <w:right w:val="single" w:sz="4" w:space="0" w:color="auto"/>
            </w:tcBorders>
          </w:tcPr>
          <w:p w:rsidR="001502D1" w:rsidRPr="008D7423" w:rsidRDefault="001502D1"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Mid-term evaluation: Addressing the risks of climate-induced disasters through enhanced national and local capacity for effective actions </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National Environment Commission, Royal Government of Bhutan</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GEF/UNDP</w:t>
            </w: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June 2016</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$ 35,000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GEF/LDCF</w:t>
            </w:r>
          </w:p>
        </w:tc>
      </w:tr>
      <w:tr w:rsidR="008D7423" w:rsidRPr="008D7423" w:rsidTr="005D1A2D">
        <w:trPr>
          <w:trHeight w:val="1069"/>
        </w:trPr>
        <w:tc>
          <w:tcPr>
            <w:tcW w:w="750" w:type="pct"/>
            <w:vMerge/>
            <w:tcBorders>
              <w:left w:val="single" w:sz="4" w:space="0" w:color="auto"/>
              <w:right w:val="single" w:sz="4" w:space="0" w:color="auto"/>
            </w:tcBorders>
          </w:tcPr>
          <w:p w:rsidR="001502D1" w:rsidRPr="008D7423" w:rsidRDefault="001502D1" w:rsidP="001502D1">
            <w:pPr>
              <w:rPr>
                <w:sz w:val="16"/>
                <w:szCs w:val="16"/>
              </w:rPr>
            </w:pPr>
          </w:p>
        </w:tc>
        <w:tc>
          <w:tcPr>
            <w:tcW w:w="473" w:type="pct"/>
            <w:tcBorders>
              <w:left w:val="single" w:sz="4" w:space="0" w:color="auto"/>
              <w:right w:val="single" w:sz="4" w:space="0" w:color="auto"/>
            </w:tcBorders>
          </w:tcPr>
          <w:p w:rsidR="001502D1" w:rsidRPr="008D7423" w:rsidRDefault="001502D1"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xml:space="preserve">Terminal evaluation: </w:t>
            </w:r>
            <w:r w:rsidRPr="008D7423">
              <w:t xml:space="preserve"> </w:t>
            </w:r>
            <w:r w:rsidRPr="008D7423">
              <w:rPr>
                <w:sz w:val="16"/>
                <w:szCs w:val="16"/>
              </w:rPr>
              <w:t>Addressing the risks of climate-induced disasters through enhanced national and local capacity for effective actions</w:t>
            </w:r>
          </w:p>
        </w:tc>
        <w:tc>
          <w:tcPr>
            <w:tcW w:w="777"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National Environment Commission, Royal Government of Bhutan</w:t>
            </w:r>
          </w:p>
        </w:tc>
        <w:tc>
          <w:tcPr>
            <w:tcW w:w="54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GEF/UNDP</w:t>
            </w:r>
          </w:p>
          <w:p w:rsidR="001502D1" w:rsidRPr="008D7423" w:rsidRDefault="001502D1" w:rsidP="001502D1">
            <w:pPr>
              <w:spacing w:afterLines="60" w:after="144"/>
              <w:rPr>
                <w:sz w:val="16"/>
                <w:szCs w:val="16"/>
              </w:rPr>
            </w:pPr>
          </w:p>
        </w:tc>
        <w:tc>
          <w:tcPr>
            <w:tcW w:w="40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Project</w:t>
            </w:r>
          </w:p>
        </w:tc>
        <w:tc>
          <w:tcPr>
            <w:tcW w:w="575"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June 2018</w:t>
            </w:r>
          </w:p>
        </w:tc>
        <w:tc>
          <w:tcPr>
            <w:tcW w:w="371"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$ 35,000</w:t>
            </w:r>
          </w:p>
        </w:tc>
        <w:tc>
          <w:tcPr>
            <w:tcW w:w="534" w:type="pct"/>
            <w:tcBorders>
              <w:top w:val="single" w:sz="4" w:space="0" w:color="auto"/>
              <w:left w:val="single" w:sz="4" w:space="0" w:color="auto"/>
              <w:bottom w:val="single" w:sz="4" w:space="0" w:color="auto"/>
              <w:right w:val="single" w:sz="4" w:space="0" w:color="auto"/>
            </w:tcBorders>
          </w:tcPr>
          <w:p w:rsidR="001502D1" w:rsidRPr="008D7423" w:rsidRDefault="001502D1" w:rsidP="001502D1">
            <w:pPr>
              <w:spacing w:afterLines="60" w:after="144"/>
              <w:rPr>
                <w:sz w:val="16"/>
                <w:szCs w:val="16"/>
              </w:rPr>
            </w:pPr>
            <w:r w:rsidRPr="008D7423">
              <w:rPr>
                <w:sz w:val="16"/>
                <w:szCs w:val="16"/>
              </w:rPr>
              <w:t>GEF/LDCF</w:t>
            </w:r>
          </w:p>
        </w:tc>
      </w:tr>
      <w:tr w:rsidR="008D7423" w:rsidRPr="008D7423" w:rsidTr="005D1A2D">
        <w:trPr>
          <w:trHeight w:val="1343"/>
        </w:trPr>
        <w:tc>
          <w:tcPr>
            <w:tcW w:w="750" w:type="pct"/>
            <w:vMerge w:val="restart"/>
            <w:tcBorders>
              <w:left w:val="single" w:sz="4" w:space="0" w:color="auto"/>
              <w:right w:val="single" w:sz="4" w:space="0" w:color="auto"/>
            </w:tcBorders>
          </w:tcPr>
          <w:p w:rsidR="008D7423" w:rsidRPr="008D7423" w:rsidRDefault="008D7423" w:rsidP="001502D1">
            <w:pPr>
              <w:rPr>
                <w:sz w:val="16"/>
                <w:szCs w:val="16"/>
              </w:rPr>
            </w:pPr>
            <w:r w:rsidRPr="008D7423">
              <w:rPr>
                <w:b/>
                <w:sz w:val="16"/>
                <w:szCs w:val="16"/>
              </w:rPr>
              <w:t>Outcome 4:</w:t>
            </w:r>
            <w:r w:rsidRPr="008D7423">
              <w:rPr>
                <w:sz w:val="16"/>
                <w:szCs w:val="16"/>
              </w:rPr>
              <w:t xml:space="preserve"> </w:t>
            </w:r>
          </w:p>
          <w:p w:rsidR="008D7423" w:rsidRPr="008D7423" w:rsidRDefault="008D7423" w:rsidP="001502D1">
            <w:pPr>
              <w:rPr>
                <w:sz w:val="16"/>
                <w:szCs w:val="16"/>
              </w:rPr>
            </w:pPr>
            <w:r w:rsidRPr="008D7423">
              <w:rPr>
                <w:sz w:val="16"/>
                <w:szCs w:val="16"/>
              </w:rPr>
              <w:t xml:space="preserve">By 2018, governance institutions and communities exercise the principles of democratic governance at the national and local levels with a </w:t>
            </w:r>
            <w:r w:rsidRPr="008D7423">
              <w:rPr>
                <w:sz w:val="16"/>
                <w:szCs w:val="16"/>
              </w:rPr>
              <w:lastRenderedPageBreak/>
              <w:t xml:space="preserve">focus on inclusiveness, transparency, accountability and evidence-based decision making. </w:t>
            </w:r>
          </w:p>
        </w:tc>
        <w:tc>
          <w:tcPr>
            <w:tcW w:w="473" w:type="pct"/>
            <w:tcBorders>
              <w:left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lastRenderedPageBreak/>
              <w:t xml:space="preserve">Democratic Governance </w:t>
            </w:r>
          </w:p>
        </w:tc>
        <w:tc>
          <w:tcPr>
            <w:tcW w:w="574"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Mid-term evaluation: Local Governance Support </w:t>
            </w:r>
            <w:proofErr w:type="spellStart"/>
            <w:r w:rsidRPr="008D7423">
              <w:rPr>
                <w:sz w:val="16"/>
                <w:szCs w:val="16"/>
              </w:rPr>
              <w:t>Programme</w:t>
            </w:r>
            <w:proofErr w:type="spellEnd"/>
            <w:r w:rsidRPr="008D7423">
              <w:rPr>
                <w:sz w:val="16"/>
                <w:szCs w:val="16"/>
              </w:rPr>
              <w:t xml:space="preserve"> Phase 2</w:t>
            </w:r>
          </w:p>
        </w:tc>
        <w:tc>
          <w:tcPr>
            <w:tcW w:w="777"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Ministry of Home and Cultural Affairs (Department of Local Governance); Gross National Happiness Commission, UNDP, UNCDF, DANIDA, EC</w:t>
            </w:r>
          </w:p>
        </w:tc>
        <w:tc>
          <w:tcPr>
            <w:tcW w:w="541"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GNHC, UN agencies and other development partners </w:t>
            </w:r>
          </w:p>
        </w:tc>
        <w:tc>
          <w:tcPr>
            <w:tcW w:w="405"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Project </w:t>
            </w:r>
          </w:p>
        </w:tc>
        <w:tc>
          <w:tcPr>
            <w:tcW w:w="575"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September 2015</w:t>
            </w:r>
          </w:p>
        </w:tc>
        <w:tc>
          <w:tcPr>
            <w:tcW w:w="371"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$ 30,000</w:t>
            </w:r>
          </w:p>
        </w:tc>
        <w:tc>
          <w:tcPr>
            <w:tcW w:w="534"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Project </w:t>
            </w:r>
          </w:p>
        </w:tc>
      </w:tr>
      <w:tr w:rsidR="008D7423" w:rsidRPr="008D7423" w:rsidTr="008D7423">
        <w:trPr>
          <w:trHeight w:val="1339"/>
        </w:trPr>
        <w:tc>
          <w:tcPr>
            <w:tcW w:w="750" w:type="pct"/>
            <w:vMerge/>
            <w:tcBorders>
              <w:left w:val="single" w:sz="4" w:space="0" w:color="auto"/>
              <w:right w:val="single" w:sz="4" w:space="0" w:color="auto"/>
            </w:tcBorders>
            <w:vAlign w:val="center"/>
          </w:tcPr>
          <w:p w:rsidR="008D7423" w:rsidRPr="008D7423" w:rsidRDefault="008D7423" w:rsidP="001502D1">
            <w:pPr>
              <w:spacing w:afterLines="60" w:after="144"/>
              <w:rPr>
                <w:sz w:val="16"/>
                <w:szCs w:val="16"/>
              </w:rPr>
            </w:pPr>
          </w:p>
        </w:tc>
        <w:tc>
          <w:tcPr>
            <w:tcW w:w="473" w:type="pct"/>
            <w:vMerge w:val="restart"/>
            <w:tcBorders>
              <w:left w:val="single" w:sz="4" w:space="0" w:color="auto"/>
              <w:right w:val="single" w:sz="4" w:space="0" w:color="auto"/>
            </w:tcBorders>
          </w:tcPr>
          <w:p w:rsidR="008D7423" w:rsidRPr="008D7423" w:rsidRDefault="008D7423" w:rsidP="001502D1">
            <w:pPr>
              <w:spacing w:afterLines="60" w:after="144"/>
              <w:rPr>
                <w:sz w:val="16"/>
                <w:szCs w:val="16"/>
              </w:rPr>
            </w:pPr>
          </w:p>
        </w:tc>
        <w:tc>
          <w:tcPr>
            <w:tcW w:w="574"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End of Project Evaluation: Local Governance Support </w:t>
            </w:r>
            <w:proofErr w:type="spellStart"/>
            <w:r w:rsidRPr="008D7423">
              <w:rPr>
                <w:sz w:val="16"/>
                <w:szCs w:val="16"/>
              </w:rPr>
              <w:t>Programme</w:t>
            </w:r>
            <w:proofErr w:type="spellEnd"/>
            <w:r w:rsidRPr="008D7423">
              <w:rPr>
                <w:sz w:val="16"/>
                <w:szCs w:val="16"/>
              </w:rPr>
              <w:t xml:space="preserve"> Phase 2 </w:t>
            </w:r>
          </w:p>
        </w:tc>
        <w:tc>
          <w:tcPr>
            <w:tcW w:w="777"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Ministry of Home and Cultural Affairs (Department of Local Governance); Gross National Happiness Commission, UNDP, UNCDF, DANIDA, EC</w:t>
            </w:r>
          </w:p>
        </w:tc>
        <w:tc>
          <w:tcPr>
            <w:tcW w:w="541"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GNHC, UN agencies and other development partners</w:t>
            </w:r>
          </w:p>
        </w:tc>
        <w:tc>
          <w:tcPr>
            <w:tcW w:w="405"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Project </w:t>
            </w:r>
          </w:p>
        </w:tc>
        <w:tc>
          <w:tcPr>
            <w:tcW w:w="575"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December 2017 </w:t>
            </w:r>
          </w:p>
        </w:tc>
        <w:tc>
          <w:tcPr>
            <w:tcW w:w="371"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$ 30,000 </w:t>
            </w:r>
          </w:p>
        </w:tc>
        <w:tc>
          <w:tcPr>
            <w:tcW w:w="534" w:type="pct"/>
            <w:tcBorders>
              <w:top w:val="single" w:sz="4" w:space="0" w:color="auto"/>
              <w:left w:val="single" w:sz="4" w:space="0" w:color="auto"/>
              <w:bottom w:val="single" w:sz="4" w:space="0" w:color="auto"/>
              <w:right w:val="single" w:sz="4" w:space="0" w:color="auto"/>
            </w:tcBorders>
          </w:tcPr>
          <w:p w:rsidR="008D7423" w:rsidRPr="008D7423" w:rsidRDefault="008D7423" w:rsidP="001502D1">
            <w:pPr>
              <w:spacing w:afterLines="60" w:after="144"/>
              <w:rPr>
                <w:sz w:val="16"/>
                <w:szCs w:val="16"/>
              </w:rPr>
            </w:pPr>
            <w:r w:rsidRPr="008D7423">
              <w:rPr>
                <w:sz w:val="16"/>
                <w:szCs w:val="16"/>
              </w:rPr>
              <w:t xml:space="preserve">Project </w:t>
            </w:r>
          </w:p>
        </w:tc>
      </w:tr>
      <w:tr w:rsidR="008D7423" w:rsidRPr="008D7423" w:rsidTr="00DF5907">
        <w:trPr>
          <w:trHeight w:val="1339"/>
        </w:trPr>
        <w:tc>
          <w:tcPr>
            <w:tcW w:w="750" w:type="pct"/>
            <w:vMerge/>
            <w:tcBorders>
              <w:left w:val="single" w:sz="4" w:space="0" w:color="auto"/>
              <w:right w:val="single" w:sz="4" w:space="0" w:color="auto"/>
            </w:tcBorders>
            <w:vAlign w:val="center"/>
          </w:tcPr>
          <w:p w:rsidR="008D7423" w:rsidRPr="008D7423" w:rsidRDefault="008D7423" w:rsidP="001502D1">
            <w:pPr>
              <w:spacing w:afterLines="60" w:after="144"/>
              <w:rPr>
                <w:sz w:val="16"/>
                <w:szCs w:val="16"/>
              </w:rPr>
            </w:pPr>
          </w:p>
        </w:tc>
        <w:tc>
          <w:tcPr>
            <w:tcW w:w="473" w:type="pct"/>
            <w:vMerge/>
            <w:tcBorders>
              <w:left w:val="single" w:sz="4" w:space="0" w:color="auto"/>
              <w:right w:val="single" w:sz="4" w:space="0" w:color="auto"/>
            </w:tcBorders>
          </w:tcPr>
          <w:p w:rsidR="008D7423" w:rsidRPr="008D7423" w:rsidRDefault="008D7423" w:rsidP="001502D1">
            <w:pPr>
              <w:spacing w:afterLines="60" w:after="144"/>
              <w:rPr>
                <w:sz w:val="16"/>
                <w:szCs w:val="16"/>
              </w:rPr>
            </w:pPr>
          </w:p>
        </w:tc>
        <w:tc>
          <w:tcPr>
            <w:tcW w:w="574"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 xml:space="preserve">Evaluation of the  Piloting Phase of the Virtual </w:t>
            </w:r>
            <w:proofErr w:type="spellStart"/>
            <w:r>
              <w:rPr>
                <w:sz w:val="16"/>
                <w:szCs w:val="16"/>
              </w:rPr>
              <w:t>Zomdu</w:t>
            </w:r>
            <w:proofErr w:type="spellEnd"/>
            <w:r>
              <w:rPr>
                <w:sz w:val="16"/>
                <w:szCs w:val="16"/>
              </w:rPr>
              <w:t xml:space="preserve"> project</w:t>
            </w:r>
          </w:p>
        </w:tc>
        <w:tc>
          <w:tcPr>
            <w:tcW w:w="777"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National Assembly Secretariat and National Council Secretariat, G</w:t>
            </w:r>
            <w:bookmarkStart w:id="0" w:name="_GoBack"/>
            <w:bookmarkEnd w:id="0"/>
            <w:r>
              <w:rPr>
                <w:sz w:val="16"/>
                <w:szCs w:val="16"/>
              </w:rPr>
              <w:t>NHC</w:t>
            </w:r>
          </w:p>
        </w:tc>
        <w:tc>
          <w:tcPr>
            <w:tcW w:w="541"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UNDP</w:t>
            </w:r>
          </w:p>
        </w:tc>
        <w:tc>
          <w:tcPr>
            <w:tcW w:w="405"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Project</w:t>
            </w:r>
          </w:p>
        </w:tc>
        <w:tc>
          <w:tcPr>
            <w:tcW w:w="575"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November 2015</w:t>
            </w:r>
          </w:p>
        </w:tc>
        <w:tc>
          <w:tcPr>
            <w:tcW w:w="371"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r>
              <w:rPr>
                <w:sz w:val="16"/>
                <w:szCs w:val="16"/>
              </w:rPr>
              <w:t>$12,500</w:t>
            </w:r>
          </w:p>
        </w:tc>
        <w:tc>
          <w:tcPr>
            <w:tcW w:w="534" w:type="pct"/>
            <w:tcBorders>
              <w:top w:val="single" w:sz="4" w:space="0" w:color="auto"/>
              <w:left w:val="single" w:sz="4" w:space="0" w:color="auto"/>
              <w:right w:val="single" w:sz="4" w:space="0" w:color="auto"/>
            </w:tcBorders>
          </w:tcPr>
          <w:p w:rsidR="008D7423" w:rsidRPr="008D7423" w:rsidRDefault="008D7423" w:rsidP="001502D1">
            <w:pPr>
              <w:spacing w:afterLines="60" w:after="144"/>
              <w:rPr>
                <w:sz w:val="16"/>
                <w:szCs w:val="16"/>
              </w:rPr>
            </w:pPr>
          </w:p>
        </w:tc>
      </w:tr>
    </w:tbl>
    <w:p w:rsidR="00C6319C" w:rsidRPr="008D7423" w:rsidRDefault="00C6319C" w:rsidP="00DF5907"/>
    <w:sectPr w:rsidR="00C6319C" w:rsidRPr="008D7423" w:rsidSect="00797473">
      <w:headerReference w:type="even" r:id="rId8"/>
      <w:headerReference w:type="default" r:id="rId9"/>
      <w:footerReference w:type="default" r:id="rId10"/>
      <w:pgSz w:w="15840" w:h="12240" w:orient="landscape" w:code="1"/>
      <w:pgMar w:top="1296" w:right="1440" w:bottom="864" w:left="1440" w:header="86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67" w:rsidRDefault="00CF3167">
      <w:r>
        <w:separator/>
      </w:r>
    </w:p>
  </w:endnote>
  <w:endnote w:type="continuationSeparator" w:id="0">
    <w:p w:rsidR="00CF3167" w:rsidRDefault="00CF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93173"/>
      <w:docPartObj>
        <w:docPartGallery w:val="Page Numbers (Bottom of Page)"/>
        <w:docPartUnique/>
      </w:docPartObj>
    </w:sdtPr>
    <w:sdtEndPr>
      <w:rPr>
        <w:noProof/>
      </w:rPr>
    </w:sdtEndPr>
    <w:sdtContent>
      <w:p w:rsidR="007B22A7" w:rsidRDefault="007B22A7">
        <w:pPr>
          <w:pStyle w:val="Footer"/>
          <w:jc w:val="center"/>
        </w:pPr>
        <w:r>
          <w:fldChar w:fldCharType="begin"/>
        </w:r>
        <w:r>
          <w:instrText xml:space="preserve"> PAGE   \* MERGEFORMAT </w:instrText>
        </w:r>
        <w:r>
          <w:fldChar w:fldCharType="separate"/>
        </w:r>
        <w:r w:rsidR="008D7423">
          <w:rPr>
            <w:noProof/>
          </w:rPr>
          <w:t>3</w:t>
        </w:r>
        <w:r>
          <w:rPr>
            <w:noProof/>
          </w:rPr>
          <w:fldChar w:fldCharType="end"/>
        </w:r>
        <w:r>
          <w:rPr>
            <w:noProof/>
          </w:rPr>
          <w:t xml:space="preserve"> of 2</w:t>
        </w:r>
      </w:p>
    </w:sdtContent>
  </w:sdt>
  <w:p w:rsidR="00887F9C" w:rsidRDefault="0088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67" w:rsidRDefault="00CF3167">
      <w:r>
        <w:separator/>
      </w:r>
    </w:p>
  </w:footnote>
  <w:footnote w:type="continuationSeparator" w:id="0">
    <w:p w:rsidR="00CF3167" w:rsidRDefault="00CF3167">
      <w:r>
        <w:continuationSeparator/>
      </w:r>
    </w:p>
  </w:footnote>
  <w:footnote w:id="1">
    <w:p w:rsidR="00032873" w:rsidRDefault="00032873">
      <w:pPr>
        <w:pStyle w:val="FootnoteText"/>
      </w:pPr>
      <w:r>
        <w:rPr>
          <w:rStyle w:val="FootnoteReference"/>
        </w:rPr>
        <w:footnoteRef/>
      </w:r>
      <w:r>
        <w:t xml:space="preserve"> </w:t>
      </w:r>
      <w:r w:rsidRPr="00394F31">
        <w:rPr>
          <w:sz w:val="16"/>
          <w:szCs w:val="16"/>
        </w:rPr>
        <w:t>The list is tentative and to be decided in consultation with UNCT and the Government. The modality of reviews could range from self-assessment to commissioning an external evaluation.</w:t>
      </w:r>
      <w:r>
        <w:t xml:space="preserve"> </w:t>
      </w:r>
    </w:p>
  </w:footnote>
  <w:footnote w:id="2">
    <w:p w:rsidR="009968EE" w:rsidRDefault="009968EE">
      <w:pPr>
        <w:pStyle w:val="FootnoteText"/>
      </w:pPr>
      <w:r>
        <w:rPr>
          <w:rStyle w:val="FootnoteReference"/>
        </w:rPr>
        <w:footnoteRef/>
      </w:r>
      <w:r>
        <w:t xml:space="preserve"> </w:t>
      </w:r>
      <w:r w:rsidRPr="00C42107">
        <w:rPr>
          <w:sz w:val="16"/>
          <w:szCs w:val="16"/>
        </w:rPr>
        <w:t>The end of year cycle evaluation will be held in the penultimate year.</w:t>
      </w:r>
      <w:r>
        <w:t xml:space="preserve">  </w:t>
      </w:r>
    </w:p>
  </w:footnote>
  <w:footnote w:id="3">
    <w:p w:rsidR="000E6CC9" w:rsidRPr="005C44AA" w:rsidRDefault="000E6CC9" w:rsidP="000E6CC9">
      <w:pPr>
        <w:pStyle w:val="FootnoteText"/>
        <w:rPr>
          <w:sz w:val="16"/>
          <w:szCs w:val="16"/>
        </w:rPr>
      </w:pPr>
      <w:r>
        <w:rPr>
          <w:rStyle w:val="FootnoteReference"/>
        </w:rPr>
        <w:footnoteRef/>
      </w:r>
      <w:r>
        <w:t xml:space="preserve"> </w:t>
      </w:r>
      <w:r>
        <w:rPr>
          <w:sz w:val="16"/>
          <w:szCs w:val="16"/>
        </w:rPr>
        <w:t xml:space="preserve">To avoid duplication, the Gender Thematic end-of-cycle evaluation will be used for the comprehensive evaluation of gender under Outcome 3 (to be further discussed with UNCT and GNHC.)  </w:t>
      </w:r>
    </w:p>
  </w:footnote>
  <w:footnote w:id="4">
    <w:p w:rsidR="009968EE" w:rsidRDefault="009968EE">
      <w:pPr>
        <w:pStyle w:val="FootnoteText"/>
      </w:pPr>
      <w:r>
        <w:rPr>
          <w:rStyle w:val="FootnoteReference"/>
        </w:rPr>
        <w:footnoteRef/>
      </w:r>
      <w:r>
        <w:t xml:space="preserve"> </w:t>
      </w:r>
      <w:r w:rsidRPr="00394F31">
        <w:rPr>
          <w:sz w:val="16"/>
          <w:szCs w:val="16"/>
        </w:rPr>
        <w:t xml:space="preserve">The Comprehensive Evaluation of the One </w:t>
      </w:r>
      <w:proofErr w:type="spellStart"/>
      <w:r w:rsidRPr="00394F31">
        <w:rPr>
          <w:sz w:val="16"/>
          <w:szCs w:val="16"/>
        </w:rPr>
        <w:t>Programme</w:t>
      </w:r>
      <w:proofErr w:type="spellEnd"/>
      <w:r w:rsidRPr="00394F31">
        <w:rPr>
          <w:sz w:val="16"/>
          <w:szCs w:val="16"/>
        </w:rPr>
        <w:t xml:space="preserve"> will buil</w:t>
      </w:r>
      <w:r w:rsidR="005B1493">
        <w:rPr>
          <w:sz w:val="16"/>
          <w:szCs w:val="16"/>
        </w:rPr>
        <w:t>d</w:t>
      </w:r>
      <w:r w:rsidRPr="00394F31">
        <w:rPr>
          <w:sz w:val="16"/>
          <w:szCs w:val="16"/>
        </w:rPr>
        <w:t xml:space="preserve"> on evaluations of the four Outcomes.  In order to ensure a real focus on equity, the Evaluation will follow the same approach as the One-</w:t>
      </w:r>
      <w:proofErr w:type="spellStart"/>
      <w:r w:rsidRPr="00394F31">
        <w:rPr>
          <w:sz w:val="16"/>
          <w:szCs w:val="16"/>
        </w:rPr>
        <w:t>Programme</w:t>
      </w:r>
      <w:proofErr w:type="spellEnd"/>
      <w:r w:rsidRPr="00394F31">
        <w:rPr>
          <w:sz w:val="16"/>
          <w:szCs w:val="16"/>
        </w:rPr>
        <w:t xml:space="preserve"> programming process in evaluating the progress </w:t>
      </w:r>
      <w:r w:rsidR="005B1493">
        <w:rPr>
          <w:sz w:val="16"/>
          <w:szCs w:val="16"/>
        </w:rPr>
        <w:t>in achieving results</w:t>
      </w:r>
      <w:r w:rsidR="00C27F3F">
        <w:rPr>
          <w:sz w:val="16"/>
          <w:szCs w:val="16"/>
        </w:rPr>
        <w:t>,</w:t>
      </w:r>
      <w:r w:rsidR="005B1493">
        <w:rPr>
          <w:sz w:val="16"/>
          <w:szCs w:val="16"/>
        </w:rPr>
        <w:t xml:space="preserve"> </w:t>
      </w:r>
      <w:r w:rsidRPr="00394F31">
        <w:rPr>
          <w:sz w:val="16"/>
          <w:szCs w:val="16"/>
        </w:rPr>
        <w:t xml:space="preserve">as well as methodologies </w:t>
      </w:r>
      <w:r w:rsidR="005B1493">
        <w:rPr>
          <w:sz w:val="16"/>
          <w:szCs w:val="16"/>
        </w:rPr>
        <w:t>used</w:t>
      </w:r>
      <w:r w:rsidR="005B1493" w:rsidRPr="00394F31">
        <w:rPr>
          <w:sz w:val="16"/>
          <w:szCs w:val="16"/>
        </w:rPr>
        <w:t xml:space="preserve"> </w:t>
      </w:r>
      <w:r w:rsidR="005B1493">
        <w:rPr>
          <w:sz w:val="16"/>
          <w:szCs w:val="16"/>
        </w:rPr>
        <w:t>to</w:t>
      </w:r>
      <w:r w:rsidR="005B1493" w:rsidRPr="00394F31">
        <w:rPr>
          <w:sz w:val="16"/>
          <w:szCs w:val="16"/>
        </w:rPr>
        <w:t xml:space="preserve"> </w:t>
      </w:r>
      <w:r w:rsidRPr="00394F31">
        <w:rPr>
          <w:sz w:val="16"/>
          <w:szCs w:val="16"/>
        </w:rPr>
        <w:t>lift the bottlenecks</w:t>
      </w:r>
      <w:r w:rsidR="005B1493">
        <w:rPr>
          <w:sz w:val="16"/>
          <w:szCs w:val="16"/>
        </w:rPr>
        <w:t xml:space="preserve"> and</w:t>
      </w:r>
      <w:r w:rsidRPr="00394F31">
        <w:rPr>
          <w:sz w:val="16"/>
          <w:szCs w:val="16"/>
        </w:rPr>
        <w:t xml:space="preserve"> barriers </w:t>
      </w:r>
      <w:r w:rsidR="005B1493">
        <w:rPr>
          <w:sz w:val="16"/>
          <w:szCs w:val="16"/>
        </w:rPr>
        <w:t>across</w:t>
      </w:r>
      <w:r w:rsidRPr="00394F31">
        <w:rPr>
          <w:sz w:val="16"/>
          <w:szCs w:val="16"/>
        </w:rPr>
        <w:t xml:space="preserve"> the 3 </w:t>
      </w:r>
      <w:r w:rsidR="005B1493">
        <w:rPr>
          <w:sz w:val="16"/>
          <w:szCs w:val="16"/>
        </w:rPr>
        <w:t xml:space="preserve">capacity development </w:t>
      </w:r>
      <w:r w:rsidRPr="00394F31">
        <w:rPr>
          <w:sz w:val="16"/>
          <w:szCs w:val="16"/>
        </w:rPr>
        <w:t xml:space="preserve">dimensions (policy and enabling environment, services and systems and demand creation/promotion) that prevent the equitable achievement of the results. The evaluation will also look at efficiency, effectiveness and relevance of </w:t>
      </w:r>
      <w:proofErr w:type="gramStart"/>
      <w:r w:rsidRPr="00394F31">
        <w:rPr>
          <w:sz w:val="16"/>
          <w:szCs w:val="16"/>
        </w:rPr>
        <w:t xml:space="preserve">the </w:t>
      </w:r>
      <w:r w:rsidR="008B2CD6">
        <w:rPr>
          <w:sz w:val="16"/>
          <w:szCs w:val="16"/>
        </w:rPr>
        <w:t xml:space="preserve"> One</w:t>
      </w:r>
      <w:proofErr w:type="gramEnd"/>
      <w:r w:rsidR="008B2CD6">
        <w:rPr>
          <w:sz w:val="16"/>
          <w:szCs w:val="16"/>
        </w:rPr>
        <w:t xml:space="preserve"> </w:t>
      </w:r>
      <w:proofErr w:type="spellStart"/>
      <w:r w:rsidR="008B2CD6">
        <w:rPr>
          <w:sz w:val="16"/>
          <w:szCs w:val="16"/>
        </w:rPr>
        <w:t>Programme</w:t>
      </w:r>
      <w:proofErr w:type="spellEnd"/>
      <w:r w:rsidRPr="00394F31">
        <w:rPr>
          <w:sz w:val="16"/>
          <w:szCs w:val="16"/>
        </w:rPr>
        <w:t>.</w:t>
      </w:r>
    </w:p>
  </w:footnote>
  <w:footnote w:id="5">
    <w:p w:rsidR="009968EE" w:rsidRDefault="009968EE" w:rsidP="00376E22">
      <w:pPr>
        <w:ind w:left="90" w:hanging="90"/>
      </w:pPr>
      <w:r>
        <w:rPr>
          <w:rStyle w:val="FootnoteReference"/>
        </w:rPr>
        <w:footnoteRef/>
      </w:r>
      <w:r w:rsidRPr="009968EE">
        <w:rPr>
          <w:sz w:val="16"/>
          <w:szCs w:val="16"/>
        </w:rPr>
        <w:t xml:space="preserve"> At the end of the One </w:t>
      </w:r>
      <w:proofErr w:type="spellStart"/>
      <w:r w:rsidRPr="009968EE">
        <w:rPr>
          <w:sz w:val="16"/>
          <w:szCs w:val="16"/>
        </w:rPr>
        <w:t>Programme</w:t>
      </w:r>
      <w:proofErr w:type="spellEnd"/>
      <w:r w:rsidRPr="009968EE">
        <w:rPr>
          <w:sz w:val="16"/>
          <w:szCs w:val="16"/>
        </w:rPr>
        <w:t xml:space="preserve"> cycle, a gender thematic evaluation will be conducted to measure gender equality impact of the UN’s interventions in Bhutan on institutions (duty bearers), and </w:t>
      </w:r>
      <w:proofErr w:type="spellStart"/>
      <w:r w:rsidRPr="009968EE">
        <w:rPr>
          <w:sz w:val="16"/>
          <w:szCs w:val="16"/>
        </w:rPr>
        <w:t>programme</w:t>
      </w:r>
      <w:proofErr w:type="spellEnd"/>
      <w:r w:rsidRPr="009968EE">
        <w:rPr>
          <w:sz w:val="16"/>
          <w:szCs w:val="16"/>
        </w:rPr>
        <w:t xml:space="preserve"> partners at the local and community level (rights holders).</w:t>
      </w:r>
      <w:r>
        <w:rPr>
          <w:sz w:val="16"/>
          <w:szCs w:val="16"/>
        </w:rPr>
        <w:t xml:space="preserve"> </w:t>
      </w:r>
      <w:r w:rsidR="008B2CD6">
        <w:rPr>
          <w:sz w:val="16"/>
          <w:szCs w:val="16"/>
        </w:rPr>
        <w:t>As noted under footnote 3, this evaluation will contribute to the end-of-cycle evaluation for Outcome 3.</w:t>
      </w:r>
    </w:p>
  </w:footnote>
  <w:footnote w:id="6">
    <w:p w:rsidR="009968EE" w:rsidRPr="00C42107" w:rsidRDefault="009968EE" w:rsidP="005A3EC9">
      <w:pPr>
        <w:pStyle w:val="FootnoteText"/>
        <w:rPr>
          <w:sz w:val="16"/>
          <w:szCs w:val="16"/>
        </w:rPr>
      </w:pPr>
      <w:r>
        <w:rPr>
          <w:rStyle w:val="FootnoteReference"/>
        </w:rPr>
        <w:footnoteRef/>
      </w:r>
      <w:r>
        <w:t xml:space="preserve"> </w:t>
      </w:r>
      <w:r>
        <w:rPr>
          <w:sz w:val="16"/>
          <w:szCs w:val="16"/>
        </w:rPr>
        <w:t xml:space="preserve">The list will be added with other UNDP project evaluations in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0CC" w:rsidRDefault="002413A9">
    <w:pPr>
      <w:pStyle w:val="Header"/>
    </w:pPr>
    <w:r>
      <w:rPr>
        <w:noProof/>
      </w:rPr>
      <mc:AlternateContent>
        <mc:Choice Requires="wps">
          <w:drawing>
            <wp:anchor distT="0" distB="0" distL="114300" distR="114300" simplePos="0" relativeHeight="251659264" behindDoc="0" locked="0" layoutInCell="0" allowOverlap="1">
              <wp:simplePos x="0" y="0"/>
              <wp:positionH relativeFrom="column">
                <wp:posOffset>-73025</wp:posOffset>
              </wp:positionH>
              <wp:positionV relativeFrom="paragraph">
                <wp:posOffset>-302895</wp:posOffset>
              </wp:positionV>
              <wp:extent cx="8464550" cy="6400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140CC" w:rsidRPr="005841A3">
                            <w:trPr>
                              <w:trHeight w:hRule="exact" w:val="864"/>
                            </w:trPr>
                            <w:tc>
                              <w:tcPr>
                                <w:tcW w:w="4838" w:type="dxa"/>
                                <w:tcBorders>
                                  <w:bottom w:val="single" w:sz="4" w:space="0" w:color="auto"/>
                                </w:tcBorders>
                                <w:vAlign w:val="bottom"/>
                              </w:tcPr>
                              <w:p w:rsidR="00D140CC" w:rsidRPr="005841A3" w:rsidRDefault="00D140CC" w:rsidP="00763015">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D140CC" w:rsidRPr="005841A3" w:rsidRDefault="00D140CC">
                                <w:pPr>
                                  <w:pStyle w:val="Header"/>
                                  <w:rPr>
                                    <w:rFonts w:ascii="Times New Roman" w:hAnsi="Times New Roman"/>
                                    <w:sz w:val="17"/>
                                    <w:szCs w:val="17"/>
                                  </w:rPr>
                                </w:pPr>
                              </w:p>
                            </w:tc>
                          </w:tr>
                        </w:tbl>
                        <w:p w:rsidR="00D140CC" w:rsidRDefault="00D140C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D140CC" w:rsidRPr="005841A3">
                      <w:trPr>
                        <w:trHeight w:hRule="exact" w:val="864"/>
                      </w:trPr>
                      <w:tc>
                        <w:tcPr>
                          <w:tcW w:w="4838" w:type="dxa"/>
                          <w:tcBorders>
                            <w:bottom w:val="single" w:sz="4" w:space="0" w:color="auto"/>
                          </w:tcBorders>
                          <w:vAlign w:val="bottom"/>
                        </w:tcPr>
                        <w:p w:rsidR="00D140CC" w:rsidRPr="005841A3" w:rsidRDefault="00D140CC" w:rsidP="00763015">
                          <w:pPr>
                            <w:pStyle w:val="Header"/>
                            <w:spacing w:after="80"/>
                            <w:rPr>
                              <w:rFonts w:ascii="Times New Roman" w:hAnsi="Times New Roman"/>
                              <w:b/>
                              <w:sz w:val="17"/>
                              <w:szCs w:val="17"/>
                            </w:rPr>
                          </w:pPr>
                          <w:r w:rsidRPr="005841A3">
                            <w:rPr>
                              <w:rFonts w:ascii="Times New Roman" w:hAnsi="Times New Roman"/>
                              <w:b/>
                              <w:sz w:val="17"/>
                              <w:szCs w:val="17"/>
                            </w:rPr>
                            <w:t>DP/DCP/</w:t>
                          </w:r>
                        </w:p>
                      </w:tc>
                      <w:tc>
                        <w:tcPr>
                          <w:tcW w:w="8276" w:type="dxa"/>
                          <w:tcBorders>
                            <w:bottom w:val="single" w:sz="4" w:space="0" w:color="auto"/>
                          </w:tcBorders>
                          <w:vAlign w:val="bottom"/>
                        </w:tcPr>
                        <w:p w:rsidR="00D140CC" w:rsidRPr="005841A3" w:rsidRDefault="00D140CC">
                          <w:pPr>
                            <w:pStyle w:val="Header"/>
                            <w:rPr>
                              <w:rFonts w:ascii="Times New Roman" w:hAnsi="Times New Roman"/>
                              <w:sz w:val="17"/>
                              <w:szCs w:val="17"/>
                            </w:rPr>
                          </w:pPr>
                        </w:p>
                      </w:tc>
                    </w:tr>
                  </w:tbl>
                  <w:p w:rsidR="00D140CC" w:rsidRDefault="00D140CC"/>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2A7" w:rsidRPr="00376E22" w:rsidRDefault="00667A57" w:rsidP="007B22A7">
    <w:pPr>
      <w:pStyle w:val="Header"/>
      <w:jc w:val="center"/>
      <w:rPr>
        <w:rFonts w:ascii="Times New Roman" w:hAnsi="Times New Roman"/>
        <w:sz w:val="28"/>
        <w:szCs w:val="28"/>
      </w:rPr>
    </w:pPr>
    <w:r>
      <w:rPr>
        <w:rFonts w:ascii="Times New Roman" w:hAnsi="Times New Roman"/>
        <w:b/>
        <w:color w:val="000000"/>
        <w:sz w:val="28"/>
        <w:szCs w:val="28"/>
      </w:rPr>
      <w:t xml:space="preserve">UNDP </w:t>
    </w:r>
    <w:r w:rsidR="007B22A7" w:rsidRPr="00376E22">
      <w:rPr>
        <w:rFonts w:ascii="Times New Roman" w:hAnsi="Times New Roman"/>
        <w:b/>
        <w:color w:val="000000"/>
        <w:sz w:val="28"/>
        <w:szCs w:val="28"/>
      </w:rPr>
      <w:t xml:space="preserve">BHUTAN EVALUATION PLAN </w:t>
    </w:r>
    <w:r>
      <w:rPr>
        <w:rFonts w:ascii="Times New Roman" w:hAnsi="Times New Roman"/>
        <w:b/>
        <w:color w:val="000000"/>
        <w:sz w:val="28"/>
        <w:szCs w:val="28"/>
      </w:rPr>
      <w:t xml:space="preserve">FOR CCPD </w:t>
    </w:r>
    <w:r w:rsidR="007B22A7" w:rsidRPr="00376E22">
      <w:rPr>
        <w:rFonts w:ascii="Times New Roman" w:hAnsi="Times New Roman"/>
        <w:b/>
        <w:color w:val="000000"/>
        <w:sz w:val="28"/>
        <w:szCs w:val="28"/>
      </w:rPr>
      <w:t>2014-2018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BD"/>
    <w:rsid w:val="00023C1E"/>
    <w:rsid w:val="00032873"/>
    <w:rsid w:val="0003495D"/>
    <w:rsid w:val="00041025"/>
    <w:rsid w:val="0006657D"/>
    <w:rsid w:val="000739A7"/>
    <w:rsid w:val="0007460B"/>
    <w:rsid w:val="000979FD"/>
    <w:rsid w:val="000A3433"/>
    <w:rsid w:val="000B0CDB"/>
    <w:rsid w:val="000B1F45"/>
    <w:rsid w:val="000C0159"/>
    <w:rsid w:val="000E1AE7"/>
    <w:rsid w:val="000E6CC9"/>
    <w:rsid w:val="000F5B54"/>
    <w:rsid w:val="001050BE"/>
    <w:rsid w:val="0012142F"/>
    <w:rsid w:val="001502D1"/>
    <w:rsid w:val="00156086"/>
    <w:rsid w:val="00162DDE"/>
    <w:rsid w:val="00165BCE"/>
    <w:rsid w:val="00174CF0"/>
    <w:rsid w:val="001A00B4"/>
    <w:rsid w:val="001C6822"/>
    <w:rsid w:val="0020092E"/>
    <w:rsid w:val="002413A9"/>
    <w:rsid w:val="002417D3"/>
    <w:rsid w:val="0025177B"/>
    <w:rsid w:val="002535E9"/>
    <w:rsid w:val="002F7046"/>
    <w:rsid w:val="003346AC"/>
    <w:rsid w:val="0034201F"/>
    <w:rsid w:val="003578CD"/>
    <w:rsid w:val="00357B2B"/>
    <w:rsid w:val="00363A90"/>
    <w:rsid w:val="00370EA5"/>
    <w:rsid w:val="0037260D"/>
    <w:rsid w:val="00376E22"/>
    <w:rsid w:val="00394F31"/>
    <w:rsid w:val="003A428F"/>
    <w:rsid w:val="003B1183"/>
    <w:rsid w:val="004113EF"/>
    <w:rsid w:val="0042394F"/>
    <w:rsid w:val="00445E2D"/>
    <w:rsid w:val="00471A5E"/>
    <w:rsid w:val="00484FD2"/>
    <w:rsid w:val="00486E9B"/>
    <w:rsid w:val="0049475E"/>
    <w:rsid w:val="004C3333"/>
    <w:rsid w:val="004E35CA"/>
    <w:rsid w:val="00517784"/>
    <w:rsid w:val="00520760"/>
    <w:rsid w:val="00532F79"/>
    <w:rsid w:val="005658FE"/>
    <w:rsid w:val="00565A7A"/>
    <w:rsid w:val="00585EBB"/>
    <w:rsid w:val="005A3EC9"/>
    <w:rsid w:val="005B1493"/>
    <w:rsid w:val="005C44AA"/>
    <w:rsid w:val="005D1A2D"/>
    <w:rsid w:val="005E6148"/>
    <w:rsid w:val="005E67B4"/>
    <w:rsid w:val="006104AB"/>
    <w:rsid w:val="00624E66"/>
    <w:rsid w:val="00667A57"/>
    <w:rsid w:val="006D63D3"/>
    <w:rsid w:val="00715F69"/>
    <w:rsid w:val="00747F0C"/>
    <w:rsid w:val="00757DBD"/>
    <w:rsid w:val="00763015"/>
    <w:rsid w:val="00797324"/>
    <w:rsid w:val="00797473"/>
    <w:rsid w:val="007B1E29"/>
    <w:rsid w:val="007B22A7"/>
    <w:rsid w:val="007C1213"/>
    <w:rsid w:val="0087425C"/>
    <w:rsid w:val="008815BF"/>
    <w:rsid w:val="00887F9C"/>
    <w:rsid w:val="008B2CD6"/>
    <w:rsid w:val="008D7423"/>
    <w:rsid w:val="00931AF9"/>
    <w:rsid w:val="00942835"/>
    <w:rsid w:val="009552EE"/>
    <w:rsid w:val="009968EE"/>
    <w:rsid w:val="009E5020"/>
    <w:rsid w:val="00A108C1"/>
    <w:rsid w:val="00A81E5B"/>
    <w:rsid w:val="00A85B5B"/>
    <w:rsid w:val="00AA75AF"/>
    <w:rsid w:val="00AA7881"/>
    <w:rsid w:val="00AC490F"/>
    <w:rsid w:val="00AE2974"/>
    <w:rsid w:val="00B362E8"/>
    <w:rsid w:val="00B377D1"/>
    <w:rsid w:val="00B37CBB"/>
    <w:rsid w:val="00B73D44"/>
    <w:rsid w:val="00B90933"/>
    <w:rsid w:val="00BA568E"/>
    <w:rsid w:val="00BA57AA"/>
    <w:rsid w:val="00BE4F24"/>
    <w:rsid w:val="00BF1F40"/>
    <w:rsid w:val="00C06156"/>
    <w:rsid w:val="00C227FE"/>
    <w:rsid w:val="00C27F3F"/>
    <w:rsid w:val="00C42107"/>
    <w:rsid w:val="00C57C34"/>
    <w:rsid w:val="00C6319C"/>
    <w:rsid w:val="00C72D6F"/>
    <w:rsid w:val="00C75E71"/>
    <w:rsid w:val="00C86821"/>
    <w:rsid w:val="00C90683"/>
    <w:rsid w:val="00CB6ED8"/>
    <w:rsid w:val="00CD6E76"/>
    <w:rsid w:val="00CF0C20"/>
    <w:rsid w:val="00CF3167"/>
    <w:rsid w:val="00D01201"/>
    <w:rsid w:val="00D140CC"/>
    <w:rsid w:val="00D21BAB"/>
    <w:rsid w:val="00D34AB4"/>
    <w:rsid w:val="00D609CB"/>
    <w:rsid w:val="00DA6445"/>
    <w:rsid w:val="00DF3E40"/>
    <w:rsid w:val="00DF5907"/>
    <w:rsid w:val="00DF7404"/>
    <w:rsid w:val="00DF7AC2"/>
    <w:rsid w:val="00E45621"/>
    <w:rsid w:val="00EB5B55"/>
    <w:rsid w:val="00ED27F7"/>
    <w:rsid w:val="00ED36DA"/>
    <w:rsid w:val="00ED5451"/>
    <w:rsid w:val="00ED6D49"/>
    <w:rsid w:val="00EF3D13"/>
    <w:rsid w:val="00F27A9A"/>
    <w:rsid w:val="00F4618F"/>
    <w:rsid w:val="00F71113"/>
    <w:rsid w:val="00FE1AB9"/>
    <w:rsid w:val="00FE6F3A"/>
    <w:rsid w:val="00FF7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DBD"/>
    <w:pPr>
      <w:widowControl w:val="0"/>
      <w:tabs>
        <w:tab w:val="center" w:pos="4320"/>
        <w:tab w:val="right" w:pos="8640"/>
      </w:tabs>
    </w:pPr>
    <w:rPr>
      <w:rFonts w:ascii="Courier" w:hAnsi="Courier"/>
      <w:sz w:val="22"/>
    </w:rPr>
  </w:style>
  <w:style w:type="character" w:customStyle="1" w:styleId="HeaderChar">
    <w:name w:val="Header Char"/>
    <w:basedOn w:val="DefaultParagraphFont"/>
    <w:link w:val="Header"/>
    <w:rsid w:val="00757DBD"/>
    <w:rPr>
      <w:rFonts w:ascii="Courier" w:eastAsia="Times New Roman" w:hAnsi="Courier" w:cs="Times New Roman"/>
      <w:szCs w:val="20"/>
    </w:rPr>
  </w:style>
  <w:style w:type="character" w:styleId="CommentReference">
    <w:name w:val="annotation reference"/>
    <w:semiHidden/>
    <w:rsid w:val="00757DBD"/>
    <w:rPr>
      <w:rFonts w:cs="Times New Roman"/>
      <w:sz w:val="6"/>
      <w:szCs w:val="6"/>
    </w:rPr>
  </w:style>
  <w:style w:type="paragraph" w:styleId="FootnoteText">
    <w:name w:val="footnote text"/>
    <w:basedOn w:val="Normal"/>
    <w:link w:val="FootnoteTextChar"/>
    <w:uiPriority w:val="99"/>
    <w:semiHidden/>
    <w:unhideWhenUsed/>
    <w:rsid w:val="002535E9"/>
  </w:style>
  <w:style w:type="character" w:customStyle="1" w:styleId="FootnoteTextChar">
    <w:name w:val="Footnote Text Char"/>
    <w:basedOn w:val="DefaultParagraphFont"/>
    <w:link w:val="FootnoteText"/>
    <w:uiPriority w:val="99"/>
    <w:semiHidden/>
    <w:rsid w:val="002535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5E9"/>
    <w:rPr>
      <w:vertAlign w:val="superscript"/>
    </w:rPr>
  </w:style>
  <w:style w:type="paragraph" w:styleId="Footer">
    <w:name w:val="footer"/>
    <w:basedOn w:val="Normal"/>
    <w:link w:val="FooterChar"/>
    <w:uiPriority w:val="99"/>
    <w:unhideWhenUsed/>
    <w:rsid w:val="002535E9"/>
    <w:pPr>
      <w:tabs>
        <w:tab w:val="center" w:pos="4680"/>
        <w:tab w:val="right" w:pos="9360"/>
      </w:tabs>
    </w:pPr>
  </w:style>
  <w:style w:type="character" w:customStyle="1" w:styleId="FooterChar">
    <w:name w:val="Footer Char"/>
    <w:basedOn w:val="DefaultParagraphFont"/>
    <w:link w:val="Footer"/>
    <w:uiPriority w:val="99"/>
    <w:rsid w:val="002535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F0C"/>
    <w:rPr>
      <w:rFonts w:ascii="Tahoma" w:hAnsi="Tahoma" w:cs="Tahoma"/>
      <w:sz w:val="16"/>
      <w:szCs w:val="16"/>
    </w:rPr>
  </w:style>
  <w:style w:type="character" w:customStyle="1" w:styleId="BalloonTextChar">
    <w:name w:val="Balloon Text Char"/>
    <w:basedOn w:val="DefaultParagraphFont"/>
    <w:link w:val="BalloonText"/>
    <w:uiPriority w:val="99"/>
    <w:semiHidden/>
    <w:rsid w:val="00747F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5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DBD"/>
    <w:pPr>
      <w:widowControl w:val="0"/>
      <w:tabs>
        <w:tab w:val="center" w:pos="4320"/>
        <w:tab w:val="right" w:pos="8640"/>
      </w:tabs>
    </w:pPr>
    <w:rPr>
      <w:rFonts w:ascii="Courier" w:hAnsi="Courier"/>
      <w:sz w:val="22"/>
    </w:rPr>
  </w:style>
  <w:style w:type="character" w:customStyle="1" w:styleId="HeaderChar">
    <w:name w:val="Header Char"/>
    <w:basedOn w:val="DefaultParagraphFont"/>
    <w:link w:val="Header"/>
    <w:rsid w:val="00757DBD"/>
    <w:rPr>
      <w:rFonts w:ascii="Courier" w:eastAsia="Times New Roman" w:hAnsi="Courier" w:cs="Times New Roman"/>
      <w:szCs w:val="20"/>
    </w:rPr>
  </w:style>
  <w:style w:type="character" w:styleId="CommentReference">
    <w:name w:val="annotation reference"/>
    <w:semiHidden/>
    <w:rsid w:val="00757DBD"/>
    <w:rPr>
      <w:rFonts w:cs="Times New Roman"/>
      <w:sz w:val="6"/>
      <w:szCs w:val="6"/>
    </w:rPr>
  </w:style>
  <w:style w:type="paragraph" w:styleId="FootnoteText">
    <w:name w:val="footnote text"/>
    <w:basedOn w:val="Normal"/>
    <w:link w:val="FootnoteTextChar"/>
    <w:uiPriority w:val="99"/>
    <w:semiHidden/>
    <w:unhideWhenUsed/>
    <w:rsid w:val="002535E9"/>
  </w:style>
  <w:style w:type="character" w:customStyle="1" w:styleId="FootnoteTextChar">
    <w:name w:val="Footnote Text Char"/>
    <w:basedOn w:val="DefaultParagraphFont"/>
    <w:link w:val="FootnoteText"/>
    <w:uiPriority w:val="99"/>
    <w:semiHidden/>
    <w:rsid w:val="002535E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35E9"/>
    <w:rPr>
      <w:vertAlign w:val="superscript"/>
    </w:rPr>
  </w:style>
  <w:style w:type="paragraph" w:styleId="Footer">
    <w:name w:val="footer"/>
    <w:basedOn w:val="Normal"/>
    <w:link w:val="FooterChar"/>
    <w:uiPriority w:val="99"/>
    <w:unhideWhenUsed/>
    <w:rsid w:val="002535E9"/>
    <w:pPr>
      <w:tabs>
        <w:tab w:val="center" w:pos="4680"/>
        <w:tab w:val="right" w:pos="9360"/>
      </w:tabs>
    </w:pPr>
  </w:style>
  <w:style w:type="character" w:customStyle="1" w:styleId="FooterChar">
    <w:name w:val="Footer Char"/>
    <w:basedOn w:val="DefaultParagraphFont"/>
    <w:link w:val="Footer"/>
    <w:uiPriority w:val="99"/>
    <w:rsid w:val="002535E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7F0C"/>
    <w:rPr>
      <w:rFonts w:ascii="Tahoma" w:hAnsi="Tahoma" w:cs="Tahoma"/>
      <w:sz w:val="16"/>
      <w:szCs w:val="16"/>
    </w:rPr>
  </w:style>
  <w:style w:type="character" w:customStyle="1" w:styleId="BalloonTextChar">
    <w:name w:val="Balloon Text Char"/>
    <w:basedOn w:val="DefaultParagraphFont"/>
    <w:link w:val="BalloonText"/>
    <w:uiPriority w:val="99"/>
    <w:semiHidden/>
    <w:rsid w:val="00747F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91838">
      <w:bodyDiv w:val="1"/>
      <w:marLeft w:val="0"/>
      <w:marRight w:val="0"/>
      <w:marTop w:val="0"/>
      <w:marBottom w:val="0"/>
      <w:divBdr>
        <w:top w:val="none" w:sz="0" w:space="0" w:color="auto"/>
        <w:left w:val="none" w:sz="0" w:space="0" w:color="auto"/>
        <w:bottom w:val="none" w:sz="0" w:space="0" w:color="auto"/>
        <w:right w:val="none" w:sz="0" w:space="0" w:color="auto"/>
      </w:divBdr>
    </w:div>
    <w:div w:id="137816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FE01E-7B60-4008-A6C3-C901551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pem.wangdi</dc:creator>
  <cp:lastModifiedBy>Pem Chuki Wangdi</cp:lastModifiedBy>
  <cp:revision>3</cp:revision>
  <cp:lastPrinted>2013-02-15T21:35:00Z</cp:lastPrinted>
  <dcterms:created xsi:type="dcterms:W3CDTF">2014-11-17T03:05:00Z</dcterms:created>
  <dcterms:modified xsi:type="dcterms:W3CDTF">2014-11-17T03:11:00Z</dcterms:modified>
</cp:coreProperties>
</file>