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0052" w14:textId="1314054A" w:rsidR="00684548" w:rsidRPr="001836D2" w:rsidRDefault="00684548">
      <w:pPr>
        <w:rPr>
          <w:b/>
          <w:sz w:val="28"/>
          <w:szCs w:val="28"/>
        </w:rPr>
      </w:pPr>
      <w:r w:rsidRPr="001836D2">
        <w:rPr>
          <w:b/>
          <w:sz w:val="28"/>
          <w:szCs w:val="28"/>
        </w:rPr>
        <w:t>UN</w:t>
      </w:r>
      <w:r w:rsidR="004A39D5">
        <w:rPr>
          <w:b/>
          <w:sz w:val="28"/>
          <w:szCs w:val="28"/>
        </w:rPr>
        <w:t xml:space="preserve"> Volunteers </w:t>
      </w:r>
      <w:r w:rsidR="009365AF">
        <w:rPr>
          <w:b/>
          <w:sz w:val="28"/>
          <w:szCs w:val="28"/>
        </w:rPr>
        <w:t>Strategic Framework</w:t>
      </w:r>
      <w:r w:rsidRPr="001836D2">
        <w:rPr>
          <w:b/>
          <w:sz w:val="28"/>
          <w:szCs w:val="28"/>
        </w:rPr>
        <w:t xml:space="preserve"> 2018 – 2021</w:t>
      </w:r>
      <w:r w:rsidR="009365AF">
        <w:rPr>
          <w:b/>
          <w:sz w:val="28"/>
          <w:szCs w:val="28"/>
        </w:rPr>
        <w:t>: Evaluation Plan</w:t>
      </w:r>
    </w:p>
    <w:p w14:paraId="279FF061" w14:textId="77777777" w:rsidR="00325B3D" w:rsidRPr="00E16CCC" w:rsidRDefault="00905B07">
      <w:pPr>
        <w:rPr>
          <w:sz w:val="24"/>
          <w:szCs w:val="24"/>
          <w:u w:val="single"/>
        </w:rPr>
      </w:pPr>
      <w:r w:rsidRPr="00E16CCC">
        <w:rPr>
          <w:sz w:val="24"/>
          <w:szCs w:val="24"/>
          <w:u w:val="single"/>
        </w:rPr>
        <w:t xml:space="preserve">1. </w:t>
      </w:r>
      <w:r w:rsidR="00325B3D" w:rsidRPr="00E16CCC">
        <w:rPr>
          <w:sz w:val="24"/>
          <w:szCs w:val="24"/>
          <w:u w:val="single"/>
        </w:rPr>
        <w:t>Introduction</w:t>
      </w:r>
    </w:p>
    <w:p w14:paraId="3DD5819F" w14:textId="5F9E6586" w:rsidR="004822D0" w:rsidRPr="00E16CCC" w:rsidRDefault="004A39D5" w:rsidP="00695E2D">
      <w:pPr>
        <w:jc w:val="both"/>
        <w:rPr>
          <w:sz w:val="24"/>
          <w:szCs w:val="24"/>
        </w:rPr>
      </w:pPr>
      <w:r>
        <w:rPr>
          <w:sz w:val="24"/>
          <w:szCs w:val="24"/>
        </w:rPr>
        <w:t xml:space="preserve">As a Programme </w:t>
      </w:r>
      <w:r w:rsidR="005602C9">
        <w:rPr>
          <w:sz w:val="24"/>
          <w:szCs w:val="24"/>
        </w:rPr>
        <w:t>administered</w:t>
      </w:r>
      <w:r>
        <w:rPr>
          <w:sz w:val="24"/>
          <w:szCs w:val="24"/>
        </w:rPr>
        <w:t xml:space="preserve"> by UNDP, </w:t>
      </w:r>
      <w:r w:rsidR="00684548" w:rsidRPr="00E16CCC">
        <w:rPr>
          <w:sz w:val="24"/>
          <w:szCs w:val="24"/>
        </w:rPr>
        <w:t>UN</w:t>
      </w:r>
      <w:r>
        <w:rPr>
          <w:sz w:val="24"/>
          <w:szCs w:val="24"/>
        </w:rPr>
        <w:t>V</w:t>
      </w:r>
      <w:r w:rsidR="00684548" w:rsidRPr="00E16CCC">
        <w:rPr>
          <w:sz w:val="24"/>
          <w:szCs w:val="24"/>
        </w:rPr>
        <w:t xml:space="preserve"> is required under </w:t>
      </w:r>
      <w:r>
        <w:rPr>
          <w:sz w:val="24"/>
          <w:szCs w:val="24"/>
        </w:rPr>
        <w:t>UNDP’s</w:t>
      </w:r>
      <w:r w:rsidR="00B65D48" w:rsidRPr="00E16CCC">
        <w:rPr>
          <w:sz w:val="24"/>
          <w:szCs w:val="24"/>
        </w:rPr>
        <w:t xml:space="preserve"> </w:t>
      </w:r>
      <w:r w:rsidR="00684548" w:rsidRPr="00E16CCC">
        <w:rPr>
          <w:sz w:val="24"/>
          <w:szCs w:val="24"/>
        </w:rPr>
        <w:t>Evaluation Policy to establish</w:t>
      </w:r>
      <w:r w:rsidR="004822D0" w:rsidRPr="00E16CCC">
        <w:rPr>
          <w:sz w:val="24"/>
          <w:szCs w:val="24"/>
        </w:rPr>
        <w:t xml:space="preserve"> a ‘multi-year evaluation plan that is aligned with its strategic </w:t>
      </w:r>
      <w:r>
        <w:rPr>
          <w:sz w:val="24"/>
          <w:szCs w:val="24"/>
        </w:rPr>
        <w:t>framework</w:t>
      </w:r>
      <w:r w:rsidR="004822D0" w:rsidRPr="00E16CCC">
        <w:rPr>
          <w:sz w:val="24"/>
          <w:szCs w:val="24"/>
        </w:rPr>
        <w:t>, and costed programme of work for evaluation concurrent with its overall evaluation budget’.</w:t>
      </w:r>
      <w:r w:rsidR="00EE7083" w:rsidRPr="00E16CCC">
        <w:rPr>
          <w:rStyle w:val="FootnoteReference"/>
          <w:sz w:val="24"/>
          <w:szCs w:val="24"/>
        </w:rPr>
        <w:footnoteReference w:id="1"/>
      </w:r>
    </w:p>
    <w:p w14:paraId="42DA7612" w14:textId="04CAB72C" w:rsidR="003046BB" w:rsidRPr="00E16CCC" w:rsidRDefault="00FF7846" w:rsidP="00695E2D">
      <w:pPr>
        <w:jc w:val="both"/>
        <w:rPr>
          <w:sz w:val="24"/>
          <w:szCs w:val="24"/>
        </w:rPr>
      </w:pPr>
      <w:r w:rsidRPr="00E16CCC">
        <w:rPr>
          <w:sz w:val="24"/>
          <w:szCs w:val="24"/>
        </w:rPr>
        <w:t xml:space="preserve">This </w:t>
      </w:r>
      <w:r w:rsidR="004A39D5">
        <w:rPr>
          <w:sz w:val="24"/>
          <w:szCs w:val="24"/>
        </w:rPr>
        <w:t>document</w:t>
      </w:r>
      <w:r w:rsidR="006516FF" w:rsidRPr="00E16CCC">
        <w:rPr>
          <w:sz w:val="24"/>
          <w:szCs w:val="24"/>
        </w:rPr>
        <w:t xml:space="preserve"> </w:t>
      </w:r>
      <w:r w:rsidR="002E174B" w:rsidRPr="00E16CCC">
        <w:rPr>
          <w:sz w:val="24"/>
          <w:szCs w:val="24"/>
        </w:rPr>
        <w:t xml:space="preserve">describes the broader objectives that the evaluation function in </w:t>
      </w:r>
      <w:r w:rsidR="004A39D5">
        <w:rPr>
          <w:sz w:val="24"/>
          <w:szCs w:val="24"/>
        </w:rPr>
        <w:t>UNV</w:t>
      </w:r>
      <w:r w:rsidR="002E174B" w:rsidRPr="00E16CCC">
        <w:rPr>
          <w:sz w:val="24"/>
          <w:szCs w:val="24"/>
        </w:rPr>
        <w:t xml:space="preserve"> </w:t>
      </w:r>
      <w:r w:rsidR="003F1218" w:rsidRPr="00E16CCC">
        <w:rPr>
          <w:sz w:val="24"/>
          <w:szCs w:val="24"/>
        </w:rPr>
        <w:t xml:space="preserve">is expected to meet </w:t>
      </w:r>
      <w:r w:rsidR="002E174B" w:rsidRPr="00E16CCC">
        <w:rPr>
          <w:sz w:val="24"/>
          <w:szCs w:val="24"/>
        </w:rPr>
        <w:t>over this period as well as the main approaches that will be followed to achieve these objectives</w:t>
      </w:r>
      <w:r w:rsidR="003F1218" w:rsidRPr="00E16CCC">
        <w:rPr>
          <w:sz w:val="24"/>
          <w:szCs w:val="24"/>
        </w:rPr>
        <w:t xml:space="preserve">. </w:t>
      </w:r>
    </w:p>
    <w:p w14:paraId="51F06B0D" w14:textId="4D531D21" w:rsidR="00972754" w:rsidRPr="00E16CCC" w:rsidRDefault="00972754" w:rsidP="00695E2D">
      <w:pPr>
        <w:jc w:val="both"/>
        <w:rPr>
          <w:sz w:val="24"/>
          <w:szCs w:val="24"/>
        </w:rPr>
      </w:pPr>
      <w:r w:rsidRPr="00E16CCC">
        <w:rPr>
          <w:sz w:val="24"/>
          <w:szCs w:val="24"/>
        </w:rPr>
        <w:t xml:space="preserve">It also describes </w:t>
      </w:r>
      <w:r w:rsidR="004A39D5">
        <w:rPr>
          <w:sz w:val="24"/>
          <w:szCs w:val="24"/>
        </w:rPr>
        <w:t>UNV’s</w:t>
      </w:r>
      <w:r w:rsidR="003046BB" w:rsidRPr="00E16CCC">
        <w:rPr>
          <w:sz w:val="24"/>
          <w:szCs w:val="24"/>
        </w:rPr>
        <w:t xml:space="preserve"> </w:t>
      </w:r>
      <w:r w:rsidRPr="00E16CCC">
        <w:rPr>
          <w:sz w:val="24"/>
          <w:szCs w:val="24"/>
        </w:rPr>
        <w:t xml:space="preserve">plans for continuing </w:t>
      </w:r>
      <w:r w:rsidR="004E1D16" w:rsidRPr="00E16CCC">
        <w:rPr>
          <w:sz w:val="24"/>
          <w:szCs w:val="24"/>
        </w:rPr>
        <w:t xml:space="preserve">its </w:t>
      </w:r>
      <w:r w:rsidRPr="00E16CCC">
        <w:rPr>
          <w:sz w:val="24"/>
          <w:szCs w:val="24"/>
        </w:rPr>
        <w:t xml:space="preserve">partnership with UNDP’s Independent Evaluation Office, </w:t>
      </w:r>
      <w:r w:rsidR="004967DD" w:rsidRPr="00E16CCC">
        <w:rPr>
          <w:sz w:val="24"/>
          <w:szCs w:val="24"/>
        </w:rPr>
        <w:t xml:space="preserve">the continued </w:t>
      </w:r>
      <w:r w:rsidR="003046BB" w:rsidRPr="00E16CCC">
        <w:rPr>
          <w:sz w:val="24"/>
          <w:szCs w:val="24"/>
        </w:rPr>
        <w:t xml:space="preserve">participation </w:t>
      </w:r>
      <w:r w:rsidR="004967DD" w:rsidRPr="00E16CCC">
        <w:rPr>
          <w:sz w:val="24"/>
          <w:szCs w:val="24"/>
        </w:rPr>
        <w:t xml:space="preserve">of its </w:t>
      </w:r>
      <w:r w:rsidR="004A39D5">
        <w:rPr>
          <w:sz w:val="24"/>
          <w:szCs w:val="24"/>
        </w:rPr>
        <w:t xml:space="preserve">Results-Based Management </w:t>
      </w:r>
      <w:r w:rsidR="004967DD" w:rsidRPr="00E16CCC">
        <w:rPr>
          <w:sz w:val="24"/>
          <w:szCs w:val="24"/>
        </w:rPr>
        <w:t xml:space="preserve">Unit </w:t>
      </w:r>
      <w:r w:rsidR="003046BB" w:rsidRPr="00E16CCC">
        <w:rPr>
          <w:sz w:val="24"/>
          <w:szCs w:val="24"/>
        </w:rPr>
        <w:t>in the United Nations Evaluation Group a</w:t>
      </w:r>
      <w:r w:rsidR="002F34AD" w:rsidRPr="00E16CCC">
        <w:rPr>
          <w:sz w:val="24"/>
          <w:szCs w:val="24"/>
        </w:rPr>
        <w:t>nd other international initiatives in development evaluation, as</w:t>
      </w:r>
      <w:r w:rsidR="003046BB" w:rsidRPr="00E16CCC">
        <w:rPr>
          <w:sz w:val="24"/>
          <w:szCs w:val="24"/>
        </w:rPr>
        <w:t xml:space="preserve"> well as collaboration </w:t>
      </w:r>
      <w:r w:rsidR="002F34AD" w:rsidRPr="00E16CCC">
        <w:rPr>
          <w:sz w:val="24"/>
          <w:szCs w:val="24"/>
        </w:rPr>
        <w:t xml:space="preserve">where possible </w:t>
      </w:r>
      <w:r w:rsidR="003046BB" w:rsidRPr="00E16CCC">
        <w:rPr>
          <w:sz w:val="24"/>
          <w:szCs w:val="24"/>
        </w:rPr>
        <w:t xml:space="preserve">with </w:t>
      </w:r>
      <w:r w:rsidR="00F15401" w:rsidRPr="00E16CCC">
        <w:rPr>
          <w:sz w:val="24"/>
          <w:szCs w:val="24"/>
        </w:rPr>
        <w:t xml:space="preserve">its key </w:t>
      </w:r>
      <w:r w:rsidR="002F34AD" w:rsidRPr="00E16CCC">
        <w:rPr>
          <w:sz w:val="24"/>
          <w:szCs w:val="24"/>
        </w:rPr>
        <w:t>development partners in the design and implementation of its evaluations.</w:t>
      </w:r>
      <w:r w:rsidR="00CC06BD" w:rsidRPr="00E16CCC">
        <w:rPr>
          <w:sz w:val="24"/>
          <w:szCs w:val="24"/>
        </w:rPr>
        <w:t xml:space="preserve"> </w:t>
      </w:r>
    </w:p>
    <w:p w14:paraId="0F47BBC0" w14:textId="77777777" w:rsidR="002E174B" w:rsidRPr="00E16CCC" w:rsidRDefault="003F1218" w:rsidP="00695E2D">
      <w:pPr>
        <w:jc w:val="both"/>
        <w:rPr>
          <w:sz w:val="24"/>
          <w:szCs w:val="24"/>
        </w:rPr>
      </w:pPr>
      <w:r w:rsidRPr="00E16CCC">
        <w:rPr>
          <w:sz w:val="24"/>
          <w:szCs w:val="24"/>
        </w:rPr>
        <w:t>It conclude</w:t>
      </w:r>
      <w:r w:rsidR="00927CA5" w:rsidRPr="00E16CCC">
        <w:rPr>
          <w:sz w:val="24"/>
          <w:szCs w:val="24"/>
        </w:rPr>
        <w:t>s</w:t>
      </w:r>
      <w:r w:rsidRPr="00E16CCC">
        <w:rPr>
          <w:sz w:val="24"/>
          <w:szCs w:val="24"/>
        </w:rPr>
        <w:t xml:space="preserve"> with a </w:t>
      </w:r>
      <w:r w:rsidR="002E174B" w:rsidRPr="00E16CCC">
        <w:rPr>
          <w:sz w:val="24"/>
          <w:szCs w:val="24"/>
        </w:rPr>
        <w:t>propos</w:t>
      </w:r>
      <w:r w:rsidRPr="00E16CCC">
        <w:rPr>
          <w:sz w:val="24"/>
          <w:szCs w:val="24"/>
        </w:rPr>
        <w:t>ed</w:t>
      </w:r>
      <w:r w:rsidR="002E174B" w:rsidRPr="00E16CCC">
        <w:rPr>
          <w:sz w:val="24"/>
          <w:szCs w:val="24"/>
        </w:rPr>
        <w:t xml:space="preserve"> </w:t>
      </w:r>
      <w:r w:rsidR="00E51B6A" w:rsidRPr="00E16CCC">
        <w:rPr>
          <w:sz w:val="24"/>
          <w:szCs w:val="24"/>
        </w:rPr>
        <w:t xml:space="preserve">indicative Evaluation </w:t>
      </w:r>
      <w:r w:rsidR="002E174B" w:rsidRPr="00E16CCC">
        <w:rPr>
          <w:sz w:val="24"/>
          <w:szCs w:val="24"/>
        </w:rPr>
        <w:t>Plan for the period 2018 - 2021.</w:t>
      </w:r>
      <w:r w:rsidR="00E51B6A" w:rsidRPr="00E16CCC">
        <w:rPr>
          <w:rStyle w:val="FootnoteReference"/>
          <w:sz w:val="24"/>
          <w:szCs w:val="24"/>
        </w:rPr>
        <w:footnoteReference w:id="2"/>
      </w:r>
    </w:p>
    <w:p w14:paraId="4DFA690D" w14:textId="77777777" w:rsidR="00731120" w:rsidRPr="00E16CCC" w:rsidRDefault="00905B07" w:rsidP="00695E2D">
      <w:pPr>
        <w:jc w:val="both"/>
        <w:rPr>
          <w:sz w:val="24"/>
          <w:szCs w:val="24"/>
          <w:u w:val="single"/>
        </w:rPr>
      </w:pPr>
      <w:r w:rsidRPr="00E16CCC">
        <w:rPr>
          <w:sz w:val="24"/>
          <w:szCs w:val="24"/>
          <w:u w:val="single"/>
        </w:rPr>
        <w:t xml:space="preserve">2. </w:t>
      </w:r>
      <w:r w:rsidR="00731120" w:rsidRPr="00E16CCC">
        <w:rPr>
          <w:sz w:val="24"/>
          <w:szCs w:val="24"/>
          <w:u w:val="single"/>
        </w:rPr>
        <w:t>Evaluation in the Strategic Framework 2018 - 2021</w:t>
      </w:r>
    </w:p>
    <w:p w14:paraId="1A9CE952" w14:textId="3818CD7B" w:rsidR="00163545" w:rsidRPr="00E16CCC" w:rsidRDefault="000024F9" w:rsidP="00695E2D">
      <w:pPr>
        <w:jc w:val="both"/>
        <w:rPr>
          <w:sz w:val="24"/>
          <w:szCs w:val="24"/>
        </w:rPr>
      </w:pPr>
      <w:r>
        <w:rPr>
          <w:sz w:val="24"/>
          <w:szCs w:val="24"/>
        </w:rPr>
        <w:t xml:space="preserve">Under the current </w:t>
      </w:r>
      <w:r w:rsidR="00EC6C08" w:rsidRPr="00E16CCC">
        <w:rPr>
          <w:sz w:val="24"/>
          <w:szCs w:val="24"/>
        </w:rPr>
        <w:t>Strategic Framework</w:t>
      </w:r>
      <w:r>
        <w:rPr>
          <w:sz w:val="24"/>
          <w:szCs w:val="24"/>
        </w:rPr>
        <w:t xml:space="preserve"> 2018 - 2021</w:t>
      </w:r>
      <w:r w:rsidR="007354F1" w:rsidRPr="00E16CCC">
        <w:rPr>
          <w:sz w:val="24"/>
          <w:szCs w:val="24"/>
        </w:rPr>
        <w:t>,</w:t>
      </w:r>
      <w:r w:rsidR="00EC6C08" w:rsidRPr="00E16CCC">
        <w:rPr>
          <w:sz w:val="24"/>
          <w:szCs w:val="24"/>
        </w:rPr>
        <w:t xml:space="preserve"> </w:t>
      </w:r>
      <w:r w:rsidR="007354F1" w:rsidRPr="00E16CCC">
        <w:rPr>
          <w:sz w:val="24"/>
          <w:szCs w:val="24"/>
        </w:rPr>
        <w:t>UN</w:t>
      </w:r>
      <w:r>
        <w:rPr>
          <w:sz w:val="24"/>
          <w:szCs w:val="24"/>
        </w:rPr>
        <w:t xml:space="preserve">V intends </w:t>
      </w:r>
      <w:r w:rsidR="00EC6C08" w:rsidRPr="00E16CCC">
        <w:rPr>
          <w:sz w:val="24"/>
          <w:szCs w:val="24"/>
        </w:rPr>
        <w:t>to continue</w:t>
      </w:r>
      <w:r w:rsidR="0019740E" w:rsidRPr="00E16CCC">
        <w:rPr>
          <w:sz w:val="24"/>
          <w:szCs w:val="24"/>
        </w:rPr>
        <w:t xml:space="preserve"> to </w:t>
      </w:r>
      <w:r w:rsidR="00EC6C08" w:rsidRPr="00E16CCC">
        <w:rPr>
          <w:sz w:val="24"/>
          <w:szCs w:val="24"/>
        </w:rPr>
        <w:t xml:space="preserve">conduct external independent evaluation of selected key projects at the </w:t>
      </w:r>
      <w:r w:rsidR="00D62DE4">
        <w:rPr>
          <w:sz w:val="24"/>
          <w:szCs w:val="24"/>
        </w:rPr>
        <w:t>end-</w:t>
      </w:r>
      <w:r w:rsidR="00EC6C08" w:rsidRPr="00E16CCC">
        <w:rPr>
          <w:sz w:val="24"/>
          <w:szCs w:val="24"/>
        </w:rPr>
        <w:t xml:space="preserve">points of implementation. </w:t>
      </w:r>
      <w:r w:rsidR="00163545" w:rsidRPr="00E16CCC">
        <w:rPr>
          <w:sz w:val="24"/>
          <w:szCs w:val="24"/>
        </w:rPr>
        <w:t xml:space="preserve">It also commits to </w:t>
      </w:r>
      <w:r w:rsidR="009C154F" w:rsidRPr="00E16CCC">
        <w:rPr>
          <w:sz w:val="24"/>
          <w:szCs w:val="24"/>
        </w:rPr>
        <w:t xml:space="preserve">working with partners to </w:t>
      </w:r>
      <w:r w:rsidR="00163545" w:rsidRPr="00E16CCC">
        <w:rPr>
          <w:sz w:val="24"/>
          <w:szCs w:val="24"/>
        </w:rPr>
        <w:t>undertak</w:t>
      </w:r>
      <w:r w:rsidR="009C154F" w:rsidRPr="00E16CCC">
        <w:rPr>
          <w:sz w:val="24"/>
          <w:szCs w:val="24"/>
        </w:rPr>
        <w:t>e</w:t>
      </w:r>
      <w:r w:rsidR="00163545" w:rsidRPr="00E16CCC">
        <w:rPr>
          <w:sz w:val="24"/>
          <w:szCs w:val="24"/>
        </w:rPr>
        <w:t xml:space="preserve"> </w:t>
      </w:r>
      <w:r w:rsidR="00245A15" w:rsidRPr="00E16CCC">
        <w:rPr>
          <w:sz w:val="24"/>
          <w:szCs w:val="24"/>
        </w:rPr>
        <w:t>thematic and impact evaluations</w:t>
      </w:r>
      <w:r w:rsidR="00D07FD2" w:rsidRPr="00E16CCC">
        <w:rPr>
          <w:sz w:val="24"/>
          <w:szCs w:val="24"/>
        </w:rPr>
        <w:t xml:space="preserve"> that consider </w:t>
      </w:r>
      <w:r w:rsidR="00D62DE4">
        <w:rPr>
          <w:sz w:val="24"/>
          <w:szCs w:val="24"/>
        </w:rPr>
        <w:t>UNV’s contribution to partners’ results</w:t>
      </w:r>
      <w:r>
        <w:rPr>
          <w:sz w:val="24"/>
          <w:szCs w:val="24"/>
        </w:rPr>
        <w:t>.</w:t>
      </w:r>
      <w:r w:rsidR="00245A15" w:rsidRPr="00E16CCC">
        <w:rPr>
          <w:sz w:val="24"/>
          <w:szCs w:val="24"/>
        </w:rPr>
        <w:t xml:space="preserve"> </w:t>
      </w:r>
    </w:p>
    <w:p w14:paraId="10AFC137" w14:textId="682E0148" w:rsidR="00502164" w:rsidRPr="00E16CCC" w:rsidRDefault="00DB5D68" w:rsidP="00695E2D">
      <w:pPr>
        <w:jc w:val="both"/>
        <w:rPr>
          <w:sz w:val="24"/>
          <w:szCs w:val="24"/>
        </w:rPr>
      </w:pPr>
      <w:r w:rsidRPr="00E16CCC">
        <w:rPr>
          <w:sz w:val="24"/>
          <w:szCs w:val="24"/>
        </w:rPr>
        <w:t xml:space="preserve">The Strategic Framework and its accompanying </w:t>
      </w:r>
      <w:r w:rsidR="00E13FB7" w:rsidRPr="00E16CCC">
        <w:rPr>
          <w:sz w:val="24"/>
          <w:szCs w:val="24"/>
        </w:rPr>
        <w:t xml:space="preserve">Integrated Results and Resources Matrix (IRRM) and </w:t>
      </w:r>
      <w:r w:rsidR="001558EF" w:rsidRPr="00E16CCC">
        <w:rPr>
          <w:sz w:val="24"/>
          <w:szCs w:val="24"/>
        </w:rPr>
        <w:t>T</w:t>
      </w:r>
      <w:r w:rsidRPr="00E16CCC">
        <w:rPr>
          <w:sz w:val="24"/>
          <w:szCs w:val="24"/>
        </w:rPr>
        <w:t xml:space="preserve">heory of </w:t>
      </w:r>
      <w:r w:rsidR="001558EF" w:rsidRPr="00E16CCC">
        <w:rPr>
          <w:sz w:val="24"/>
          <w:szCs w:val="24"/>
        </w:rPr>
        <w:t>Change</w:t>
      </w:r>
      <w:r w:rsidRPr="00E16CCC">
        <w:rPr>
          <w:sz w:val="24"/>
          <w:szCs w:val="24"/>
        </w:rPr>
        <w:t xml:space="preserve"> establish a very clear framework for </w:t>
      </w:r>
      <w:r w:rsidR="004E22F2" w:rsidRPr="00E16CCC">
        <w:rPr>
          <w:sz w:val="24"/>
          <w:szCs w:val="24"/>
        </w:rPr>
        <w:t>evaluation in UN</w:t>
      </w:r>
      <w:r w:rsidR="000024F9">
        <w:rPr>
          <w:sz w:val="24"/>
          <w:szCs w:val="24"/>
        </w:rPr>
        <w:t>V</w:t>
      </w:r>
      <w:r w:rsidR="000C317C" w:rsidRPr="00E16CCC">
        <w:rPr>
          <w:sz w:val="24"/>
          <w:szCs w:val="24"/>
        </w:rPr>
        <w:t>,</w:t>
      </w:r>
      <w:r w:rsidRPr="00E16CCC">
        <w:rPr>
          <w:sz w:val="24"/>
          <w:szCs w:val="24"/>
        </w:rPr>
        <w:t xml:space="preserve"> setting out </w:t>
      </w:r>
      <w:r w:rsidR="00E13FB7" w:rsidRPr="00E16CCC">
        <w:rPr>
          <w:sz w:val="24"/>
          <w:szCs w:val="24"/>
        </w:rPr>
        <w:t xml:space="preserve">a series of </w:t>
      </w:r>
      <w:r w:rsidRPr="00E16CCC">
        <w:rPr>
          <w:sz w:val="24"/>
          <w:szCs w:val="24"/>
        </w:rPr>
        <w:t xml:space="preserve">key expected results </w:t>
      </w:r>
      <w:r w:rsidR="00E13FB7" w:rsidRPr="00E16CCC">
        <w:rPr>
          <w:sz w:val="24"/>
          <w:szCs w:val="24"/>
        </w:rPr>
        <w:t xml:space="preserve">at the impact, outcome and output levels and a series of </w:t>
      </w:r>
      <w:r w:rsidRPr="00E16CCC">
        <w:rPr>
          <w:sz w:val="24"/>
          <w:szCs w:val="24"/>
        </w:rPr>
        <w:t xml:space="preserve">impact pathways that </w:t>
      </w:r>
      <w:r w:rsidR="00B676D6" w:rsidRPr="00E16CCC">
        <w:rPr>
          <w:sz w:val="24"/>
          <w:szCs w:val="24"/>
        </w:rPr>
        <w:t>UN</w:t>
      </w:r>
      <w:r w:rsidR="00F66B8C">
        <w:rPr>
          <w:sz w:val="24"/>
          <w:szCs w:val="24"/>
        </w:rPr>
        <w:t>V</w:t>
      </w:r>
      <w:r w:rsidR="00B676D6" w:rsidRPr="00E16CCC">
        <w:rPr>
          <w:sz w:val="24"/>
          <w:szCs w:val="24"/>
        </w:rPr>
        <w:t xml:space="preserve"> intends to follow </w:t>
      </w:r>
      <w:r w:rsidR="00560B3D" w:rsidRPr="00E16CCC">
        <w:rPr>
          <w:sz w:val="24"/>
          <w:szCs w:val="24"/>
        </w:rPr>
        <w:t xml:space="preserve">– working closely with its partners - </w:t>
      </w:r>
      <w:r w:rsidR="00B676D6" w:rsidRPr="00E16CCC">
        <w:rPr>
          <w:sz w:val="24"/>
          <w:szCs w:val="24"/>
        </w:rPr>
        <w:t>to achieve those results.</w:t>
      </w:r>
      <w:r w:rsidR="00502164" w:rsidRPr="00E16CCC">
        <w:rPr>
          <w:sz w:val="24"/>
          <w:szCs w:val="24"/>
        </w:rPr>
        <w:t xml:space="preserve"> </w:t>
      </w:r>
    </w:p>
    <w:p w14:paraId="419406F7" w14:textId="6C08B4A3" w:rsidR="00560B3D" w:rsidRPr="00E16CCC" w:rsidRDefault="009D0F28" w:rsidP="00695E2D">
      <w:pPr>
        <w:jc w:val="both"/>
        <w:rPr>
          <w:sz w:val="24"/>
          <w:szCs w:val="24"/>
        </w:rPr>
      </w:pPr>
      <w:r w:rsidRPr="00E16CCC">
        <w:rPr>
          <w:sz w:val="24"/>
          <w:szCs w:val="24"/>
        </w:rPr>
        <w:t>Taken together, t</w:t>
      </w:r>
      <w:r w:rsidR="00560B3D" w:rsidRPr="00E16CCC">
        <w:rPr>
          <w:sz w:val="24"/>
          <w:szCs w:val="24"/>
        </w:rPr>
        <w:t>his constitutes a rich and dynamic set of expected results, partners</w:t>
      </w:r>
      <w:r w:rsidR="00DC6BD7" w:rsidRPr="00E16CCC">
        <w:rPr>
          <w:sz w:val="24"/>
          <w:szCs w:val="24"/>
        </w:rPr>
        <w:t>hips</w:t>
      </w:r>
      <w:r w:rsidR="00560B3D" w:rsidRPr="00E16CCC">
        <w:rPr>
          <w:sz w:val="24"/>
          <w:szCs w:val="24"/>
        </w:rPr>
        <w:t xml:space="preserve"> and </w:t>
      </w:r>
      <w:r w:rsidR="00DC6BD7" w:rsidRPr="00E16CCC">
        <w:rPr>
          <w:sz w:val="24"/>
          <w:szCs w:val="24"/>
        </w:rPr>
        <w:t xml:space="preserve">broader </w:t>
      </w:r>
      <w:r w:rsidR="00560B3D" w:rsidRPr="00E16CCC">
        <w:rPr>
          <w:sz w:val="24"/>
          <w:szCs w:val="24"/>
        </w:rPr>
        <w:t xml:space="preserve">assumptions that </w:t>
      </w:r>
      <w:r w:rsidR="00DC6BD7" w:rsidRPr="00E16CCC">
        <w:rPr>
          <w:sz w:val="24"/>
          <w:szCs w:val="24"/>
        </w:rPr>
        <w:t>are</w:t>
      </w:r>
      <w:r w:rsidR="00560B3D" w:rsidRPr="00E16CCC">
        <w:rPr>
          <w:sz w:val="24"/>
          <w:szCs w:val="24"/>
        </w:rPr>
        <w:t xml:space="preserve"> fertile ground for any </w:t>
      </w:r>
      <w:r w:rsidR="00DC6BD7" w:rsidRPr="00E16CCC">
        <w:rPr>
          <w:sz w:val="24"/>
          <w:szCs w:val="24"/>
        </w:rPr>
        <w:t>e</w:t>
      </w:r>
      <w:r w:rsidR="00560B3D" w:rsidRPr="00E16CCC">
        <w:rPr>
          <w:sz w:val="24"/>
          <w:szCs w:val="24"/>
        </w:rPr>
        <w:t>valuation plan that seeks to validate and explore further the results</w:t>
      </w:r>
      <w:r w:rsidR="008F45EE" w:rsidRPr="00E16CCC">
        <w:rPr>
          <w:sz w:val="24"/>
          <w:szCs w:val="24"/>
        </w:rPr>
        <w:t>,</w:t>
      </w:r>
      <w:r w:rsidR="004A5BE7" w:rsidRPr="00E16CCC">
        <w:rPr>
          <w:sz w:val="24"/>
          <w:szCs w:val="24"/>
        </w:rPr>
        <w:t xml:space="preserve"> as well as </w:t>
      </w:r>
      <w:r w:rsidR="00502164" w:rsidRPr="00E16CCC">
        <w:rPr>
          <w:sz w:val="24"/>
          <w:szCs w:val="24"/>
        </w:rPr>
        <w:t>the relevance and appropriateness of UN</w:t>
      </w:r>
      <w:r w:rsidR="00F66B8C">
        <w:rPr>
          <w:sz w:val="24"/>
          <w:szCs w:val="24"/>
        </w:rPr>
        <w:t>V</w:t>
      </w:r>
      <w:r w:rsidR="00502164" w:rsidRPr="00E16CCC">
        <w:rPr>
          <w:sz w:val="24"/>
          <w:szCs w:val="24"/>
        </w:rPr>
        <w:t xml:space="preserve">’s strategic focus more generally. </w:t>
      </w:r>
    </w:p>
    <w:p w14:paraId="66DBFD1B" w14:textId="47F40B56" w:rsidR="00560B3D" w:rsidRPr="00E16CCC" w:rsidRDefault="00905B07" w:rsidP="00695E2D">
      <w:pPr>
        <w:jc w:val="both"/>
        <w:rPr>
          <w:sz w:val="24"/>
          <w:szCs w:val="24"/>
          <w:u w:val="single"/>
        </w:rPr>
      </w:pPr>
      <w:r w:rsidRPr="00E16CCC">
        <w:rPr>
          <w:sz w:val="24"/>
          <w:szCs w:val="24"/>
          <w:u w:val="single"/>
        </w:rPr>
        <w:t xml:space="preserve">3. </w:t>
      </w:r>
      <w:r w:rsidR="00F71CDD" w:rsidRPr="00E16CCC">
        <w:rPr>
          <w:sz w:val="24"/>
          <w:szCs w:val="24"/>
          <w:u w:val="single"/>
        </w:rPr>
        <w:t>Type</w:t>
      </w:r>
      <w:r w:rsidR="00D62DE4">
        <w:rPr>
          <w:sz w:val="24"/>
          <w:szCs w:val="24"/>
          <w:u w:val="single"/>
        </w:rPr>
        <w:t>s</w:t>
      </w:r>
      <w:r w:rsidR="00F71CDD" w:rsidRPr="00E16CCC">
        <w:rPr>
          <w:sz w:val="24"/>
          <w:szCs w:val="24"/>
          <w:u w:val="single"/>
        </w:rPr>
        <w:t xml:space="preserve"> of </w:t>
      </w:r>
      <w:r w:rsidR="00C779C8" w:rsidRPr="00E16CCC">
        <w:rPr>
          <w:sz w:val="24"/>
          <w:szCs w:val="24"/>
          <w:u w:val="single"/>
        </w:rPr>
        <w:t>evaluation</w:t>
      </w:r>
      <w:r w:rsidR="00DC6BD7" w:rsidRPr="00E16CCC">
        <w:rPr>
          <w:sz w:val="24"/>
          <w:szCs w:val="24"/>
          <w:u w:val="single"/>
        </w:rPr>
        <w:t xml:space="preserve"> proposed</w:t>
      </w:r>
      <w:r w:rsidR="00C779C8" w:rsidRPr="00E16CCC">
        <w:rPr>
          <w:sz w:val="24"/>
          <w:szCs w:val="24"/>
          <w:u w:val="single"/>
        </w:rPr>
        <w:t xml:space="preserve"> </w:t>
      </w:r>
    </w:p>
    <w:p w14:paraId="2089EAAC" w14:textId="0E1DB438" w:rsidR="00415E3F" w:rsidRPr="00E16CCC" w:rsidRDefault="00AA4EBD" w:rsidP="00695E2D">
      <w:pPr>
        <w:jc w:val="both"/>
        <w:rPr>
          <w:sz w:val="24"/>
          <w:szCs w:val="24"/>
        </w:rPr>
      </w:pPr>
      <w:r w:rsidRPr="00E16CCC">
        <w:rPr>
          <w:sz w:val="24"/>
          <w:szCs w:val="24"/>
        </w:rPr>
        <w:lastRenderedPageBreak/>
        <w:t xml:space="preserve">The Evaluation Plan below </w:t>
      </w:r>
      <w:r w:rsidR="006E4BFE" w:rsidRPr="00E16CCC">
        <w:rPr>
          <w:sz w:val="24"/>
          <w:szCs w:val="24"/>
        </w:rPr>
        <w:t xml:space="preserve">includes </w:t>
      </w:r>
      <w:r w:rsidR="00697148">
        <w:rPr>
          <w:sz w:val="24"/>
          <w:szCs w:val="24"/>
        </w:rPr>
        <w:t>nine</w:t>
      </w:r>
      <w:r w:rsidR="0087209A">
        <w:rPr>
          <w:sz w:val="24"/>
          <w:szCs w:val="24"/>
        </w:rPr>
        <w:t xml:space="preserve"> </w:t>
      </w:r>
      <w:r w:rsidRPr="00E16CCC">
        <w:rPr>
          <w:sz w:val="24"/>
          <w:szCs w:val="24"/>
        </w:rPr>
        <w:t xml:space="preserve">evaluations: </w:t>
      </w:r>
      <w:r w:rsidR="00DC3ED0">
        <w:rPr>
          <w:sz w:val="24"/>
          <w:szCs w:val="24"/>
        </w:rPr>
        <w:t>Four</w:t>
      </w:r>
      <w:r w:rsidR="00697148">
        <w:rPr>
          <w:sz w:val="24"/>
          <w:szCs w:val="24"/>
        </w:rPr>
        <w:t xml:space="preserve"> project evaluations, </w:t>
      </w:r>
      <w:r w:rsidRPr="00E16CCC">
        <w:rPr>
          <w:sz w:val="24"/>
          <w:szCs w:val="24"/>
        </w:rPr>
        <w:t>t</w:t>
      </w:r>
      <w:r w:rsidR="009C254D">
        <w:rPr>
          <w:sz w:val="24"/>
          <w:szCs w:val="24"/>
        </w:rPr>
        <w:t>wo</w:t>
      </w:r>
      <w:r w:rsidRPr="00E16CCC">
        <w:rPr>
          <w:sz w:val="24"/>
          <w:szCs w:val="24"/>
        </w:rPr>
        <w:t xml:space="preserve"> </w:t>
      </w:r>
      <w:r w:rsidR="00697148">
        <w:rPr>
          <w:sz w:val="24"/>
          <w:szCs w:val="24"/>
        </w:rPr>
        <w:t xml:space="preserve">impact evaluations, and three </w:t>
      </w:r>
      <w:r w:rsidRPr="00E16CCC">
        <w:rPr>
          <w:sz w:val="24"/>
          <w:szCs w:val="24"/>
        </w:rPr>
        <w:t xml:space="preserve">thematic evaluations to be conducted </w:t>
      </w:r>
      <w:r w:rsidR="00573054" w:rsidRPr="00E16CCC">
        <w:rPr>
          <w:sz w:val="24"/>
          <w:szCs w:val="24"/>
        </w:rPr>
        <w:t xml:space="preserve">by </w:t>
      </w:r>
      <w:r w:rsidR="00DC3ED0">
        <w:rPr>
          <w:sz w:val="24"/>
          <w:szCs w:val="24"/>
        </w:rPr>
        <w:t>UNV</w:t>
      </w:r>
      <w:r w:rsidR="00573054" w:rsidRPr="00E16CCC">
        <w:rPr>
          <w:sz w:val="24"/>
          <w:szCs w:val="24"/>
        </w:rPr>
        <w:t xml:space="preserve"> </w:t>
      </w:r>
      <w:r w:rsidRPr="00E16CCC">
        <w:rPr>
          <w:sz w:val="24"/>
          <w:szCs w:val="24"/>
        </w:rPr>
        <w:t xml:space="preserve">during the course of </w:t>
      </w:r>
      <w:r w:rsidR="001A779B" w:rsidRPr="00E16CCC">
        <w:rPr>
          <w:sz w:val="24"/>
          <w:szCs w:val="24"/>
        </w:rPr>
        <w:t>the next Strategic Framework.</w:t>
      </w:r>
      <w:r w:rsidR="00DE05B5" w:rsidRPr="00E16CCC">
        <w:rPr>
          <w:sz w:val="24"/>
          <w:szCs w:val="24"/>
        </w:rPr>
        <w:t xml:space="preserve"> </w:t>
      </w:r>
    </w:p>
    <w:p w14:paraId="264A4603" w14:textId="0075C24B" w:rsidR="00DE05B5" w:rsidRPr="00E16CCC" w:rsidRDefault="00DE05B5" w:rsidP="00695E2D">
      <w:pPr>
        <w:jc w:val="both"/>
        <w:rPr>
          <w:i/>
          <w:sz w:val="24"/>
          <w:szCs w:val="24"/>
        </w:rPr>
      </w:pPr>
      <w:r w:rsidRPr="00E16CCC">
        <w:rPr>
          <w:i/>
          <w:sz w:val="24"/>
          <w:szCs w:val="24"/>
        </w:rPr>
        <w:t>Project evaluations</w:t>
      </w:r>
    </w:p>
    <w:p w14:paraId="3ADCDBD5" w14:textId="04ECD651" w:rsidR="00DC3ED0" w:rsidRDefault="0052468B" w:rsidP="00695E2D">
      <w:pPr>
        <w:jc w:val="both"/>
        <w:rPr>
          <w:sz w:val="24"/>
          <w:szCs w:val="24"/>
        </w:rPr>
      </w:pPr>
      <w:r w:rsidRPr="00E16CCC">
        <w:rPr>
          <w:sz w:val="24"/>
          <w:szCs w:val="24"/>
        </w:rPr>
        <w:t xml:space="preserve">These </w:t>
      </w:r>
      <w:r w:rsidR="00697148">
        <w:rPr>
          <w:sz w:val="24"/>
          <w:szCs w:val="24"/>
        </w:rPr>
        <w:t>four</w:t>
      </w:r>
      <w:r w:rsidRPr="00E16CCC">
        <w:rPr>
          <w:sz w:val="24"/>
          <w:szCs w:val="24"/>
        </w:rPr>
        <w:t xml:space="preserve"> evaluations </w:t>
      </w:r>
      <w:r w:rsidR="00DC3ED0">
        <w:rPr>
          <w:sz w:val="24"/>
          <w:szCs w:val="24"/>
        </w:rPr>
        <w:t xml:space="preserve">are for projects remaining from the previous Strategic Framework. The total project portfolio of so called Legacy Projects is 27 projects, with 16 ending in 2018, 9 ending in 2019 and two ending in 2020. All </w:t>
      </w:r>
      <w:r w:rsidR="00F95170">
        <w:rPr>
          <w:sz w:val="24"/>
          <w:szCs w:val="24"/>
        </w:rPr>
        <w:t>are implemented by a UN Partner</w:t>
      </w:r>
      <w:r w:rsidR="00DC3ED0">
        <w:rPr>
          <w:sz w:val="24"/>
          <w:szCs w:val="24"/>
        </w:rPr>
        <w:t xml:space="preserve">, with UNV being a co-funder and technical advisor on volunteerism and volunteer infrastructure. </w:t>
      </w:r>
      <w:r w:rsidR="00697148">
        <w:rPr>
          <w:sz w:val="24"/>
          <w:szCs w:val="24"/>
        </w:rPr>
        <w:t>UNV is the evaluation lead for 4 projects.</w:t>
      </w:r>
    </w:p>
    <w:p w14:paraId="720B67DB" w14:textId="03CBC087" w:rsidR="00765C25" w:rsidRDefault="00F95170" w:rsidP="00695E2D">
      <w:pPr>
        <w:jc w:val="both"/>
        <w:rPr>
          <w:sz w:val="24"/>
          <w:szCs w:val="24"/>
        </w:rPr>
      </w:pPr>
      <w:r>
        <w:rPr>
          <w:sz w:val="24"/>
          <w:szCs w:val="24"/>
        </w:rPr>
        <w:t>For the 2</w:t>
      </w:r>
      <w:r w:rsidR="00697148">
        <w:rPr>
          <w:sz w:val="24"/>
          <w:szCs w:val="24"/>
        </w:rPr>
        <w:t>3</w:t>
      </w:r>
      <w:r w:rsidR="00765C25">
        <w:rPr>
          <w:sz w:val="24"/>
          <w:szCs w:val="24"/>
        </w:rPr>
        <w:t xml:space="preserve"> project evaluations conducted by </w:t>
      </w:r>
      <w:r w:rsidR="00445B8F">
        <w:rPr>
          <w:sz w:val="24"/>
          <w:szCs w:val="24"/>
        </w:rPr>
        <w:t xml:space="preserve">the respective </w:t>
      </w:r>
      <w:r>
        <w:rPr>
          <w:sz w:val="24"/>
          <w:szCs w:val="24"/>
        </w:rPr>
        <w:t>UN Partners</w:t>
      </w:r>
      <w:r w:rsidR="00445B8F">
        <w:rPr>
          <w:sz w:val="24"/>
          <w:szCs w:val="24"/>
        </w:rPr>
        <w:t>, UNV will be part of the Evaluation Steering Committee and will provide inputs to all stages of the evaluation, in particular where UNV Special Voluntary Fund resources have been allocated for project implementation.</w:t>
      </w:r>
    </w:p>
    <w:p w14:paraId="65FC979B" w14:textId="49B3174E" w:rsidR="00651BB5" w:rsidRPr="00E16CCC" w:rsidRDefault="00445B8F" w:rsidP="00445B8F">
      <w:pPr>
        <w:jc w:val="both"/>
        <w:rPr>
          <w:sz w:val="24"/>
          <w:szCs w:val="24"/>
        </w:rPr>
      </w:pPr>
      <w:r>
        <w:rPr>
          <w:sz w:val="24"/>
          <w:szCs w:val="24"/>
        </w:rPr>
        <w:t>With the closure of the remaining Legacy Projects, UNV will no longer engage in direct project implementation, and hence will no longer conduct associated project evaluations. Should UNV contribute financially or technically to projects implemented by for example UNDP, UNV will ensure participation in project evaluations of these projects.</w:t>
      </w:r>
      <w:r w:rsidR="00456454" w:rsidRPr="00E16CCC">
        <w:rPr>
          <w:sz w:val="24"/>
          <w:szCs w:val="24"/>
        </w:rPr>
        <w:t xml:space="preserve"> </w:t>
      </w:r>
    </w:p>
    <w:p w14:paraId="26510E52" w14:textId="4EAA93A1" w:rsidR="00E7795C" w:rsidRPr="00E16CCC" w:rsidRDefault="005160A7" w:rsidP="00695E2D">
      <w:pPr>
        <w:jc w:val="both"/>
        <w:rPr>
          <w:sz w:val="24"/>
          <w:szCs w:val="24"/>
        </w:rPr>
      </w:pPr>
      <w:r w:rsidRPr="00E16CCC">
        <w:rPr>
          <w:sz w:val="24"/>
          <w:szCs w:val="24"/>
        </w:rPr>
        <w:t xml:space="preserve">In proposing the evaluations included </w:t>
      </w:r>
      <w:r w:rsidR="002025B3" w:rsidRPr="00E16CCC">
        <w:rPr>
          <w:sz w:val="24"/>
          <w:szCs w:val="24"/>
        </w:rPr>
        <w:t>below</w:t>
      </w:r>
      <w:r w:rsidRPr="00E16CCC">
        <w:rPr>
          <w:sz w:val="24"/>
          <w:szCs w:val="24"/>
        </w:rPr>
        <w:t>, UN</w:t>
      </w:r>
      <w:r w:rsidR="00445B8F">
        <w:rPr>
          <w:sz w:val="24"/>
          <w:szCs w:val="24"/>
        </w:rPr>
        <w:t>V</w:t>
      </w:r>
      <w:r w:rsidRPr="00E16CCC">
        <w:rPr>
          <w:sz w:val="24"/>
          <w:szCs w:val="24"/>
        </w:rPr>
        <w:t xml:space="preserve"> </w:t>
      </w:r>
      <w:r w:rsidR="00EF6776" w:rsidRPr="00E16CCC">
        <w:rPr>
          <w:sz w:val="24"/>
          <w:szCs w:val="24"/>
        </w:rPr>
        <w:t xml:space="preserve">applied a number of lenses. </w:t>
      </w:r>
      <w:r w:rsidR="003A40FF" w:rsidRPr="00E16CCC">
        <w:rPr>
          <w:sz w:val="24"/>
          <w:szCs w:val="24"/>
        </w:rPr>
        <w:t xml:space="preserve">First, it </w:t>
      </w:r>
      <w:r w:rsidR="002025B3" w:rsidRPr="00E16CCC">
        <w:rPr>
          <w:sz w:val="24"/>
          <w:szCs w:val="24"/>
        </w:rPr>
        <w:t xml:space="preserve">carefully reviewed existing commitments to evaluation contained within </w:t>
      </w:r>
      <w:r w:rsidR="00445B8F">
        <w:rPr>
          <w:sz w:val="24"/>
          <w:szCs w:val="24"/>
        </w:rPr>
        <w:t xml:space="preserve">project </w:t>
      </w:r>
      <w:r w:rsidR="002025B3" w:rsidRPr="00E16CCC">
        <w:rPr>
          <w:sz w:val="24"/>
          <w:szCs w:val="24"/>
        </w:rPr>
        <w:t>documents agreed with UN</w:t>
      </w:r>
      <w:r w:rsidR="00445B8F">
        <w:rPr>
          <w:sz w:val="24"/>
          <w:szCs w:val="24"/>
        </w:rPr>
        <w:t>V</w:t>
      </w:r>
      <w:r w:rsidR="002025B3" w:rsidRPr="00E16CCC">
        <w:rPr>
          <w:sz w:val="24"/>
          <w:szCs w:val="24"/>
        </w:rPr>
        <w:t>’s partners and funders</w:t>
      </w:r>
      <w:r w:rsidR="00D055D0" w:rsidRPr="00E16CCC">
        <w:rPr>
          <w:sz w:val="24"/>
          <w:szCs w:val="24"/>
        </w:rPr>
        <w:t xml:space="preserve">. </w:t>
      </w:r>
      <w:r w:rsidR="00212673" w:rsidRPr="00E16CCC">
        <w:rPr>
          <w:sz w:val="24"/>
          <w:szCs w:val="24"/>
        </w:rPr>
        <w:t xml:space="preserve"> </w:t>
      </w:r>
      <w:r w:rsidR="003A40FF" w:rsidRPr="00E16CCC">
        <w:rPr>
          <w:sz w:val="24"/>
          <w:szCs w:val="24"/>
        </w:rPr>
        <w:t>Second, UN</w:t>
      </w:r>
      <w:r w:rsidR="00445B8F">
        <w:rPr>
          <w:sz w:val="24"/>
          <w:szCs w:val="24"/>
        </w:rPr>
        <w:t>V</w:t>
      </w:r>
      <w:r w:rsidR="003A40FF" w:rsidRPr="00E16CCC">
        <w:rPr>
          <w:sz w:val="24"/>
          <w:szCs w:val="24"/>
        </w:rPr>
        <w:t xml:space="preserve"> </w:t>
      </w:r>
      <w:r w:rsidR="00636488" w:rsidRPr="00E16CCC">
        <w:rPr>
          <w:sz w:val="24"/>
          <w:szCs w:val="24"/>
        </w:rPr>
        <w:t xml:space="preserve">sought to </w:t>
      </w:r>
      <w:r w:rsidR="000F6783" w:rsidRPr="00E16CCC">
        <w:rPr>
          <w:sz w:val="24"/>
          <w:szCs w:val="24"/>
        </w:rPr>
        <w:t xml:space="preserve">ensure that </w:t>
      </w:r>
      <w:r w:rsidR="00EF6776" w:rsidRPr="00E16CCC">
        <w:rPr>
          <w:sz w:val="24"/>
          <w:szCs w:val="24"/>
        </w:rPr>
        <w:t xml:space="preserve">evaluations would support strategic reflection on progress in implementing its Strategic Framework, and that the evaluations would capture </w:t>
      </w:r>
      <w:r w:rsidR="0084735E" w:rsidRPr="00E16CCC">
        <w:rPr>
          <w:sz w:val="24"/>
          <w:szCs w:val="24"/>
        </w:rPr>
        <w:t xml:space="preserve">the results of a </w:t>
      </w:r>
      <w:r w:rsidR="00EF6776" w:rsidRPr="00E16CCC">
        <w:rPr>
          <w:sz w:val="24"/>
          <w:szCs w:val="24"/>
        </w:rPr>
        <w:t xml:space="preserve">representative </w:t>
      </w:r>
      <w:r w:rsidR="0084735E" w:rsidRPr="00E16CCC">
        <w:rPr>
          <w:sz w:val="24"/>
          <w:szCs w:val="24"/>
        </w:rPr>
        <w:t xml:space="preserve">cross-section of </w:t>
      </w:r>
      <w:r w:rsidR="00770D28" w:rsidRPr="00E16CCC">
        <w:rPr>
          <w:sz w:val="24"/>
          <w:szCs w:val="24"/>
        </w:rPr>
        <w:t xml:space="preserve">projects implemented </w:t>
      </w:r>
      <w:r w:rsidR="00445B8F">
        <w:rPr>
          <w:sz w:val="24"/>
          <w:szCs w:val="24"/>
        </w:rPr>
        <w:t xml:space="preserve">directly </w:t>
      </w:r>
      <w:r w:rsidR="00770D28" w:rsidRPr="00E16CCC">
        <w:rPr>
          <w:sz w:val="24"/>
          <w:szCs w:val="24"/>
        </w:rPr>
        <w:t>by UN</w:t>
      </w:r>
      <w:r w:rsidR="00445B8F">
        <w:rPr>
          <w:sz w:val="24"/>
          <w:szCs w:val="24"/>
        </w:rPr>
        <w:t>V</w:t>
      </w:r>
      <w:r w:rsidR="00770D28" w:rsidRPr="00E16CCC">
        <w:rPr>
          <w:sz w:val="24"/>
          <w:szCs w:val="24"/>
        </w:rPr>
        <w:t>.</w:t>
      </w:r>
      <w:r w:rsidR="00DD03F1" w:rsidRPr="00E16CCC">
        <w:rPr>
          <w:sz w:val="24"/>
          <w:szCs w:val="24"/>
        </w:rPr>
        <w:t xml:space="preserve"> </w:t>
      </w:r>
      <w:r w:rsidR="00810963" w:rsidRPr="00E16CCC">
        <w:rPr>
          <w:sz w:val="24"/>
          <w:szCs w:val="24"/>
        </w:rPr>
        <w:t xml:space="preserve">Finally, </w:t>
      </w:r>
      <w:r w:rsidR="00445B8F">
        <w:rPr>
          <w:sz w:val="24"/>
          <w:szCs w:val="24"/>
        </w:rPr>
        <w:t xml:space="preserve">as noted above, </w:t>
      </w:r>
      <w:r w:rsidR="00810963" w:rsidRPr="00E16CCC">
        <w:rPr>
          <w:sz w:val="24"/>
          <w:szCs w:val="24"/>
        </w:rPr>
        <w:t xml:space="preserve">the choice of evaluation was also made </w:t>
      </w:r>
      <w:r w:rsidR="00445B8F">
        <w:rPr>
          <w:sz w:val="24"/>
          <w:szCs w:val="24"/>
        </w:rPr>
        <w:t>based on whether UNV’s project implementation partner</w:t>
      </w:r>
      <w:r w:rsidR="00F95170">
        <w:rPr>
          <w:sz w:val="24"/>
          <w:szCs w:val="24"/>
        </w:rPr>
        <w:t>s</w:t>
      </w:r>
      <w:r w:rsidR="00445B8F">
        <w:rPr>
          <w:sz w:val="24"/>
          <w:szCs w:val="24"/>
        </w:rPr>
        <w:t xml:space="preserve"> would carry out evaluation</w:t>
      </w:r>
      <w:r w:rsidR="00F95170">
        <w:rPr>
          <w:sz w:val="24"/>
          <w:szCs w:val="24"/>
        </w:rPr>
        <w:t>s</w:t>
      </w:r>
      <w:r w:rsidR="00445B8F">
        <w:rPr>
          <w:sz w:val="24"/>
          <w:szCs w:val="24"/>
        </w:rPr>
        <w:t xml:space="preserve"> of the projects</w:t>
      </w:r>
      <w:r w:rsidR="009A76DE" w:rsidRPr="00E16CCC">
        <w:rPr>
          <w:sz w:val="24"/>
          <w:szCs w:val="24"/>
        </w:rPr>
        <w:t>.</w:t>
      </w:r>
      <w:r w:rsidR="00030C6B" w:rsidRPr="00E16CCC">
        <w:rPr>
          <w:sz w:val="24"/>
          <w:szCs w:val="24"/>
        </w:rPr>
        <w:t xml:space="preserve"> </w:t>
      </w:r>
    </w:p>
    <w:p w14:paraId="0E9F20AE" w14:textId="1008AF64" w:rsidR="007F193F" w:rsidRPr="00E16CCC" w:rsidRDefault="007F193F" w:rsidP="00695E2D">
      <w:pPr>
        <w:jc w:val="both"/>
        <w:rPr>
          <w:sz w:val="24"/>
          <w:szCs w:val="24"/>
        </w:rPr>
      </w:pPr>
      <w:r w:rsidRPr="00E16CCC">
        <w:rPr>
          <w:sz w:val="24"/>
          <w:szCs w:val="24"/>
        </w:rPr>
        <w:t xml:space="preserve">Methodologically speaking, the evaluations </w:t>
      </w:r>
      <w:r w:rsidR="00030C6B" w:rsidRPr="00E16CCC">
        <w:rPr>
          <w:sz w:val="24"/>
          <w:szCs w:val="24"/>
        </w:rPr>
        <w:t xml:space="preserve">proposed </w:t>
      </w:r>
      <w:r w:rsidRPr="00E16CCC">
        <w:rPr>
          <w:sz w:val="24"/>
          <w:szCs w:val="24"/>
        </w:rPr>
        <w:t>combine elements of both outcome and process evaluation. These are intended not only to validate and further explore results at the level of UN</w:t>
      </w:r>
      <w:r w:rsidR="00445B8F">
        <w:rPr>
          <w:sz w:val="24"/>
          <w:szCs w:val="24"/>
        </w:rPr>
        <w:t>V</w:t>
      </w:r>
      <w:r w:rsidRPr="00E16CCC">
        <w:rPr>
          <w:sz w:val="24"/>
          <w:szCs w:val="24"/>
        </w:rPr>
        <w:t xml:space="preserve">’s direct partner organisations, but also to assess </w:t>
      </w:r>
      <w:r w:rsidR="00445B8F">
        <w:rPr>
          <w:sz w:val="24"/>
          <w:szCs w:val="24"/>
        </w:rPr>
        <w:t>project</w:t>
      </w:r>
      <w:r w:rsidRPr="00E16CCC">
        <w:rPr>
          <w:sz w:val="24"/>
          <w:szCs w:val="24"/>
        </w:rPr>
        <w:t xml:space="preserve"> contributions to system development in </w:t>
      </w:r>
      <w:r w:rsidR="00445B8F">
        <w:rPr>
          <w:sz w:val="24"/>
          <w:szCs w:val="24"/>
        </w:rPr>
        <w:t xml:space="preserve">as </w:t>
      </w:r>
      <w:r w:rsidR="00697148">
        <w:rPr>
          <w:sz w:val="24"/>
          <w:szCs w:val="24"/>
        </w:rPr>
        <w:t xml:space="preserve">it </w:t>
      </w:r>
      <w:r w:rsidR="00445B8F">
        <w:rPr>
          <w:sz w:val="24"/>
          <w:szCs w:val="24"/>
        </w:rPr>
        <w:t xml:space="preserve">relates to volunteerism and </w:t>
      </w:r>
      <w:r w:rsidRPr="00E16CCC">
        <w:rPr>
          <w:sz w:val="24"/>
          <w:szCs w:val="24"/>
        </w:rPr>
        <w:t>development in which UN</w:t>
      </w:r>
      <w:r w:rsidR="00445B8F">
        <w:rPr>
          <w:sz w:val="24"/>
          <w:szCs w:val="24"/>
        </w:rPr>
        <w:t>V</w:t>
      </w:r>
      <w:r w:rsidRPr="00E16CCC">
        <w:rPr>
          <w:sz w:val="24"/>
          <w:szCs w:val="24"/>
        </w:rPr>
        <w:t xml:space="preserve"> intervene</w:t>
      </w:r>
      <w:r w:rsidR="00445B8F">
        <w:rPr>
          <w:sz w:val="24"/>
          <w:szCs w:val="24"/>
        </w:rPr>
        <w:t>d</w:t>
      </w:r>
      <w:r w:rsidRPr="00E16CCC">
        <w:rPr>
          <w:sz w:val="24"/>
          <w:szCs w:val="24"/>
        </w:rPr>
        <w:t>.</w:t>
      </w:r>
      <w:r w:rsidR="000B178C" w:rsidRPr="00E16CCC">
        <w:rPr>
          <w:rStyle w:val="FootnoteReference"/>
          <w:sz w:val="24"/>
          <w:szCs w:val="24"/>
        </w:rPr>
        <w:footnoteReference w:id="3"/>
      </w:r>
    </w:p>
    <w:p w14:paraId="09B5723B" w14:textId="26569EE9" w:rsidR="008C6977" w:rsidRPr="00E16CCC" w:rsidRDefault="00D85DA4" w:rsidP="00695E2D">
      <w:pPr>
        <w:jc w:val="both"/>
        <w:rPr>
          <w:i/>
          <w:sz w:val="24"/>
          <w:szCs w:val="24"/>
        </w:rPr>
      </w:pPr>
      <w:r>
        <w:rPr>
          <w:i/>
          <w:sz w:val="24"/>
          <w:szCs w:val="24"/>
        </w:rPr>
        <w:t xml:space="preserve">Strategic Framework </w:t>
      </w:r>
      <w:r w:rsidR="006516FF" w:rsidRPr="00E16CCC">
        <w:rPr>
          <w:i/>
          <w:sz w:val="24"/>
          <w:szCs w:val="24"/>
        </w:rPr>
        <w:t>evaluation</w:t>
      </w:r>
      <w:r w:rsidR="002D1E29" w:rsidRPr="00E16CCC">
        <w:rPr>
          <w:i/>
          <w:sz w:val="24"/>
          <w:szCs w:val="24"/>
        </w:rPr>
        <w:t xml:space="preserve"> </w:t>
      </w:r>
    </w:p>
    <w:p w14:paraId="10EBEBB2" w14:textId="4D023822" w:rsidR="000E57C9" w:rsidRDefault="00D85DA4" w:rsidP="00695E2D">
      <w:pPr>
        <w:jc w:val="both"/>
        <w:rPr>
          <w:sz w:val="24"/>
          <w:szCs w:val="24"/>
        </w:rPr>
      </w:pPr>
      <w:r>
        <w:rPr>
          <w:sz w:val="24"/>
          <w:szCs w:val="24"/>
        </w:rPr>
        <w:lastRenderedPageBreak/>
        <w:t xml:space="preserve">This new UNV Strategic Framework is very different from the previous one, focusing almost exclusively on Volunteer Infrastructure </w:t>
      </w:r>
      <w:r w:rsidR="00D9307A">
        <w:rPr>
          <w:sz w:val="24"/>
          <w:szCs w:val="24"/>
        </w:rPr>
        <w:t>and Volunteers Mobilization for the UN System</w:t>
      </w:r>
      <w:r w:rsidR="00850CB6">
        <w:rPr>
          <w:sz w:val="24"/>
          <w:szCs w:val="24"/>
        </w:rPr>
        <w:t>, whereas t</w:t>
      </w:r>
      <w:r w:rsidR="004035A8">
        <w:rPr>
          <w:sz w:val="24"/>
          <w:szCs w:val="24"/>
        </w:rPr>
        <w:t xml:space="preserve">he previous Strategic Framework had a number of traditional development objectives, which resulted in a large portfolio of </w:t>
      </w:r>
      <w:r w:rsidR="00850CB6">
        <w:rPr>
          <w:sz w:val="24"/>
          <w:szCs w:val="24"/>
        </w:rPr>
        <w:t>more or less traditional development projects, with substanti</w:t>
      </w:r>
      <w:r w:rsidR="00697148">
        <w:rPr>
          <w:sz w:val="24"/>
          <w:szCs w:val="24"/>
        </w:rPr>
        <w:t>al</w:t>
      </w:r>
      <w:r w:rsidR="00850CB6">
        <w:rPr>
          <w:sz w:val="24"/>
          <w:szCs w:val="24"/>
        </w:rPr>
        <w:t xml:space="preserve"> funding from UNV’s Special Voluntary Fund. </w:t>
      </w:r>
      <w:r w:rsidR="00727947">
        <w:rPr>
          <w:sz w:val="24"/>
          <w:szCs w:val="24"/>
        </w:rPr>
        <w:t>The so-called legacy projects are now being phased out, with remaining project evaluations being conducted either by UNV itself (4 projects) or by UNDP/UN Partners (23 projects),</w:t>
      </w:r>
    </w:p>
    <w:p w14:paraId="5A3A7051" w14:textId="24F38C8A" w:rsidR="00850CB6" w:rsidRDefault="00727947" w:rsidP="00695E2D">
      <w:pPr>
        <w:jc w:val="both"/>
        <w:rPr>
          <w:sz w:val="24"/>
          <w:szCs w:val="24"/>
        </w:rPr>
      </w:pPr>
      <w:r>
        <w:rPr>
          <w:sz w:val="24"/>
          <w:szCs w:val="24"/>
        </w:rPr>
        <w:t xml:space="preserve">With UNV’s comprehensive transformation process implemented alongside the launch of the new Strategic Framework, there is a need to combine a traditional </w:t>
      </w:r>
      <w:r w:rsidR="00850CB6">
        <w:rPr>
          <w:sz w:val="24"/>
          <w:szCs w:val="24"/>
        </w:rPr>
        <w:t xml:space="preserve">Mid-Term Review of the Strategic Framework </w:t>
      </w:r>
      <w:r>
        <w:rPr>
          <w:sz w:val="24"/>
          <w:szCs w:val="24"/>
        </w:rPr>
        <w:t xml:space="preserve">with an assessment of whether the organizational transformation process has made UNV more fit for purpose and better able to deliver on the Strategic Framework. This will take place in 2019 and </w:t>
      </w:r>
      <w:r w:rsidR="00850CB6">
        <w:rPr>
          <w:sz w:val="24"/>
          <w:szCs w:val="24"/>
        </w:rPr>
        <w:t>will also provide inputs to the 2020 Report to the Executive Board</w:t>
      </w:r>
      <w:r>
        <w:rPr>
          <w:sz w:val="24"/>
          <w:szCs w:val="24"/>
        </w:rPr>
        <w:t xml:space="preserve">. An </w:t>
      </w:r>
      <w:r w:rsidR="00850CB6">
        <w:rPr>
          <w:sz w:val="24"/>
          <w:szCs w:val="24"/>
        </w:rPr>
        <w:t xml:space="preserve">independent Impact Evaluation </w:t>
      </w:r>
      <w:r>
        <w:rPr>
          <w:sz w:val="24"/>
          <w:szCs w:val="24"/>
        </w:rPr>
        <w:t xml:space="preserve">of the Strategic Framework </w:t>
      </w:r>
      <w:r w:rsidR="00850CB6">
        <w:rPr>
          <w:sz w:val="24"/>
          <w:szCs w:val="24"/>
        </w:rPr>
        <w:t>in late 2020 or early 2021</w:t>
      </w:r>
      <w:r>
        <w:rPr>
          <w:sz w:val="24"/>
          <w:szCs w:val="24"/>
        </w:rPr>
        <w:t xml:space="preserve"> will</w:t>
      </w:r>
      <w:r w:rsidR="00850CB6">
        <w:rPr>
          <w:sz w:val="24"/>
          <w:szCs w:val="24"/>
        </w:rPr>
        <w:t xml:space="preserve"> provide inputs </w:t>
      </w:r>
      <w:r>
        <w:rPr>
          <w:sz w:val="24"/>
          <w:szCs w:val="24"/>
        </w:rPr>
        <w:t>in</w:t>
      </w:r>
      <w:r w:rsidR="00850CB6">
        <w:rPr>
          <w:sz w:val="24"/>
          <w:szCs w:val="24"/>
        </w:rPr>
        <w:t>to the development of the next Strategic Framework (2022 – 2025).</w:t>
      </w:r>
    </w:p>
    <w:p w14:paraId="201DD9FA" w14:textId="0F9BF82B" w:rsidR="00D15F7E" w:rsidRDefault="00D15F7E" w:rsidP="00695E2D">
      <w:pPr>
        <w:jc w:val="both"/>
        <w:rPr>
          <w:i/>
          <w:sz w:val="24"/>
          <w:szCs w:val="24"/>
        </w:rPr>
      </w:pPr>
      <w:r w:rsidRPr="00D15F7E">
        <w:rPr>
          <w:i/>
          <w:sz w:val="24"/>
          <w:szCs w:val="24"/>
        </w:rPr>
        <w:t>Impact Evaluations of UN Partnerships</w:t>
      </w:r>
    </w:p>
    <w:p w14:paraId="6D8C3155" w14:textId="73227A3B" w:rsidR="00D15F7E" w:rsidRDefault="00D15F7E" w:rsidP="00695E2D">
      <w:pPr>
        <w:jc w:val="both"/>
        <w:rPr>
          <w:sz w:val="24"/>
          <w:szCs w:val="24"/>
        </w:rPr>
      </w:pPr>
      <w:r>
        <w:rPr>
          <w:sz w:val="24"/>
          <w:szCs w:val="24"/>
        </w:rPr>
        <w:t>Part of UNV’s dual mandate is to provide is to provide highly skilled volunteers for UN agencies in are</w:t>
      </w:r>
      <w:r w:rsidR="007D60EB">
        <w:rPr>
          <w:sz w:val="24"/>
          <w:szCs w:val="24"/>
        </w:rPr>
        <w:t>as of peace and development. Through the deployment of volunteers, UNV in essence contributes to the results and achievements of our partner UN agencies, funds and programmes (AFP) as well as UN Missions. In 2011, UNV and the UN Department of Field Support conducted an evaluation of the collaboration between the</w:t>
      </w:r>
      <w:r w:rsidR="00727947">
        <w:rPr>
          <w:sz w:val="24"/>
          <w:szCs w:val="24"/>
        </w:rPr>
        <w:t>m</w:t>
      </w:r>
      <w:r w:rsidR="007D60EB">
        <w:rPr>
          <w:sz w:val="24"/>
          <w:szCs w:val="24"/>
        </w:rPr>
        <w:t xml:space="preserve"> and the contribution </w:t>
      </w:r>
      <w:r w:rsidR="00727947">
        <w:rPr>
          <w:sz w:val="24"/>
          <w:szCs w:val="24"/>
        </w:rPr>
        <w:t>United Nations V</w:t>
      </w:r>
      <w:r w:rsidR="007D60EB">
        <w:rPr>
          <w:sz w:val="24"/>
          <w:szCs w:val="24"/>
        </w:rPr>
        <w:t xml:space="preserve">olunteers make to UN peacekeeping operations. </w:t>
      </w:r>
    </w:p>
    <w:p w14:paraId="3A351D83" w14:textId="0CB82811" w:rsidR="007D60EB" w:rsidRDefault="007D60EB" w:rsidP="00695E2D">
      <w:pPr>
        <w:jc w:val="both"/>
        <w:rPr>
          <w:sz w:val="24"/>
          <w:szCs w:val="24"/>
        </w:rPr>
      </w:pPr>
      <w:r>
        <w:rPr>
          <w:sz w:val="24"/>
          <w:szCs w:val="24"/>
        </w:rPr>
        <w:t>In the current SF, UNV proposes to conduct at least one evaluation in collaboration with a key AFP on the contribution of UNV and volunteers to the achievement of results in that AFP. Among potential partners are UNHCR and UNICEF, with whom discussions are ongoing.</w:t>
      </w:r>
    </w:p>
    <w:p w14:paraId="02F0A350" w14:textId="5844C075" w:rsidR="00727947" w:rsidRDefault="00727947" w:rsidP="00695E2D">
      <w:pPr>
        <w:jc w:val="both"/>
        <w:rPr>
          <w:sz w:val="24"/>
          <w:szCs w:val="24"/>
        </w:rPr>
      </w:pPr>
      <w:r>
        <w:rPr>
          <w:sz w:val="24"/>
          <w:szCs w:val="24"/>
        </w:rPr>
        <w:t>The objective of such a</w:t>
      </w:r>
      <w:r w:rsidR="00692D5D">
        <w:rPr>
          <w:sz w:val="24"/>
          <w:szCs w:val="24"/>
        </w:rPr>
        <w:t xml:space="preserve"> joint</w:t>
      </w:r>
      <w:r>
        <w:rPr>
          <w:sz w:val="24"/>
          <w:szCs w:val="24"/>
        </w:rPr>
        <w:t xml:space="preserve"> evaluation</w:t>
      </w:r>
      <w:r w:rsidR="00692D5D">
        <w:rPr>
          <w:sz w:val="24"/>
          <w:szCs w:val="24"/>
        </w:rPr>
        <w:t xml:space="preserve"> would be 1) to provide an independent analysis of the coherence, relevance, effectiveness, efficiency, outcomes and impact of UNV-AFP collaboration, 2) to identify UNV’s comparative advantage and value added of UN Volunteers to the results of the AFP, and 3) to make recommendations for the future of the UNV-AFP partnership.</w:t>
      </w:r>
    </w:p>
    <w:p w14:paraId="5072F9D3" w14:textId="77777777" w:rsidR="009C154F" w:rsidRPr="00E16CCC" w:rsidRDefault="00311ADD" w:rsidP="00695E2D">
      <w:pPr>
        <w:jc w:val="both"/>
        <w:rPr>
          <w:sz w:val="24"/>
          <w:szCs w:val="24"/>
          <w:u w:val="single"/>
        </w:rPr>
      </w:pPr>
      <w:r w:rsidRPr="00E16CCC">
        <w:rPr>
          <w:sz w:val="24"/>
          <w:szCs w:val="24"/>
          <w:u w:val="single"/>
        </w:rPr>
        <w:t xml:space="preserve">4. </w:t>
      </w:r>
      <w:r w:rsidR="009C154F" w:rsidRPr="00E16CCC">
        <w:rPr>
          <w:sz w:val="24"/>
          <w:szCs w:val="24"/>
          <w:u w:val="single"/>
        </w:rPr>
        <w:t xml:space="preserve">Evaluation and Research </w:t>
      </w:r>
    </w:p>
    <w:p w14:paraId="65E703F8" w14:textId="7F9B9C32" w:rsidR="00311ADD" w:rsidRPr="00E16CCC" w:rsidRDefault="00311ADD" w:rsidP="00695E2D">
      <w:pPr>
        <w:jc w:val="both"/>
        <w:rPr>
          <w:sz w:val="24"/>
          <w:szCs w:val="24"/>
        </w:rPr>
      </w:pPr>
      <w:r w:rsidRPr="00E16CCC">
        <w:rPr>
          <w:sz w:val="24"/>
          <w:szCs w:val="24"/>
        </w:rPr>
        <w:t xml:space="preserve">In addition to the evaluation activities proposed </w:t>
      </w:r>
      <w:r w:rsidR="0093095E" w:rsidRPr="00E16CCC">
        <w:rPr>
          <w:sz w:val="24"/>
          <w:szCs w:val="24"/>
        </w:rPr>
        <w:t>in th</w:t>
      </w:r>
      <w:r w:rsidR="00850CB6">
        <w:rPr>
          <w:sz w:val="24"/>
          <w:szCs w:val="24"/>
        </w:rPr>
        <w:t>is</w:t>
      </w:r>
      <w:r w:rsidR="0093095E" w:rsidRPr="00E16CCC">
        <w:rPr>
          <w:sz w:val="24"/>
          <w:szCs w:val="24"/>
        </w:rPr>
        <w:t xml:space="preserve"> </w:t>
      </w:r>
      <w:r w:rsidRPr="00E16CCC">
        <w:rPr>
          <w:sz w:val="24"/>
          <w:szCs w:val="24"/>
        </w:rPr>
        <w:t>Plan, UN</w:t>
      </w:r>
      <w:r w:rsidR="00850CB6">
        <w:rPr>
          <w:sz w:val="24"/>
          <w:szCs w:val="24"/>
        </w:rPr>
        <w:t>V</w:t>
      </w:r>
      <w:r w:rsidRPr="00E16CCC">
        <w:rPr>
          <w:sz w:val="24"/>
          <w:szCs w:val="24"/>
        </w:rPr>
        <w:t xml:space="preserve"> </w:t>
      </w:r>
      <w:r w:rsidR="00776DC3" w:rsidRPr="00E16CCC">
        <w:rPr>
          <w:sz w:val="24"/>
          <w:szCs w:val="24"/>
        </w:rPr>
        <w:t xml:space="preserve">will continue </w:t>
      </w:r>
      <w:r w:rsidRPr="00E16CCC">
        <w:rPr>
          <w:sz w:val="24"/>
          <w:szCs w:val="24"/>
        </w:rPr>
        <w:t xml:space="preserve">over the period of this Strategic Framework to maintain its focus on research activities as a way to generate </w:t>
      </w:r>
      <w:r w:rsidR="00776DC3" w:rsidRPr="00E16CCC">
        <w:rPr>
          <w:sz w:val="24"/>
          <w:szCs w:val="24"/>
        </w:rPr>
        <w:t xml:space="preserve">additional </w:t>
      </w:r>
      <w:r w:rsidRPr="00E16CCC">
        <w:rPr>
          <w:sz w:val="24"/>
          <w:szCs w:val="24"/>
        </w:rPr>
        <w:t>information on the results and impacts of its work.</w:t>
      </w:r>
      <w:r w:rsidR="00264A92" w:rsidRPr="00E16CCC">
        <w:rPr>
          <w:sz w:val="24"/>
          <w:szCs w:val="24"/>
        </w:rPr>
        <w:t xml:space="preserve"> This w</w:t>
      </w:r>
      <w:r w:rsidR="0093095E" w:rsidRPr="00E16CCC">
        <w:rPr>
          <w:sz w:val="24"/>
          <w:szCs w:val="24"/>
        </w:rPr>
        <w:t xml:space="preserve">ill </w:t>
      </w:r>
      <w:r w:rsidR="00264A92" w:rsidRPr="00E16CCC">
        <w:rPr>
          <w:sz w:val="24"/>
          <w:szCs w:val="24"/>
        </w:rPr>
        <w:t xml:space="preserve">be complementary to the </w:t>
      </w:r>
      <w:r w:rsidR="000D5813" w:rsidRPr="00E16CCC">
        <w:rPr>
          <w:sz w:val="24"/>
          <w:szCs w:val="24"/>
        </w:rPr>
        <w:t xml:space="preserve">evaluation </w:t>
      </w:r>
      <w:r w:rsidR="00264A92" w:rsidRPr="00E16CCC">
        <w:rPr>
          <w:sz w:val="24"/>
          <w:szCs w:val="24"/>
        </w:rPr>
        <w:t>results being generated under th</w:t>
      </w:r>
      <w:r w:rsidR="00850CB6">
        <w:rPr>
          <w:sz w:val="24"/>
          <w:szCs w:val="24"/>
        </w:rPr>
        <w:t>is</w:t>
      </w:r>
      <w:r w:rsidR="00264A92" w:rsidRPr="00E16CCC">
        <w:rPr>
          <w:sz w:val="24"/>
          <w:szCs w:val="24"/>
        </w:rPr>
        <w:t xml:space="preserve"> Evaluation Plan.</w:t>
      </w:r>
    </w:p>
    <w:p w14:paraId="37012201" w14:textId="1A1ECD67" w:rsidR="008B3E49" w:rsidRPr="00E16CCC" w:rsidRDefault="00E918A7" w:rsidP="00E918A7">
      <w:pPr>
        <w:jc w:val="both"/>
        <w:rPr>
          <w:sz w:val="24"/>
          <w:szCs w:val="24"/>
        </w:rPr>
      </w:pPr>
      <w:r>
        <w:rPr>
          <w:sz w:val="24"/>
          <w:szCs w:val="24"/>
        </w:rPr>
        <w:t>An e</w:t>
      </w:r>
      <w:r w:rsidR="00311ADD" w:rsidRPr="00E16CCC">
        <w:rPr>
          <w:sz w:val="24"/>
          <w:szCs w:val="24"/>
        </w:rPr>
        <w:t xml:space="preserve">xample of such initiatives </w:t>
      </w:r>
      <w:r>
        <w:rPr>
          <w:sz w:val="24"/>
          <w:szCs w:val="24"/>
        </w:rPr>
        <w:t>is the development of UNV’s flagship report, State of the World’s Volunteerism</w:t>
      </w:r>
      <w:r w:rsidR="00692D5D">
        <w:rPr>
          <w:sz w:val="24"/>
          <w:szCs w:val="24"/>
        </w:rPr>
        <w:t xml:space="preserve"> Report</w:t>
      </w:r>
      <w:r>
        <w:rPr>
          <w:sz w:val="24"/>
          <w:szCs w:val="24"/>
        </w:rPr>
        <w:t>, due for release in 2021.</w:t>
      </w:r>
    </w:p>
    <w:p w14:paraId="41824BE4" w14:textId="3D9FBCCF" w:rsidR="00311ADD" w:rsidRPr="00E16CCC" w:rsidRDefault="00311ADD" w:rsidP="00695E2D">
      <w:pPr>
        <w:jc w:val="both"/>
        <w:rPr>
          <w:sz w:val="24"/>
          <w:szCs w:val="24"/>
        </w:rPr>
      </w:pPr>
      <w:r w:rsidRPr="00E16CCC">
        <w:rPr>
          <w:sz w:val="24"/>
          <w:szCs w:val="24"/>
        </w:rPr>
        <w:lastRenderedPageBreak/>
        <w:t>More generally, UN</w:t>
      </w:r>
      <w:r w:rsidR="00E918A7">
        <w:rPr>
          <w:sz w:val="24"/>
          <w:szCs w:val="24"/>
        </w:rPr>
        <w:t>V</w:t>
      </w:r>
      <w:r w:rsidRPr="00E16CCC">
        <w:rPr>
          <w:sz w:val="24"/>
          <w:szCs w:val="24"/>
        </w:rPr>
        <w:t xml:space="preserve"> will continue to </w:t>
      </w:r>
      <w:r w:rsidR="00222ED9" w:rsidRPr="00E16CCC">
        <w:rPr>
          <w:sz w:val="24"/>
          <w:szCs w:val="24"/>
        </w:rPr>
        <w:t xml:space="preserve">actively track and remain </w:t>
      </w:r>
      <w:r w:rsidRPr="00E16CCC">
        <w:rPr>
          <w:sz w:val="24"/>
          <w:szCs w:val="24"/>
        </w:rPr>
        <w:t>informed by the results of key research and evaluation from its broader network</w:t>
      </w:r>
      <w:r w:rsidR="00E918A7">
        <w:rPr>
          <w:sz w:val="24"/>
          <w:szCs w:val="24"/>
        </w:rPr>
        <w:t xml:space="preserve"> of Volunteer Involving Organizations, particularly focusing on volunteerism’s contribution to development and the achievement of the 2030 Agenda and the associated Sustainable Development Goals</w:t>
      </w:r>
      <w:r w:rsidRPr="00E16CCC">
        <w:rPr>
          <w:sz w:val="24"/>
          <w:szCs w:val="24"/>
        </w:rPr>
        <w:t>.</w:t>
      </w:r>
    </w:p>
    <w:p w14:paraId="0C08C297" w14:textId="7D33D439" w:rsidR="00CC06BD" w:rsidRPr="00E16CCC" w:rsidRDefault="003157C9" w:rsidP="00695E2D">
      <w:pPr>
        <w:jc w:val="both"/>
        <w:rPr>
          <w:sz w:val="24"/>
          <w:szCs w:val="24"/>
          <w:u w:val="single"/>
        </w:rPr>
      </w:pPr>
      <w:r w:rsidRPr="00E16CCC">
        <w:rPr>
          <w:sz w:val="24"/>
          <w:szCs w:val="24"/>
          <w:u w:val="single"/>
        </w:rPr>
        <w:t>5</w:t>
      </w:r>
      <w:r w:rsidR="00CC06BD" w:rsidRPr="00E16CCC">
        <w:rPr>
          <w:sz w:val="24"/>
          <w:szCs w:val="24"/>
          <w:u w:val="single"/>
        </w:rPr>
        <w:t xml:space="preserve">. Collaboration with </w:t>
      </w:r>
      <w:r w:rsidR="000F3F59" w:rsidRPr="00E16CCC">
        <w:rPr>
          <w:sz w:val="24"/>
          <w:szCs w:val="24"/>
          <w:u w:val="single"/>
        </w:rPr>
        <w:t xml:space="preserve">UNDP’s </w:t>
      </w:r>
      <w:r w:rsidR="00CC06BD" w:rsidRPr="00E16CCC">
        <w:rPr>
          <w:sz w:val="24"/>
          <w:szCs w:val="24"/>
          <w:u w:val="single"/>
        </w:rPr>
        <w:t xml:space="preserve">Independent Evaluation Office </w:t>
      </w:r>
      <w:r w:rsidR="00F05DB4" w:rsidRPr="00E16CCC">
        <w:rPr>
          <w:sz w:val="24"/>
          <w:szCs w:val="24"/>
          <w:u w:val="single"/>
        </w:rPr>
        <w:t xml:space="preserve">(IEO) </w:t>
      </w:r>
      <w:r w:rsidR="00CC06BD" w:rsidRPr="00E16CCC">
        <w:rPr>
          <w:sz w:val="24"/>
          <w:szCs w:val="24"/>
          <w:u w:val="single"/>
        </w:rPr>
        <w:t xml:space="preserve">and other </w:t>
      </w:r>
      <w:r w:rsidR="00905372" w:rsidRPr="00E16CCC">
        <w:rPr>
          <w:sz w:val="24"/>
          <w:szCs w:val="24"/>
          <w:u w:val="single"/>
        </w:rPr>
        <w:t xml:space="preserve">external </w:t>
      </w:r>
      <w:r w:rsidR="00CC06BD" w:rsidRPr="00E16CCC">
        <w:rPr>
          <w:sz w:val="24"/>
          <w:szCs w:val="24"/>
          <w:u w:val="single"/>
        </w:rPr>
        <w:t>partners</w:t>
      </w:r>
    </w:p>
    <w:p w14:paraId="2CA787B6" w14:textId="57626AAD" w:rsidR="00F609E7" w:rsidRDefault="00F609E7" w:rsidP="00F609E7">
      <w:pPr>
        <w:jc w:val="both"/>
      </w:pPr>
      <w:r w:rsidRPr="00F609E7">
        <w:rPr>
          <w:sz w:val="24"/>
          <w:szCs w:val="24"/>
        </w:rPr>
        <w:t>In line with the UNDP Evaluation Policy, to which UN</w:t>
      </w:r>
      <w:r w:rsidR="00E918A7">
        <w:rPr>
          <w:sz w:val="24"/>
          <w:szCs w:val="24"/>
        </w:rPr>
        <w:t>V</w:t>
      </w:r>
      <w:r w:rsidRPr="00F609E7">
        <w:rPr>
          <w:sz w:val="24"/>
          <w:szCs w:val="24"/>
        </w:rPr>
        <w:t xml:space="preserve"> is </w:t>
      </w:r>
      <w:r w:rsidR="00692D5D">
        <w:rPr>
          <w:sz w:val="24"/>
          <w:szCs w:val="24"/>
        </w:rPr>
        <w:t xml:space="preserve">a </w:t>
      </w:r>
      <w:r w:rsidRPr="00F609E7">
        <w:rPr>
          <w:sz w:val="24"/>
          <w:szCs w:val="24"/>
        </w:rPr>
        <w:t>party, UN</w:t>
      </w:r>
      <w:r w:rsidR="00E918A7">
        <w:rPr>
          <w:sz w:val="24"/>
          <w:szCs w:val="24"/>
        </w:rPr>
        <w:t>V</w:t>
      </w:r>
      <w:r w:rsidRPr="00F609E7">
        <w:rPr>
          <w:sz w:val="24"/>
          <w:szCs w:val="24"/>
        </w:rPr>
        <w:t xml:space="preserve"> greatly appreciates its partnership with the Independent Evaluation Office from which it receives support and guidance on evaluation quality and approaches, as well as – where relevant -  additional evaluation coverage in areas where UNDP and UN</w:t>
      </w:r>
      <w:r w:rsidR="00E918A7">
        <w:rPr>
          <w:sz w:val="24"/>
          <w:szCs w:val="24"/>
        </w:rPr>
        <w:t>V</w:t>
      </w:r>
      <w:r w:rsidRPr="00F609E7">
        <w:rPr>
          <w:sz w:val="24"/>
          <w:szCs w:val="24"/>
        </w:rPr>
        <w:t xml:space="preserve"> are working closely together.  To this end, and as a complement to the findings emanating from its own evaluation function, UN</w:t>
      </w:r>
      <w:r w:rsidR="00E918A7">
        <w:rPr>
          <w:sz w:val="24"/>
          <w:szCs w:val="24"/>
        </w:rPr>
        <w:t>V</w:t>
      </w:r>
      <w:r w:rsidRPr="00F609E7">
        <w:rPr>
          <w:sz w:val="24"/>
          <w:szCs w:val="24"/>
        </w:rPr>
        <w:t xml:space="preserve"> will continue to seek - wherever appropriate – inclusion of its joint work with UNDP in the IEO’s Independent Country Programme Evaluations, as well as IEO thematic evaluations that touch on areas of UN</w:t>
      </w:r>
      <w:r w:rsidR="00E918A7">
        <w:rPr>
          <w:sz w:val="24"/>
          <w:szCs w:val="24"/>
        </w:rPr>
        <w:t>V</w:t>
      </w:r>
      <w:r w:rsidRPr="00F609E7">
        <w:rPr>
          <w:sz w:val="24"/>
          <w:szCs w:val="24"/>
        </w:rPr>
        <w:t xml:space="preserve"> specialization</w:t>
      </w:r>
      <w:r>
        <w:t>.</w:t>
      </w:r>
    </w:p>
    <w:p w14:paraId="237D75DC" w14:textId="424C8488" w:rsidR="0067203C" w:rsidRDefault="0067203C" w:rsidP="00F609E7">
      <w:pPr>
        <w:jc w:val="both"/>
      </w:pPr>
      <w:r w:rsidRPr="0067203C">
        <w:rPr>
          <w:sz w:val="24"/>
          <w:szCs w:val="24"/>
        </w:rPr>
        <w:t>All evaluations undertaken by UNV wi</w:t>
      </w:r>
      <w:r w:rsidR="00692D5D">
        <w:rPr>
          <w:sz w:val="24"/>
          <w:szCs w:val="24"/>
        </w:rPr>
        <w:t>ll</w:t>
      </w:r>
      <w:r w:rsidRPr="0067203C">
        <w:rPr>
          <w:sz w:val="24"/>
          <w:szCs w:val="24"/>
        </w:rPr>
        <w:t xml:space="preserve"> be quality assessed independently by the Independent Evaluation Office (IEO) of UNDP. Comments and suggestions as well as ratings through the quality assessment system will further strengthen future evaluations as well as UNVs accountability, transparenc</w:t>
      </w:r>
      <w:r>
        <w:rPr>
          <w:sz w:val="24"/>
          <w:szCs w:val="24"/>
        </w:rPr>
        <w:t>y and learning from evaluations.</w:t>
      </w:r>
    </w:p>
    <w:p w14:paraId="7B80C996" w14:textId="33955FBB" w:rsidR="00F609E7" w:rsidRPr="00F609E7" w:rsidRDefault="00F609E7" w:rsidP="00F609E7">
      <w:pPr>
        <w:rPr>
          <w:rFonts w:ascii="Calibri" w:hAnsi="Calibri"/>
          <w:color w:val="1F497D"/>
          <w:sz w:val="24"/>
          <w:szCs w:val="24"/>
        </w:rPr>
      </w:pPr>
      <w:r w:rsidRPr="00F609E7">
        <w:rPr>
          <w:sz w:val="24"/>
          <w:szCs w:val="24"/>
        </w:rPr>
        <w:t>With a view to ensuring the transparency of UN</w:t>
      </w:r>
      <w:r w:rsidR="00E918A7">
        <w:rPr>
          <w:sz w:val="24"/>
          <w:szCs w:val="24"/>
        </w:rPr>
        <w:t>V</w:t>
      </w:r>
      <w:r w:rsidRPr="00F609E7">
        <w:rPr>
          <w:sz w:val="24"/>
          <w:szCs w:val="24"/>
        </w:rPr>
        <w:t>’s evaluation results, UN</w:t>
      </w:r>
      <w:r w:rsidR="00E918A7">
        <w:rPr>
          <w:sz w:val="24"/>
          <w:szCs w:val="24"/>
        </w:rPr>
        <w:t>V</w:t>
      </w:r>
      <w:r w:rsidRPr="00F609E7">
        <w:rPr>
          <w:sz w:val="24"/>
          <w:szCs w:val="24"/>
        </w:rPr>
        <w:t xml:space="preserve"> will continue in line with its commitments under the Evaluation Policy to present the key evaluation results and activities of its evaluation function in the IEO’s Annual Report on Evaluation to the Executive Board. This report will also include the results of the systematic external assessment by IEO of every completed UN</w:t>
      </w:r>
      <w:r w:rsidR="00E918A7">
        <w:rPr>
          <w:sz w:val="24"/>
          <w:szCs w:val="24"/>
        </w:rPr>
        <w:t>V</w:t>
      </w:r>
      <w:r w:rsidRPr="00F609E7">
        <w:rPr>
          <w:sz w:val="24"/>
          <w:szCs w:val="24"/>
        </w:rPr>
        <w:t xml:space="preserve"> evaluation before its publication on UNDP’s Evaluation Resource Center in line with UN norms and standards for evaluation. </w:t>
      </w:r>
      <w:r w:rsidRPr="00900B96">
        <w:rPr>
          <w:sz w:val="24"/>
          <w:szCs w:val="24"/>
        </w:rPr>
        <w:t xml:space="preserve">Finally, the IEO will </w:t>
      </w:r>
      <w:r w:rsidR="00E918A7">
        <w:rPr>
          <w:sz w:val="24"/>
          <w:szCs w:val="24"/>
        </w:rPr>
        <w:t>support</w:t>
      </w:r>
      <w:r w:rsidRPr="00900B96">
        <w:rPr>
          <w:sz w:val="24"/>
          <w:szCs w:val="24"/>
        </w:rPr>
        <w:t xml:space="preserve"> </w:t>
      </w:r>
      <w:r w:rsidR="00024698">
        <w:rPr>
          <w:sz w:val="24"/>
          <w:szCs w:val="24"/>
        </w:rPr>
        <w:t xml:space="preserve">the final </w:t>
      </w:r>
      <w:r w:rsidRPr="00900B96">
        <w:rPr>
          <w:sz w:val="24"/>
          <w:szCs w:val="24"/>
        </w:rPr>
        <w:t>evaluation of UN</w:t>
      </w:r>
      <w:r w:rsidR="00E918A7">
        <w:rPr>
          <w:sz w:val="24"/>
          <w:szCs w:val="24"/>
        </w:rPr>
        <w:t>V</w:t>
      </w:r>
      <w:r w:rsidRPr="00900B96">
        <w:rPr>
          <w:sz w:val="24"/>
          <w:szCs w:val="24"/>
        </w:rPr>
        <w:t xml:space="preserve">’s Strategic Framework </w:t>
      </w:r>
      <w:r w:rsidR="00502E94">
        <w:rPr>
          <w:sz w:val="24"/>
          <w:szCs w:val="24"/>
        </w:rPr>
        <w:t xml:space="preserve">2018-2021 </w:t>
      </w:r>
      <w:r w:rsidR="00024698">
        <w:rPr>
          <w:sz w:val="24"/>
          <w:szCs w:val="24"/>
        </w:rPr>
        <w:t xml:space="preserve">which will </w:t>
      </w:r>
      <w:r w:rsidRPr="00900B96">
        <w:rPr>
          <w:sz w:val="24"/>
          <w:szCs w:val="24"/>
        </w:rPr>
        <w:t>inform the drafting of UN</w:t>
      </w:r>
      <w:r w:rsidR="00E918A7">
        <w:rPr>
          <w:sz w:val="24"/>
          <w:szCs w:val="24"/>
        </w:rPr>
        <w:t>V</w:t>
      </w:r>
      <w:r w:rsidRPr="00900B96">
        <w:rPr>
          <w:sz w:val="24"/>
          <w:szCs w:val="24"/>
        </w:rPr>
        <w:t>’s subsequent planning framework.</w:t>
      </w:r>
      <w:r w:rsidRPr="00F609E7">
        <w:rPr>
          <w:sz w:val="24"/>
          <w:szCs w:val="24"/>
        </w:rPr>
        <w:t xml:space="preserve"> </w:t>
      </w:r>
      <w:r w:rsidRPr="00F609E7">
        <w:rPr>
          <w:rFonts w:ascii="Calibri" w:hAnsi="Calibri"/>
          <w:color w:val="1F497D"/>
          <w:sz w:val="24"/>
          <w:szCs w:val="24"/>
        </w:rPr>
        <w:t> </w:t>
      </w:r>
    </w:p>
    <w:p w14:paraId="60C59B5B" w14:textId="43A7516A" w:rsidR="002914D9" w:rsidRDefault="001653FB" w:rsidP="00695E2D">
      <w:pPr>
        <w:jc w:val="both"/>
        <w:rPr>
          <w:sz w:val="24"/>
          <w:szCs w:val="24"/>
          <w:u w:val="single"/>
        </w:rPr>
      </w:pPr>
      <w:r>
        <w:rPr>
          <w:sz w:val="24"/>
          <w:szCs w:val="24"/>
          <w:u w:val="single"/>
        </w:rPr>
        <w:t>6</w:t>
      </w:r>
      <w:r w:rsidR="002914D9">
        <w:rPr>
          <w:sz w:val="24"/>
          <w:szCs w:val="24"/>
          <w:u w:val="single"/>
        </w:rPr>
        <w:t>. Proposed evaluation plan 2018 – 2021</w:t>
      </w:r>
    </w:p>
    <w:p w14:paraId="17E5EBD2" w14:textId="77777777" w:rsidR="004625AC" w:rsidRDefault="005E7910" w:rsidP="00695E2D">
      <w:pPr>
        <w:jc w:val="both"/>
        <w:rPr>
          <w:sz w:val="24"/>
          <w:szCs w:val="24"/>
        </w:rPr>
      </w:pPr>
      <w:r>
        <w:rPr>
          <w:sz w:val="24"/>
          <w:szCs w:val="24"/>
        </w:rPr>
        <w:t xml:space="preserve">The </w:t>
      </w:r>
      <w:r w:rsidR="00710275">
        <w:rPr>
          <w:sz w:val="24"/>
          <w:szCs w:val="24"/>
        </w:rPr>
        <w:t>t</w:t>
      </w:r>
      <w:r>
        <w:rPr>
          <w:sz w:val="24"/>
          <w:szCs w:val="24"/>
        </w:rPr>
        <w:t xml:space="preserve">able below </w:t>
      </w:r>
      <w:r w:rsidR="00710275">
        <w:rPr>
          <w:sz w:val="24"/>
          <w:szCs w:val="24"/>
        </w:rPr>
        <w:t xml:space="preserve">presents the </w:t>
      </w:r>
      <w:r w:rsidR="00927CA5">
        <w:rPr>
          <w:sz w:val="24"/>
          <w:szCs w:val="24"/>
        </w:rPr>
        <w:t>indicative evaluation plan for the period 2018 – 2021</w:t>
      </w:r>
      <w:r w:rsidR="000B5225">
        <w:rPr>
          <w:sz w:val="24"/>
          <w:szCs w:val="24"/>
        </w:rPr>
        <w:t xml:space="preserve"> </w:t>
      </w:r>
      <w:r w:rsidR="00451E37">
        <w:rPr>
          <w:sz w:val="24"/>
          <w:szCs w:val="24"/>
        </w:rPr>
        <w:t xml:space="preserve">which was drawn up on the basis of </w:t>
      </w:r>
      <w:r w:rsidR="00CC0924">
        <w:rPr>
          <w:sz w:val="24"/>
          <w:szCs w:val="24"/>
        </w:rPr>
        <w:t xml:space="preserve">the process described above. </w:t>
      </w:r>
    </w:p>
    <w:p w14:paraId="6A949122" w14:textId="77777777" w:rsidR="00D97B24" w:rsidRDefault="00D97B24" w:rsidP="00E60C69">
      <w:pPr>
        <w:rPr>
          <w:sz w:val="24"/>
          <w:szCs w:val="24"/>
        </w:rPr>
        <w:sectPr w:rsidR="00D97B24" w:rsidSect="00D97B24">
          <w:footerReference w:type="default" r:id="rId11"/>
          <w:pgSz w:w="12240" w:h="15840"/>
          <w:pgMar w:top="1440" w:right="1440" w:bottom="1440" w:left="1440" w:header="720" w:footer="720" w:gutter="0"/>
          <w:cols w:space="720"/>
          <w:docGrid w:linePitch="360"/>
        </w:sectPr>
      </w:pPr>
    </w:p>
    <w:tbl>
      <w:tblPr>
        <w:tblW w:w="1347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3567"/>
        <w:gridCol w:w="1189"/>
        <w:gridCol w:w="1715"/>
        <w:gridCol w:w="1646"/>
        <w:gridCol w:w="1706"/>
        <w:gridCol w:w="1348"/>
        <w:gridCol w:w="1124"/>
      </w:tblGrid>
      <w:tr w:rsidR="00FC0D6A" w:rsidRPr="00C459A7" w14:paraId="0B6DD418" w14:textId="77777777" w:rsidTr="00FC0D6A">
        <w:trPr>
          <w:trHeight w:val="607"/>
        </w:trPr>
        <w:tc>
          <w:tcPr>
            <w:tcW w:w="1179" w:type="dxa"/>
            <w:shd w:val="clear" w:color="000000" w:fill="ACB9CA"/>
            <w:vAlign w:val="center"/>
            <w:hideMark/>
          </w:tcPr>
          <w:p w14:paraId="3555F714" w14:textId="77777777" w:rsidR="00FC0D6A" w:rsidRPr="00C459A7" w:rsidRDefault="00FC0D6A" w:rsidP="00AE7E0F">
            <w:pPr>
              <w:spacing w:after="0" w:line="240" w:lineRule="auto"/>
              <w:jc w:val="center"/>
              <w:rPr>
                <w:rFonts w:ascii="Calibri" w:eastAsia="Times New Roman" w:hAnsi="Calibri" w:cs="Times New Roman"/>
                <w:b/>
                <w:bCs/>
                <w:color w:val="000000"/>
              </w:rPr>
            </w:pPr>
            <w:bookmarkStart w:id="0" w:name="_Hlk528655781"/>
            <w:r w:rsidRPr="00C459A7">
              <w:rPr>
                <w:rFonts w:ascii="Calibri" w:eastAsia="Times New Roman" w:hAnsi="Calibri" w:cs="Times New Roman"/>
                <w:b/>
                <w:bCs/>
                <w:color w:val="000000"/>
              </w:rPr>
              <w:lastRenderedPageBreak/>
              <w:t>Year</w:t>
            </w:r>
          </w:p>
        </w:tc>
        <w:tc>
          <w:tcPr>
            <w:tcW w:w="3567" w:type="dxa"/>
            <w:shd w:val="clear" w:color="000000" w:fill="ACB9CA"/>
            <w:vAlign w:val="center"/>
            <w:hideMark/>
          </w:tcPr>
          <w:p w14:paraId="3DF49381" w14:textId="77777777" w:rsidR="00FC0D6A" w:rsidRPr="00C459A7" w:rsidRDefault="00FC0D6A" w:rsidP="00AE7E0F">
            <w:pPr>
              <w:spacing w:after="0" w:line="240" w:lineRule="auto"/>
              <w:jc w:val="center"/>
              <w:rPr>
                <w:rFonts w:ascii="Calibri" w:eastAsia="Times New Roman" w:hAnsi="Calibri" w:cs="Times New Roman"/>
                <w:b/>
                <w:bCs/>
                <w:color w:val="000000"/>
              </w:rPr>
            </w:pPr>
            <w:r w:rsidRPr="00C459A7">
              <w:rPr>
                <w:rFonts w:ascii="Calibri" w:eastAsia="Times New Roman" w:hAnsi="Calibri" w:cs="Times New Roman"/>
                <w:b/>
                <w:bCs/>
                <w:color w:val="000000"/>
              </w:rPr>
              <w:t>Project Title</w:t>
            </w:r>
          </w:p>
        </w:tc>
        <w:tc>
          <w:tcPr>
            <w:tcW w:w="1189" w:type="dxa"/>
            <w:shd w:val="clear" w:color="000000" w:fill="ACB9CA"/>
            <w:vAlign w:val="center"/>
            <w:hideMark/>
          </w:tcPr>
          <w:p w14:paraId="6ACBA283" w14:textId="77777777" w:rsidR="00FC0D6A" w:rsidRPr="00C459A7" w:rsidRDefault="00FC0D6A" w:rsidP="00AE7E0F">
            <w:pPr>
              <w:spacing w:after="0" w:line="240" w:lineRule="auto"/>
              <w:jc w:val="center"/>
              <w:rPr>
                <w:rFonts w:ascii="Calibri" w:eastAsia="Times New Roman" w:hAnsi="Calibri" w:cs="Times New Roman"/>
                <w:b/>
                <w:bCs/>
                <w:color w:val="000000"/>
              </w:rPr>
            </w:pPr>
            <w:r w:rsidRPr="00C459A7">
              <w:rPr>
                <w:rFonts w:ascii="Calibri" w:eastAsia="Times New Roman" w:hAnsi="Calibri" w:cs="Times New Roman"/>
                <w:b/>
                <w:bCs/>
                <w:color w:val="000000"/>
              </w:rPr>
              <w:t>Country / Region</w:t>
            </w:r>
          </w:p>
        </w:tc>
        <w:tc>
          <w:tcPr>
            <w:tcW w:w="1715" w:type="dxa"/>
            <w:shd w:val="clear" w:color="000000" w:fill="ACB9CA"/>
            <w:vAlign w:val="center"/>
            <w:hideMark/>
          </w:tcPr>
          <w:p w14:paraId="212675F3" w14:textId="34A0BB3B" w:rsidR="00FC0D6A" w:rsidRPr="00C459A7" w:rsidRDefault="00FC0D6A" w:rsidP="00AE7E0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Project</w:t>
            </w:r>
            <w:r w:rsidRPr="00C459A7">
              <w:rPr>
                <w:rFonts w:ascii="Calibri" w:eastAsia="Times New Roman" w:hAnsi="Calibri" w:cs="Times New Roman"/>
                <w:b/>
                <w:bCs/>
                <w:color w:val="000000"/>
              </w:rPr>
              <w:t xml:space="preserve"> Duration</w:t>
            </w:r>
          </w:p>
        </w:tc>
        <w:tc>
          <w:tcPr>
            <w:tcW w:w="1646" w:type="dxa"/>
            <w:shd w:val="clear" w:color="000000" w:fill="ACB9CA"/>
            <w:vAlign w:val="center"/>
            <w:hideMark/>
          </w:tcPr>
          <w:p w14:paraId="00743AAA" w14:textId="77777777" w:rsidR="00FC0D6A" w:rsidRPr="00C459A7" w:rsidRDefault="00FC0D6A" w:rsidP="00AE7E0F">
            <w:pPr>
              <w:spacing w:after="0" w:line="240" w:lineRule="auto"/>
              <w:jc w:val="center"/>
              <w:rPr>
                <w:rFonts w:ascii="Calibri" w:eastAsia="Times New Roman" w:hAnsi="Calibri" w:cs="Times New Roman"/>
                <w:b/>
                <w:bCs/>
                <w:color w:val="000000"/>
              </w:rPr>
            </w:pPr>
            <w:r w:rsidRPr="00C459A7">
              <w:rPr>
                <w:rFonts w:ascii="Calibri" w:eastAsia="Times New Roman" w:hAnsi="Calibri" w:cs="Times New Roman"/>
                <w:b/>
                <w:bCs/>
                <w:color w:val="000000"/>
              </w:rPr>
              <w:t>Type of Evaluation</w:t>
            </w:r>
          </w:p>
        </w:tc>
        <w:tc>
          <w:tcPr>
            <w:tcW w:w="1706" w:type="dxa"/>
            <w:shd w:val="clear" w:color="000000" w:fill="ACB9CA"/>
            <w:vAlign w:val="center"/>
            <w:hideMark/>
          </w:tcPr>
          <w:p w14:paraId="05FB38A5" w14:textId="77777777" w:rsidR="00FC0D6A" w:rsidRPr="00C459A7" w:rsidRDefault="00FC0D6A" w:rsidP="00AE7E0F">
            <w:pPr>
              <w:spacing w:after="0" w:line="240" w:lineRule="auto"/>
              <w:jc w:val="center"/>
              <w:rPr>
                <w:rFonts w:ascii="Calibri" w:eastAsia="Times New Roman" w:hAnsi="Calibri" w:cs="Times New Roman"/>
                <w:b/>
                <w:bCs/>
                <w:color w:val="000000"/>
              </w:rPr>
            </w:pPr>
            <w:r w:rsidRPr="00C459A7">
              <w:rPr>
                <w:rFonts w:ascii="Calibri" w:eastAsia="Times New Roman" w:hAnsi="Calibri" w:cs="Times New Roman"/>
                <w:b/>
                <w:bCs/>
                <w:color w:val="000000"/>
              </w:rPr>
              <w:t>Start Date</w:t>
            </w:r>
          </w:p>
        </w:tc>
        <w:tc>
          <w:tcPr>
            <w:tcW w:w="1348" w:type="dxa"/>
            <w:shd w:val="clear" w:color="000000" w:fill="ACB9CA"/>
            <w:vAlign w:val="center"/>
            <w:hideMark/>
          </w:tcPr>
          <w:p w14:paraId="11B8BDDB" w14:textId="77777777" w:rsidR="00FC0D6A" w:rsidRPr="00C459A7" w:rsidRDefault="00FC0D6A" w:rsidP="00AE7E0F">
            <w:pPr>
              <w:spacing w:after="0" w:line="240" w:lineRule="auto"/>
              <w:jc w:val="center"/>
              <w:rPr>
                <w:rFonts w:ascii="Calibri" w:eastAsia="Times New Roman" w:hAnsi="Calibri" w:cs="Times New Roman"/>
                <w:b/>
                <w:bCs/>
                <w:color w:val="000000"/>
              </w:rPr>
            </w:pPr>
            <w:r w:rsidRPr="00C459A7">
              <w:rPr>
                <w:rFonts w:ascii="Calibri" w:eastAsia="Times New Roman" w:hAnsi="Calibri" w:cs="Times New Roman"/>
                <w:b/>
                <w:bCs/>
                <w:color w:val="000000"/>
              </w:rPr>
              <w:t>End Date</w:t>
            </w:r>
          </w:p>
        </w:tc>
        <w:tc>
          <w:tcPr>
            <w:tcW w:w="1124" w:type="dxa"/>
            <w:shd w:val="clear" w:color="000000" w:fill="ACB9CA"/>
            <w:vAlign w:val="center"/>
            <w:hideMark/>
          </w:tcPr>
          <w:p w14:paraId="77582419" w14:textId="77777777" w:rsidR="00FC0D6A" w:rsidRPr="00C459A7" w:rsidRDefault="00FC0D6A" w:rsidP="00AE7E0F">
            <w:pPr>
              <w:spacing w:after="0" w:line="240" w:lineRule="auto"/>
              <w:jc w:val="center"/>
              <w:rPr>
                <w:rFonts w:ascii="Calibri" w:eastAsia="Times New Roman" w:hAnsi="Calibri" w:cs="Times New Roman"/>
                <w:b/>
                <w:bCs/>
                <w:color w:val="000000"/>
              </w:rPr>
            </w:pPr>
            <w:r w:rsidRPr="00C459A7">
              <w:rPr>
                <w:rFonts w:ascii="Calibri" w:eastAsia="Times New Roman" w:hAnsi="Calibri" w:cs="Times New Roman"/>
                <w:b/>
                <w:bCs/>
                <w:color w:val="000000"/>
              </w:rPr>
              <w:t>Budget</w:t>
            </w:r>
          </w:p>
        </w:tc>
      </w:tr>
      <w:tr w:rsidR="00FC0D6A" w:rsidRPr="00C459A7" w14:paraId="60CFFB30" w14:textId="77777777" w:rsidTr="00FC0D6A">
        <w:trPr>
          <w:trHeight w:val="607"/>
        </w:trPr>
        <w:tc>
          <w:tcPr>
            <w:tcW w:w="1179" w:type="dxa"/>
            <w:shd w:val="clear" w:color="000000" w:fill="FFF2CC"/>
            <w:vAlign w:val="center"/>
            <w:hideMark/>
          </w:tcPr>
          <w:p w14:paraId="0F6E4FE6" w14:textId="77777777" w:rsidR="00FC0D6A" w:rsidRPr="00493546" w:rsidRDefault="00FC0D6A" w:rsidP="00AE7E0F">
            <w:pPr>
              <w:spacing w:after="0" w:line="240" w:lineRule="auto"/>
              <w:jc w:val="center"/>
              <w:rPr>
                <w:rFonts w:eastAsia="Times New Roman" w:cstheme="minorHAnsi"/>
                <w:color w:val="000000"/>
              </w:rPr>
            </w:pPr>
            <w:r w:rsidRPr="00493546">
              <w:rPr>
                <w:rFonts w:eastAsia="Times New Roman" w:cstheme="minorHAnsi"/>
                <w:color w:val="000000"/>
              </w:rPr>
              <w:t>2018</w:t>
            </w:r>
          </w:p>
        </w:tc>
        <w:tc>
          <w:tcPr>
            <w:tcW w:w="3567" w:type="dxa"/>
            <w:shd w:val="clear" w:color="000000" w:fill="FFF2CC"/>
            <w:vAlign w:val="center"/>
          </w:tcPr>
          <w:p w14:paraId="15FBE05B" w14:textId="7FD980CF" w:rsidR="00FC0D6A" w:rsidRPr="00493546" w:rsidRDefault="00FC0D6A" w:rsidP="00AE7E0F">
            <w:pPr>
              <w:spacing w:after="0" w:line="240" w:lineRule="auto"/>
              <w:jc w:val="center"/>
              <w:rPr>
                <w:rFonts w:eastAsia="Times New Roman" w:cstheme="minorHAnsi"/>
                <w:color w:val="000000"/>
              </w:rPr>
            </w:pPr>
            <w:r w:rsidRPr="00493546">
              <w:rPr>
                <w:rFonts w:cstheme="minorHAnsi"/>
                <w:color w:val="000000"/>
              </w:rPr>
              <w:t>UNV Support to enhancing capacity of United Nations Plan of Action on Disaster Risk Reduction for Resilience in South and East Asia and Pacific</w:t>
            </w:r>
          </w:p>
        </w:tc>
        <w:tc>
          <w:tcPr>
            <w:tcW w:w="1189" w:type="dxa"/>
            <w:shd w:val="clear" w:color="000000" w:fill="FFF2CC"/>
            <w:vAlign w:val="center"/>
          </w:tcPr>
          <w:p w14:paraId="7ADAC691" w14:textId="6F1D6134" w:rsidR="00FC0D6A" w:rsidRPr="00493546" w:rsidRDefault="00FC0D6A" w:rsidP="00AE7E0F">
            <w:pPr>
              <w:spacing w:after="0" w:line="240" w:lineRule="auto"/>
              <w:jc w:val="center"/>
              <w:rPr>
                <w:rFonts w:eastAsia="Times New Roman" w:cstheme="minorHAnsi"/>
                <w:color w:val="000000"/>
              </w:rPr>
            </w:pPr>
            <w:r w:rsidRPr="00493546">
              <w:rPr>
                <w:rFonts w:eastAsia="Times New Roman" w:cstheme="minorHAnsi"/>
                <w:color w:val="000000"/>
              </w:rPr>
              <w:t>ROAP</w:t>
            </w:r>
          </w:p>
        </w:tc>
        <w:tc>
          <w:tcPr>
            <w:tcW w:w="1715" w:type="dxa"/>
            <w:shd w:val="clear" w:color="000000" w:fill="FFF2CC"/>
            <w:vAlign w:val="center"/>
          </w:tcPr>
          <w:p w14:paraId="36009BC4" w14:textId="2B59B4E7" w:rsidR="00FC0D6A" w:rsidRPr="00493546" w:rsidRDefault="00FC0D6A" w:rsidP="00AE7E0F">
            <w:pPr>
              <w:spacing w:after="0" w:line="240" w:lineRule="auto"/>
              <w:jc w:val="center"/>
              <w:rPr>
                <w:rFonts w:eastAsia="Times New Roman" w:cstheme="minorHAnsi"/>
                <w:color w:val="000000"/>
              </w:rPr>
            </w:pPr>
            <w:r w:rsidRPr="00493546">
              <w:rPr>
                <w:rFonts w:eastAsia="Times New Roman" w:cstheme="minorHAnsi"/>
                <w:color w:val="000000"/>
              </w:rPr>
              <w:t>2014-2017</w:t>
            </w:r>
          </w:p>
        </w:tc>
        <w:tc>
          <w:tcPr>
            <w:tcW w:w="1646" w:type="dxa"/>
            <w:shd w:val="clear" w:color="000000" w:fill="FFF2CC"/>
            <w:vAlign w:val="center"/>
          </w:tcPr>
          <w:p w14:paraId="3BC3DFAB" w14:textId="4899E734" w:rsidR="00FC0D6A" w:rsidRPr="00493546" w:rsidRDefault="00FC0D6A" w:rsidP="00AE7E0F">
            <w:pPr>
              <w:spacing w:after="0" w:line="240" w:lineRule="auto"/>
              <w:jc w:val="center"/>
              <w:rPr>
                <w:rFonts w:eastAsia="Times New Roman" w:cstheme="minorHAnsi"/>
                <w:color w:val="000000"/>
              </w:rPr>
            </w:pPr>
            <w:r w:rsidRPr="00493546">
              <w:rPr>
                <w:rFonts w:eastAsia="Times New Roman" w:cstheme="minorHAnsi"/>
                <w:color w:val="000000"/>
              </w:rPr>
              <w:t>Project</w:t>
            </w:r>
          </w:p>
        </w:tc>
        <w:tc>
          <w:tcPr>
            <w:tcW w:w="1706" w:type="dxa"/>
            <w:shd w:val="clear" w:color="000000" w:fill="FFF2CC"/>
            <w:vAlign w:val="center"/>
          </w:tcPr>
          <w:p w14:paraId="64687C82" w14:textId="555B7CD8" w:rsidR="00FC0D6A" w:rsidRPr="00493546" w:rsidRDefault="00FC0D6A" w:rsidP="00AE7E0F">
            <w:pPr>
              <w:spacing w:after="0" w:line="240" w:lineRule="auto"/>
              <w:jc w:val="center"/>
              <w:rPr>
                <w:rFonts w:eastAsia="Times New Roman" w:cstheme="minorHAnsi"/>
                <w:color w:val="000000"/>
              </w:rPr>
            </w:pPr>
            <w:r w:rsidRPr="00493546">
              <w:rPr>
                <w:rFonts w:eastAsia="Times New Roman" w:cstheme="minorHAnsi"/>
                <w:color w:val="000000"/>
              </w:rPr>
              <w:t>June 2018</w:t>
            </w:r>
          </w:p>
        </w:tc>
        <w:tc>
          <w:tcPr>
            <w:tcW w:w="1348" w:type="dxa"/>
            <w:shd w:val="clear" w:color="000000" w:fill="FFF2CC"/>
            <w:vAlign w:val="center"/>
          </w:tcPr>
          <w:p w14:paraId="177D7BD1" w14:textId="7F5CBF51" w:rsidR="00FC0D6A" w:rsidRPr="00493546" w:rsidRDefault="00FC0D6A" w:rsidP="00AE7E0F">
            <w:pPr>
              <w:spacing w:after="0" w:line="240" w:lineRule="auto"/>
              <w:jc w:val="center"/>
              <w:rPr>
                <w:rFonts w:eastAsia="Times New Roman" w:cstheme="minorHAnsi"/>
                <w:color w:val="000000"/>
              </w:rPr>
            </w:pPr>
            <w:r w:rsidRPr="00493546">
              <w:rPr>
                <w:rFonts w:eastAsia="Times New Roman" w:cstheme="minorHAnsi"/>
                <w:color w:val="000000"/>
              </w:rPr>
              <w:t>October 2018</w:t>
            </w:r>
          </w:p>
        </w:tc>
        <w:tc>
          <w:tcPr>
            <w:tcW w:w="1124" w:type="dxa"/>
            <w:shd w:val="clear" w:color="000000" w:fill="FFF2CC"/>
            <w:vAlign w:val="center"/>
          </w:tcPr>
          <w:p w14:paraId="4403CCAE" w14:textId="6FCCA070" w:rsidR="00FC0D6A" w:rsidRPr="00493546" w:rsidRDefault="00FC0D6A" w:rsidP="00AE7E0F">
            <w:pPr>
              <w:spacing w:after="0" w:line="240" w:lineRule="auto"/>
              <w:jc w:val="center"/>
              <w:rPr>
                <w:rFonts w:eastAsia="Times New Roman" w:cstheme="minorHAnsi"/>
                <w:color w:val="000000"/>
              </w:rPr>
            </w:pPr>
            <w:r w:rsidRPr="00493546">
              <w:rPr>
                <w:rFonts w:eastAsia="Times New Roman" w:cstheme="minorHAnsi"/>
                <w:color w:val="000000"/>
              </w:rPr>
              <w:t>$20,500</w:t>
            </w:r>
          </w:p>
        </w:tc>
      </w:tr>
      <w:tr w:rsidR="00FC0D6A" w:rsidRPr="00C459A7" w14:paraId="4FBD5A4D" w14:textId="77777777" w:rsidTr="00493546">
        <w:trPr>
          <w:trHeight w:val="607"/>
        </w:trPr>
        <w:tc>
          <w:tcPr>
            <w:tcW w:w="1179" w:type="dxa"/>
            <w:shd w:val="clear" w:color="auto" w:fill="FFF2CC" w:themeFill="accent4" w:themeFillTint="33"/>
            <w:noWrap/>
            <w:vAlign w:val="center"/>
            <w:hideMark/>
          </w:tcPr>
          <w:p w14:paraId="092308C1" w14:textId="07A242AF" w:rsidR="00FC0D6A" w:rsidRPr="00493546" w:rsidRDefault="00FC0D6A" w:rsidP="00FC0D6A">
            <w:pPr>
              <w:spacing w:after="0" w:line="240" w:lineRule="auto"/>
              <w:jc w:val="center"/>
              <w:rPr>
                <w:rFonts w:eastAsia="Times New Roman" w:cstheme="minorHAnsi"/>
                <w:color w:val="000000"/>
              </w:rPr>
            </w:pPr>
            <w:r w:rsidRPr="00493546">
              <w:rPr>
                <w:rFonts w:eastAsia="Times New Roman" w:cstheme="minorHAnsi"/>
                <w:color w:val="000000"/>
              </w:rPr>
              <w:t>201</w:t>
            </w:r>
            <w:r w:rsidR="00493546" w:rsidRPr="00493546">
              <w:rPr>
                <w:rFonts w:eastAsia="Times New Roman" w:cstheme="minorHAnsi"/>
                <w:color w:val="000000"/>
              </w:rPr>
              <w:t>8</w:t>
            </w:r>
          </w:p>
        </w:tc>
        <w:tc>
          <w:tcPr>
            <w:tcW w:w="3567" w:type="dxa"/>
            <w:shd w:val="clear" w:color="auto" w:fill="FFF2CC" w:themeFill="accent4" w:themeFillTint="33"/>
            <w:vAlign w:val="center"/>
          </w:tcPr>
          <w:p w14:paraId="20138A97" w14:textId="70A21F42" w:rsidR="00FC0D6A" w:rsidRPr="00493546" w:rsidRDefault="00FC0D6A" w:rsidP="00FC0D6A">
            <w:pPr>
              <w:spacing w:after="0" w:line="240" w:lineRule="auto"/>
              <w:jc w:val="center"/>
              <w:rPr>
                <w:rFonts w:eastAsia="Times New Roman" w:cstheme="minorHAnsi"/>
                <w:color w:val="000000"/>
                <w:lang w:val="da-DK"/>
              </w:rPr>
            </w:pPr>
            <w:r w:rsidRPr="00493546">
              <w:rPr>
                <w:rFonts w:cstheme="minorHAnsi"/>
                <w:color w:val="000000"/>
                <w:lang w:val="da-DK"/>
              </w:rPr>
              <w:t>Appui á la mise en place du programme national de volontariat en Cote D’Ivoire</w:t>
            </w:r>
          </w:p>
        </w:tc>
        <w:tc>
          <w:tcPr>
            <w:tcW w:w="1189" w:type="dxa"/>
            <w:shd w:val="clear" w:color="auto" w:fill="FFF2CC" w:themeFill="accent4" w:themeFillTint="33"/>
            <w:noWrap/>
            <w:vAlign w:val="center"/>
          </w:tcPr>
          <w:p w14:paraId="28B8785B" w14:textId="4A5F0C1F" w:rsidR="00FC0D6A" w:rsidRPr="00493546" w:rsidRDefault="00F95170" w:rsidP="00FC0D6A">
            <w:pPr>
              <w:spacing w:after="0" w:line="240" w:lineRule="auto"/>
              <w:jc w:val="center"/>
              <w:rPr>
                <w:rFonts w:eastAsia="Times New Roman" w:cstheme="minorHAnsi"/>
                <w:color w:val="000000"/>
              </w:rPr>
            </w:pPr>
            <w:r>
              <w:rPr>
                <w:rFonts w:eastAsia="Times New Roman" w:cstheme="minorHAnsi"/>
                <w:color w:val="000000"/>
                <w:lang w:val="da-DK"/>
              </w:rPr>
              <w:t xml:space="preserve">Cote d’Ivoire/ </w:t>
            </w:r>
            <w:r w:rsidR="00FC0D6A" w:rsidRPr="00493546">
              <w:rPr>
                <w:rFonts w:eastAsia="Times New Roman" w:cstheme="minorHAnsi"/>
                <w:color w:val="000000"/>
                <w:lang w:val="da-DK"/>
              </w:rPr>
              <w:t>ROWCA</w:t>
            </w:r>
          </w:p>
        </w:tc>
        <w:tc>
          <w:tcPr>
            <w:tcW w:w="1715" w:type="dxa"/>
            <w:shd w:val="clear" w:color="auto" w:fill="FFF2CC" w:themeFill="accent4" w:themeFillTint="33"/>
            <w:noWrap/>
            <w:vAlign w:val="center"/>
          </w:tcPr>
          <w:p w14:paraId="47EE090F" w14:textId="1567AFB4" w:rsidR="00FC0D6A" w:rsidRPr="00493546" w:rsidRDefault="00FC0D6A" w:rsidP="00FC0D6A">
            <w:pPr>
              <w:spacing w:after="0" w:line="240" w:lineRule="auto"/>
              <w:jc w:val="center"/>
              <w:rPr>
                <w:rFonts w:eastAsia="Times New Roman" w:cstheme="minorHAnsi"/>
                <w:color w:val="000000"/>
              </w:rPr>
            </w:pPr>
            <w:r w:rsidRPr="00493546">
              <w:rPr>
                <w:rFonts w:eastAsia="Times New Roman" w:cstheme="minorHAnsi"/>
                <w:color w:val="000000"/>
                <w:lang w:val="da-DK"/>
              </w:rPr>
              <w:t>2016-2019</w:t>
            </w:r>
          </w:p>
        </w:tc>
        <w:tc>
          <w:tcPr>
            <w:tcW w:w="1646" w:type="dxa"/>
            <w:shd w:val="clear" w:color="auto" w:fill="FFF2CC" w:themeFill="accent4" w:themeFillTint="33"/>
            <w:vAlign w:val="center"/>
          </w:tcPr>
          <w:p w14:paraId="1B5568BD" w14:textId="211EDC1E" w:rsidR="00FC0D6A" w:rsidRPr="00493546" w:rsidRDefault="00FC0D6A" w:rsidP="00FC0D6A">
            <w:pPr>
              <w:spacing w:after="0" w:line="240" w:lineRule="auto"/>
              <w:jc w:val="center"/>
              <w:rPr>
                <w:rFonts w:eastAsia="Times New Roman" w:cstheme="minorHAnsi"/>
                <w:color w:val="000000"/>
              </w:rPr>
            </w:pPr>
            <w:r w:rsidRPr="00493546">
              <w:rPr>
                <w:rFonts w:eastAsia="Times New Roman" w:cstheme="minorHAnsi"/>
                <w:color w:val="000000"/>
              </w:rPr>
              <w:t>Project</w:t>
            </w:r>
          </w:p>
        </w:tc>
        <w:tc>
          <w:tcPr>
            <w:tcW w:w="1706" w:type="dxa"/>
            <w:shd w:val="clear" w:color="auto" w:fill="FFF2CC" w:themeFill="accent4" w:themeFillTint="33"/>
            <w:noWrap/>
            <w:vAlign w:val="center"/>
          </w:tcPr>
          <w:p w14:paraId="369FD40E" w14:textId="383A6752" w:rsidR="00FC0D6A" w:rsidRPr="00493546" w:rsidRDefault="00493546" w:rsidP="00FC0D6A">
            <w:pPr>
              <w:spacing w:after="0" w:line="240" w:lineRule="auto"/>
              <w:jc w:val="center"/>
              <w:rPr>
                <w:rFonts w:eastAsia="Times New Roman" w:cstheme="minorHAnsi"/>
                <w:color w:val="000000"/>
              </w:rPr>
            </w:pPr>
            <w:r>
              <w:rPr>
                <w:rFonts w:eastAsia="Times New Roman" w:cstheme="minorHAnsi"/>
                <w:color w:val="000000"/>
              </w:rPr>
              <w:t>July 2018</w:t>
            </w:r>
          </w:p>
        </w:tc>
        <w:tc>
          <w:tcPr>
            <w:tcW w:w="1348" w:type="dxa"/>
            <w:shd w:val="clear" w:color="auto" w:fill="FFF2CC" w:themeFill="accent4" w:themeFillTint="33"/>
            <w:noWrap/>
            <w:vAlign w:val="center"/>
          </w:tcPr>
          <w:p w14:paraId="2C96FC2C" w14:textId="48705123" w:rsidR="00FC0D6A" w:rsidRPr="00493546" w:rsidRDefault="00493546" w:rsidP="00FC0D6A">
            <w:pPr>
              <w:spacing w:after="0" w:line="240" w:lineRule="auto"/>
              <w:jc w:val="center"/>
              <w:rPr>
                <w:rFonts w:eastAsia="Times New Roman" w:cstheme="minorHAnsi"/>
                <w:color w:val="000000"/>
              </w:rPr>
            </w:pPr>
            <w:r>
              <w:rPr>
                <w:rFonts w:eastAsia="Times New Roman" w:cstheme="minorHAnsi"/>
                <w:color w:val="000000"/>
              </w:rPr>
              <w:t>Sept 2018</w:t>
            </w:r>
          </w:p>
        </w:tc>
        <w:tc>
          <w:tcPr>
            <w:tcW w:w="1124" w:type="dxa"/>
            <w:shd w:val="clear" w:color="auto" w:fill="FFF2CC" w:themeFill="accent4" w:themeFillTint="33"/>
            <w:noWrap/>
            <w:vAlign w:val="center"/>
          </w:tcPr>
          <w:p w14:paraId="3754EAB8" w14:textId="6864ADA0" w:rsidR="00FC0D6A" w:rsidRPr="00493546" w:rsidRDefault="00FC0D6A" w:rsidP="00FC0D6A">
            <w:pPr>
              <w:spacing w:after="0" w:line="240" w:lineRule="auto"/>
              <w:jc w:val="center"/>
              <w:rPr>
                <w:rFonts w:eastAsia="Times New Roman" w:cstheme="minorHAnsi"/>
                <w:color w:val="000000"/>
              </w:rPr>
            </w:pPr>
            <w:r w:rsidRPr="00493546">
              <w:rPr>
                <w:rFonts w:eastAsia="Times New Roman" w:cstheme="minorHAnsi"/>
                <w:color w:val="000000"/>
              </w:rPr>
              <w:t>$20,000</w:t>
            </w:r>
          </w:p>
        </w:tc>
      </w:tr>
      <w:tr w:rsidR="007D60EB" w:rsidRPr="00C459A7" w14:paraId="3FFFD2A3" w14:textId="77777777" w:rsidTr="00FC0D6A">
        <w:trPr>
          <w:trHeight w:val="607"/>
        </w:trPr>
        <w:tc>
          <w:tcPr>
            <w:tcW w:w="1179" w:type="dxa"/>
            <w:shd w:val="clear" w:color="000000" w:fill="F8CBAD"/>
            <w:noWrap/>
            <w:vAlign w:val="center"/>
          </w:tcPr>
          <w:p w14:paraId="4F3F72E0" w14:textId="7522D364" w:rsidR="007D60EB" w:rsidRPr="00493546" w:rsidRDefault="007D60EB" w:rsidP="00FC0D6A">
            <w:pPr>
              <w:spacing w:after="0" w:line="240" w:lineRule="auto"/>
              <w:jc w:val="center"/>
              <w:rPr>
                <w:rFonts w:eastAsia="Times New Roman" w:cstheme="minorHAnsi"/>
                <w:color w:val="000000"/>
              </w:rPr>
            </w:pPr>
            <w:r w:rsidRPr="00493546">
              <w:rPr>
                <w:rFonts w:eastAsia="Times New Roman" w:cstheme="minorHAnsi"/>
                <w:color w:val="000000"/>
              </w:rPr>
              <w:t>2019</w:t>
            </w:r>
          </w:p>
        </w:tc>
        <w:tc>
          <w:tcPr>
            <w:tcW w:w="3567" w:type="dxa"/>
            <w:shd w:val="clear" w:color="000000" w:fill="F8CBAD"/>
            <w:vAlign w:val="center"/>
          </w:tcPr>
          <w:p w14:paraId="5026E326" w14:textId="776DAE32" w:rsidR="007D60EB" w:rsidRPr="00493546" w:rsidRDefault="007D60EB" w:rsidP="00FC0D6A">
            <w:pPr>
              <w:spacing w:after="0" w:line="240" w:lineRule="auto"/>
              <w:jc w:val="center"/>
              <w:rPr>
                <w:rFonts w:cstheme="minorHAnsi"/>
                <w:color w:val="000000"/>
              </w:rPr>
            </w:pPr>
            <w:r w:rsidRPr="00493546">
              <w:rPr>
                <w:rFonts w:cstheme="minorHAnsi"/>
                <w:color w:val="000000"/>
              </w:rPr>
              <w:t>Evaluation of the collaboration between UNV and UNICEF* and volunteers’ contribution towards achieving results in UNICEF.</w:t>
            </w:r>
          </w:p>
        </w:tc>
        <w:tc>
          <w:tcPr>
            <w:tcW w:w="1189" w:type="dxa"/>
            <w:shd w:val="clear" w:color="000000" w:fill="F8CBAD"/>
            <w:noWrap/>
            <w:vAlign w:val="center"/>
          </w:tcPr>
          <w:p w14:paraId="7EE51898" w14:textId="0F549217" w:rsidR="007D60EB" w:rsidRPr="00493546" w:rsidRDefault="007D60EB" w:rsidP="00FC0D6A">
            <w:pPr>
              <w:spacing w:after="0" w:line="240" w:lineRule="auto"/>
              <w:jc w:val="center"/>
              <w:rPr>
                <w:rFonts w:eastAsia="Times New Roman" w:cstheme="minorHAnsi"/>
                <w:color w:val="000000"/>
              </w:rPr>
            </w:pPr>
            <w:r w:rsidRPr="00493546">
              <w:rPr>
                <w:rFonts w:eastAsia="Times New Roman" w:cstheme="minorHAnsi"/>
                <w:color w:val="000000"/>
              </w:rPr>
              <w:t>Global</w:t>
            </w:r>
          </w:p>
        </w:tc>
        <w:tc>
          <w:tcPr>
            <w:tcW w:w="1715" w:type="dxa"/>
            <w:shd w:val="clear" w:color="000000" w:fill="F8CBAD"/>
            <w:noWrap/>
            <w:vAlign w:val="center"/>
          </w:tcPr>
          <w:p w14:paraId="35ED7FB9" w14:textId="59D00256" w:rsidR="007D60EB" w:rsidRPr="00493546" w:rsidRDefault="007D60EB" w:rsidP="00FC0D6A">
            <w:pPr>
              <w:spacing w:after="0" w:line="240" w:lineRule="auto"/>
              <w:jc w:val="center"/>
              <w:rPr>
                <w:rFonts w:eastAsia="Times New Roman" w:cstheme="minorHAnsi"/>
                <w:color w:val="000000"/>
              </w:rPr>
            </w:pPr>
            <w:r w:rsidRPr="00493546">
              <w:rPr>
                <w:rFonts w:eastAsia="Times New Roman" w:cstheme="minorHAnsi"/>
                <w:color w:val="000000"/>
              </w:rPr>
              <w:t>Ongoing partnership</w:t>
            </w:r>
          </w:p>
        </w:tc>
        <w:tc>
          <w:tcPr>
            <w:tcW w:w="1646" w:type="dxa"/>
            <w:shd w:val="clear" w:color="000000" w:fill="F8CBAD"/>
            <w:vAlign w:val="center"/>
          </w:tcPr>
          <w:p w14:paraId="7349A376" w14:textId="1B4250EB" w:rsidR="007D60EB" w:rsidRPr="00493546" w:rsidRDefault="007D60EB" w:rsidP="00FC0D6A">
            <w:pPr>
              <w:spacing w:after="0" w:line="240" w:lineRule="auto"/>
              <w:jc w:val="center"/>
              <w:rPr>
                <w:rFonts w:eastAsia="Times New Roman" w:cstheme="minorHAnsi"/>
                <w:color w:val="000000"/>
              </w:rPr>
            </w:pPr>
            <w:r w:rsidRPr="00493546">
              <w:rPr>
                <w:rFonts w:eastAsia="Times New Roman" w:cstheme="minorHAnsi"/>
                <w:color w:val="000000"/>
              </w:rPr>
              <w:t>Impact</w:t>
            </w:r>
          </w:p>
        </w:tc>
        <w:tc>
          <w:tcPr>
            <w:tcW w:w="1706" w:type="dxa"/>
            <w:shd w:val="clear" w:color="000000" w:fill="F8CBAD"/>
            <w:noWrap/>
            <w:vAlign w:val="center"/>
          </w:tcPr>
          <w:p w14:paraId="6B10DC1A" w14:textId="58172CEA" w:rsidR="007D60EB" w:rsidRPr="00493546" w:rsidRDefault="007D60EB" w:rsidP="00FC0D6A">
            <w:pPr>
              <w:spacing w:after="0" w:line="240" w:lineRule="auto"/>
              <w:jc w:val="center"/>
              <w:rPr>
                <w:rFonts w:eastAsia="Times New Roman" w:cstheme="minorHAnsi"/>
                <w:color w:val="000000"/>
              </w:rPr>
            </w:pPr>
            <w:r w:rsidRPr="00493546">
              <w:rPr>
                <w:rFonts w:eastAsia="Times New Roman" w:cstheme="minorHAnsi"/>
                <w:color w:val="000000"/>
              </w:rPr>
              <w:t>TBC</w:t>
            </w:r>
          </w:p>
        </w:tc>
        <w:tc>
          <w:tcPr>
            <w:tcW w:w="1348" w:type="dxa"/>
            <w:shd w:val="clear" w:color="000000" w:fill="F8CBAD"/>
            <w:noWrap/>
            <w:vAlign w:val="center"/>
          </w:tcPr>
          <w:p w14:paraId="00D8C391" w14:textId="0CE36E7D" w:rsidR="007D60EB" w:rsidRPr="00493546" w:rsidRDefault="007D60EB" w:rsidP="00FC0D6A">
            <w:pPr>
              <w:spacing w:after="0" w:line="240" w:lineRule="auto"/>
              <w:jc w:val="center"/>
              <w:rPr>
                <w:rFonts w:eastAsia="Times New Roman" w:cstheme="minorHAnsi"/>
                <w:color w:val="000000"/>
              </w:rPr>
            </w:pPr>
            <w:r w:rsidRPr="00493546">
              <w:rPr>
                <w:rFonts w:eastAsia="Times New Roman" w:cstheme="minorHAnsi"/>
                <w:color w:val="000000"/>
              </w:rPr>
              <w:t>TBC</w:t>
            </w:r>
          </w:p>
        </w:tc>
        <w:tc>
          <w:tcPr>
            <w:tcW w:w="1124" w:type="dxa"/>
            <w:shd w:val="clear" w:color="000000" w:fill="F8CBAD"/>
            <w:noWrap/>
            <w:vAlign w:val="center"/>
          </w:tcPr>
          <w:p w14:paraId="16D3375E" w14:textId="375C5D89" w:rsidR="007D60EB" w:rsidRPr="00493546" w:rsidRDefault="007D60EB" w:rsidP="00FC0D6A">
            <w:pPr>
              <w:spacing w:after="0" w:line="240" w:lineRule="auto"/>
              <w:jc w:val="center"/>
              <w:rPr>
                <w:rFonts w:eastAsia="Times New Roman" w:cstheme="minorHAnsi"/>
                <w:color w:val="000000"/>
              </w:rPr>
            </w:pPr>
            <w:r w:rsidRPr="00493546">
              <w:rPr>
                <w:rFonts w:eastAsia="Times New Roman" w:cstheme="minorHAnsi"/>
                <w:color w:val="000000"/>
              </w:rPr>
              <w:t>$50,000</w:t>
            </w:r>
          </w:p>
        </w:tc>
      </w:tr>
      <w:tr w:rsidR="00F95170" w:rsidRPr="00C459A7" w14:paraId="267C2B63" w14:textId="77777777" w:rsidTr="00FC0D6A">
        <w:trPr>
          <w:trHeight w:val="607"/>
        </w:trPr>
        <w:tc>
          <w:tcPr>
            <w:tcW w:w="1179" w:type="dxa"/>
            <w:shd w:val="clear" w:color="000000" w:fill="F8CBAD"/>
            <w:noWrap/>
            <w:vAlign w:val="center"/>
          </w:tcPr>
          <w:p w14:paraId="6119F396" w14:textId="1534F25D" w:rsidR="00F95170" w:rsidRDefault="00F95170" w:rsidP="00FC0D6A">
            <w:pPr>
              <w:spacing w:after="0" w:line="240" w:lineRule="auto"/>
              <w:jc w:val="center"/>
              <w:rPr>
                <w:rFonts w:eastAsia="Times New Roman" w:cstheme="minorHAnsi"/>
                <w:color w:val="000000"/>
              </w:rPr>
            </w:pPr>
            <w:r>
              <w:rPr>
                <w:rFonts w:eastAsia="Times New Roman" w:cstheme="minorHAnsi"/>
                <w:color w:val="000000"/>
              </w:rPr>
              <w:t>2019</w:t>
            </w:r>
          </w:p>
        </w:tc>
        <w:tc>
          <w:tcPr>
            <w:tcW w:w="3567" w:type="dxa"/>
            <w:shd w:val="clear" w:color="000000" w:fill="F8CBAD"/>
            <w:vAlign w:val="center"/>
          </w:tcPr>
          <w:p w14:paraId="3BA2BAA7" w14:textId="3E25F508" w:rsidR="00F95170" w:rsidRDefault="00F95170" w:rsidP="00FC0D6A">
            <w:pPr>
              <w:spacing w:after="0" w:line="240" w:lineRule="auto"/>
              <w:jc w:val="center"/>
              <w:rPr>
                <w:rFonts w:cstheme="minorHAnsi"/>
                <w:color w:val="000000"/>
              </w:rPr>
            </w:pPr>
            <w:r>
              <w:rPr>
                <w:lang w:val="en-GB"/>
              </w:rPr>
              <w:t>Poverty Reduction among youth in Cambodia – Development of youth volunteers’ skill sets for increased employability</w:t>
            </w:r>
          </w:p>
        </w:tc>
        <w:tc>
          <w:tcPr>
            <w:tcW w:w="1189" w:type="dxa"/>
            <w:shd w:val="clear" w:color="000000" w:fill="F8CBAD"/>
            <w:noWrap/>
            <w:vAlign w:val="center"/>
          </w:tcPr>
          <w:p w14:paraId="6CDF677D" w14:textId="55466FAD" w:rsidR="00F95170" w:rsidRDefault="00F95170" w:rsidP="00FC0D6A">
            <w:pPr>
              <w:spacing w:after="0" w:line="240" w:lineRule="auto"/>
              <w:jc w:val="center"/>
              <w:rPr>
                <w:rFonts w:eastAsia="Times New Roman" w:cstheme="minorHAnsi"/>
                <w:color w:val="000000"/>
              </w:rPr>
            </w:pPr>
            <w:r>
              <w:rPr>
                <w:rFonts w:eastAsia="Times New Roman" w:cstheme="minorHAnsi"/>
                <w:color w:val="000000"/>
              </w:rPr>
              <w:t>Cambodia/ROAP</w:t>
            </w:r>
          </w:p>
        </w:tc>
        <w:tc>
          <w:tcPr>
            <w:tcW w:w="1715" w:type="dxa"/>
            <w:shd w:val="clear" w:color="000000" w:fill="F8CBAD"/>
            <w:noWrap/>
            <w:vAlign w:val="center"/>
          </w:tcPr>
          <w:p w14:paraId="519229E9" w14:textId="4F4DEB6D" w:rsidR="00F95170" w:rsidRDefault="00F95170" w:rsidP="00FC0D6A">
            <w:pPr>
              <w:spacing w:after="0" w:line="240" w:lineRule="auto"/>
              <w:jc w:val="center"/>
              <w:rPr>
                <w:rFonts w:eastAsia="Times New Roman" w:cstheme="minorHAnsi"/>
                <w:color w:val="000000"/>
              </w:rPr>
            </w:pPr>
            <w:r>
              <w:rPr>
                <w:rFonts w:eastAsia="Times New Roman" w:cstheme="minorHAnsi"/>
                <w:color w:val="000000"/>
              </w:rPr>
              <w:t>2018-2019</w:t>
            </w:r>
          </w:p>
        </w:tc>
        <w:tc>
          <w:tcPr>
            <w:tcW w:w="1646" w:type="dxa"/>
            <w:shd w:val="clear" w:color="000000" w:fill="F8CBAD"/>
            <w:vAlign w:val="center"/>
          </w:tcPr>
          <w:p w14:paraId="6F5EA117" w14:textId="29230B63" w:rsidR="00F95170" w:rsidRDefault="00F95170" w:rsidP="00FC0D6A">
            <w:pPr>
              <w:spacing w:after="0" w:line="240" w:lineRule="auto"/>
              <w:jc w:val="center"/>
              <w:rPr>
                <w:rFonts w:eastAsia="Times New Roman" w:cstheme="minorHAnsi"/>
                <w:color w:val="000000"/>
              </w:rPr>
            </w:pPr>
            <w:r>
              <w:rPr>
                <w:rFonts w:eastAsia="Times New Roman" w:cstheme="minorHAnsi"/>
                <w:color w:val="000000"/>
              </w:rPr>
              <w:t>Project</w:t>
            </w:r>
          </w:p>
        </w:tc>
        <w:tc>
          <w:tcPr>
            <w:tcW w:w="1706" w:type="dxa"/>
            <w:shd w:val="clear" w:color="000000" w:fill="F8CBAD"/>
            <w:noWrap/>
            <w:vAlign w:val="center"/>
          </w:tcPr>
          <w:p w14:paraId="1C56DA35" w14:textId="6BA6E241" w:rsidR="00F95170" w:rsidRDefault="00F95170" w:rsidP="00FC0D6A">
            <w:pPr>
              <w:spacing w:after="0" w:line="240" w:lineRule="auto"/>
              <w:jc w:val="center"/>
              <w:rPr>
                <w:rFonts w:eastAsia="Times New Roman" w:cstheme="minorHAnsi"/>
                <w:color w:val="000000"/>
              </w:rPr>
            </w:pPr>
            <w:r>
              <w:rPr>
                <w:rFonts w:eastAsia="Times New Roman" w:cstheme="minorHAnsi"/>
                <w:color w:val="000000"/>
              </w:rPr>
              <w:t>Q3</w:t>
            </w:r>
          </w:p>
        </w:tc>
        <w:tc>
          <w:tcPr>
            <w:tcW w:w="1348" w:type="dxa"/>
            <w:shd w:val="clear" w:color="000000" w:fill="F8CBAD"/>
            <w:noWrap/>
            <w:vAlign w:val="center"/>
          </w:tcPr>
          <w:p w14:paraId="4AFDD7A1" w14:textId="292AD806" w:rsidR="00F95170" w:rsidRDefault="00F95170" w:rsidP="00FC0D6A">
            <w:pPr>
              <w:spacing w:after="0" w:line="240" w:lineRule="auto"/>
              <w:jc w:val="center"/>
              <w:rPr>
                <w:rFonts w:eastAsia="Times New Roman" w:cstheme="minorHAnsi"/>
                <w:color w:val="000000"/>
              </w:rPr>
            </w:pPr>
            <w:r>
              <w:rPr>
                <w:rFonts w:eastAsia="Times New Roman" w:cstheme="minorHAnsi"/>
                <w:color w:val="000000"/>
              </w:rPr>
              <w:t>Q4</w:t>
            </w:r>
          </w:p>
        </w:tc>
        <w:tc>
          <w:tcPr>
            <w:tcW w:w="1124" w:type="dxa"/>
            <w:shd w:val="clear" w:color="000000" w:fill="F8CBAD"/>
            <w:noWrap/>
            <w:vAlign w:val="center"/>
          </w:tcPr>
          <w:p w14:paraId="0746140F" w14:textId="01134017" w:rsidR="00F95170" w:rsidRDefault="00F95170" w:rsidP="00FC0D6A">
            <w:pPr>
              <w:spacing w:after="0" w:line="240" w:lineRule="auto"/>
              <w:jc w:val="center"/>
              <w:rPr>
                <w:rFonts w:eastAsia="Times New Roman" w:cstheme="minorHAnsi"/>
                <w:color w:val="000000"/>
              </w:rPr>
            </w:pPr>
            <w:r>
              <w:rPr>
                <w:rFonts w:eastAsia="Times New Roman" w:cstheme="minorHAnsi"/>
                <w:color w:val="000000"/>
              </w:rPr>
              <w:t>$10,000</w:t>
            </w:r>
          </w:p>
        </w:tc>
      </w:tr>
      <w:tr w:rsidR="00FC0D6A" w:rsidRPr="00C459A7" w14:paraId="1903CA8E" w14:textId="77777777" w:rsidTr="00FC0D6A">
        <w:trPr>
          <w:trHeight w:val="607"/>
        </w:trPr>
        <w:tc>
          <w:tcPr>
            <w:tcW w:w="1179" w:type="dxa"/>
            <w:shd w:val="clear" w:color="000000" w:fill="F8CBAD"/>
            <w:vAlign w:val="center"/>
            <w:hideMark/>
          </w:tcPr>
          <w:p w14:paraId="2E3E246D" w14:textId="77777777" w:rsidR="00FC0D6A" w:rsidRPr="00493546" w:rsidRDefault="00FC0D6A" w:rsidP="00FC0D6A">
            <w:pPr>
              <w:spacing w:after="0" w:line="240" w:lineRule="auto"/>
              <w:jc w:val="center"/>
              <w:rPr>
                <w:rFonts w:eastAsia="Times New Roman" w:cstheme="minorHAnsi"/>
                <w:color w:val="000000"/>
              </w:rPr>
            </w:pPr>
            <w:r w:rsidRPr="00493546">
              <w:rPr>
                <w:rFonts w:eastAsia="Times New Roman" w:cstheme="minorHAnsi"/>
                <w:color w:val="000000"/>
              </w:rPr>
              <w:t>2019</w:t>
            </w:r>
          </w:p>
        </w:tc>
        <w:tc>
          <w:tcPr>
            <w:tcW w:w="3567" w:type="dxa"/>
            <w:shd w:val="clear" w:color="000000" w:fill="F8CBAD"/>
            <w:vAlign w:val="center"/>
          </w:tcPr>
          <w:p w14:paraId="21082505" w14:textId="4589390C" w:rsidR="00FC0D6A" w:rsidRPr="00493546" w:rsidRDefault="002B4095" w:rsidP="00FC0D6A">
            <w:pPr>
              <w:spacing w:after="0" w:line="240" w:lineRule="auto"/>
              <w:jc w:val="center"/>
              <w:rPr>
                <w:rFonts w:eastAsia="Times New Roman" w:cstheme="minorHAnsi"/>
                <w:color w:val="000000"/>
                <w:lang w:val="fr-FR"/>
              </w:rPr>
            </w:pPr>
            <w:r w:rsidRPr="00493546">
              <w:rPr>
                <w:rFonts w:cstheme="minorHAnsi"/>
                <w:color w:val="000000"/>
              </w:rPr>
              <w:t xml:space="preserve">UNV’s Support to UN Peacebuilding Fund’s </w:t>
            </w:r>
            <w:r w:rsidR="00FC0D6A" w:rsidRPr="00493546">
              <w:rPr>
                <w:rFonts w:cstheme="minorHAnsi"/>
                <w:color w:val="000000"/>
              </w:rPr>
              <w:t>Gender Promotion Initiative</w:t>
            </w:r>
          </w:p>
        </w:tc>
        <w:tc>
          <w:tcPr>
            <w:tcW w:w="1189" w:type="dxa"/>
            <w:shd w:val="clear" w:color="000000" w:fill="F8CBAD"/>
            <w:vAlign w:val="center"/>
          </w:tcPr>
          <w:p w14:paraId="5080E5DD" w14:textId="4BE07975" w:rsidR="00FC0D6A" w:rsidRPr="00493546" w:rsidRDefault="00FC0D6A" w:rsidP="00FC0D6A">
            <w:pPr>
              <w:spacing w:after="0" w:line="240" w:lineRule="auto"/>
              <w:jc w:val="center"/>
              <w:rPr>
                <w:rFonts w:eastAsia="Times New Roman" w:cstheme="minorHAnsi"/>
                <w:color w:val="000000"/>
              </w:rPr>
            </w:pPr>
            <w:r w:rsidRPr="00493546">
              <w:rPr>
                <w:rFonts w:eastAsia="Times New Roman" w:cstheme="minorHAnsi"/>
                <w:color w:val="000000"/>
              </w:rPr>
              <w:t>Global</w:t>
            </w:r>
          </w:p>
        </w:tc>
        <w:tc>
          <w:tcPr>
            <w:tcW w:w="1715" w:type="dxa"/>
            <w:shd w:val="clear" w:color="000000" w:fill="F8CBAD"/>
            <w:vAlign w:val="center"/>
          </w:tcPr>
          <w:p w14:paraId="7BFF4033" w14:textId="2C495D05" w:rsidR="00FC0D6A" w:rsidRPr="00493546" w:rsidRDefault="00FC0D6A" w:rsidP="00FC0D6A">
            <w:pPr>
              <w:spacing w:after="0" w:line="240" w:lineRule="auto"/>
              <w:jc w:val="center"/>
              <w:rPr>
                <w:rFonts w:eastAsia="Times New Roman" w:cstheme="minorHAnsi"/>
                <w:color w:val="000000"/>
              </w:rPr>
            </w:pPr>
            <w:r w:rsidRPr="00493546">
              <w:rPr>
                <w:rFonts w:eastAsia="Times New Roman" w:cstheme="minorHAnsi"/>
                <w:color w:val="000000"/>
              </w:rPr>
              <w:t>2015-2019</w:t>
            </w:r>
          </w:p>
        </w:tc>
        <w:tc>
          <w:tcPr>
            <w:tcW w:w="1646" w:type="dxa"/>
            <w:shd w:val="clear" w:color="000000" w:fill="F8CBAD"/>
            <w:vAlign w:val="center"/>
          </w:tcPr>
          <w:p w14:paraId="0E1FDD7A" w14:textId="3815F786" w:rsidR="00FC0D6A" w:rsidRPr="00493546" w:rsidRDefault="00FC0D6A" w:rsidP="00FC0D6A">
            <w:pPr>
              <w:spacing w:after="0" w:line="240" w:lineRule="auto"/>
              <w:jc w:val="center"/>
              <w:rPr>
                <w:rFonts w:eastAsia="Times New Roman" w:cstheme="minorHAnsi"/>
                <w:color w:val="000000"/>
              </w:rPr>
            </w:pPr>
            <w:r w:rsidRPr="00493546">
              <w:rPr>
                <w:rFonts w:eastAsia="Times New Roman" w:cstheme="minorHAnsi"/>
                <w:color w:val="000000"/>
              </w:rPr>
              <w:t>Project</w:t>
            </w:r>
          </w:p>
        </w:tc>
        <w:tc>
          <w:tcPr>
            <w:tcW w:w="1706" w:type="dxa"/>
            <w:shd w:val="clear" w:color="000000" w:fill="F8CBAD"/>
            <w:vAlign w:val="center"/>
          </w:tcPr>
          <w:p w14:paraId="7780476A" w14:textId="33BCC42F" w:rsidR="00FC0D6A" w:rsidRPr="00493546" w:rsidRDefault="002B4095" w:rsidP="00FC0D6A">
            <w:pPr>
              <w:spacing w:after="0" w:line="240" w:lineRule="auto"/>
              <w:jc w:val="center"/>
              <w:rPr>
                <w:rFonts w:eastAsia="Times New Roman" w:cstheme="minorHAnsi"/>
                <w:color w:val="000000"/>
              </w:rPr>
            </w:pPr>
            <w:r w:rsidRPr="00493546">
              <w:rPr>
                <w:rFonts w:eastAsia="Times New Roman" w:cstheme="minorHAnsi"/>
                <w:color w:val="000000"/>
              </w:rPr>
              <w:t>TBC</w:t>
            </w:r>
          </w:p>
        </w:tc>
        <w:tc>
          <w:tcPr>
            <w:tcW w:w="1348" w:type="dxa"/>
            <w:shd w:val="clear" w:color="000000" w:fill="F8CBAD"/>
            <w:vAlign w:val="center"/>
          </w:tcPr>
          <w:p w14:paraId="0F40B342" w14:textId="1C6DA283" w:rsidR="00FC0D6A" w:rsidRPr="00493546" w:rsidRDefault="002B4095" w:rsidP="00FC0D6A">
            <w:pPr>
              <w:spacing w:after="0" w:line="240" w:lineRule="auto"/>
              <w:jc w:val="center"/>
              <w:rPr>
                <w:rFonts w:eastAsia="Times New Roman" w:cstheme="minorHAnsi"/>
                <w:color w:val="000000"/>
              </w:rPr>
            </w:pPr>
            <w:r w:rsidRPr="00493546">
              <w:rPr>
                <w:rFonts w:eastAsia="Times New Roman" w:cstheme="minorHAnsi"/>
                <w:color w:val="000000"/>
              </w:rPr>
              <w:t>TBC</w:t>
            </w:r>
          </w:p>
        </w:tc>
        <w:tc>
          <w:tcPr>
            <w:tcW w:w="1124" w:type="dxa"/>
            <w:shd w:val="clear" w:color="000000" w:fill="F8CBAD"/>
            <w:vAlign w:val="center"/>
          </w:tcPr>
          <w:p w14:paraId="4029A74B" w14:textId="0EDFD0D8" w:rsidR="00FC0D6A" w:rsidRPr="00493546" w:rsidRDefault="002B4095" w:rsidP="00FC0D6A">
            <w:pPr>
              <w:spacing w:after="0" w:line="240" w:lineRule="auto"/>
              <w:jc w:val="center"/>
              <w:rPr>
                <w:rFonts w:eastAsia="Times New Roman" w:cstheme="minorHAnsi"/>
                <w:color w:val="000000"/>
              </w:rPr>
            </w:pPr>
            <w:r w:rsidRPr="00493546">
              <w:rPr>
                <w:rFonts w:eastAsia="Times New Roman" w:cstheme="minorHAnsi"/>
                <w:color w:val="000000"/>
              </w:rPr>
              <w:t>$26,500</w:t>
            </w:r>
          </w:p>
        </w:tc>
      </w:tr>
      <w:tr w:rsidR="00FC0D6A" w:rsidRPr="00C459A7" w14:paraId="7523118D" w14:textId="77777777" w:rsidTr="00FC0D6A">
        <w:trPr>
          <w:trHeight w:val="607"/>
        </w:trPr>
        <w:tc>
          <w:tcPr>
            <w:tcW w:w="1179" w:type="dxa"/>
            <w:shd w:val="clear" w:color="000000" w:fill="F8CBAD"/>
            <w:vAlign w:val="center"/>
            <w:hideMark/>
          </w:tcPr>
          <w:p w14:paraId="417E690D" w14:textId="77777777" w:rsidR="00FC0D6A" w:rsidRPr="00493546" w:rsidRDefault="00FC0D6A" w:rsidP="00FC0D6A">
            <w:pPr>
              <w:spacing w:after="0" w:line="240" w:lineRule="auto"/>
              <w:jc w:val="center"/>
              <w:rPr>
                <w:rFonts w:eastAsia="Times New Roman" w:cstheme="minorHAnsi"/>
                <w:iCs/>
                <w:color w:val="000000"/>
              </w:rPr>
            </w:pPr>
            <w:r w:rsidRPr="00493546">
              <w:rPr>
                <w:rFonts w:eastAsia="Times New Roman" w:cstheme="minorHAnsi"/>
                <w:iCs/>
                <w:color w:val="000000"/>
              </w:rPr>
              <w:t>2019</w:t>
            </w:r>
          </w:p>
        </w:tc>
        <w:tc>
          <w:tcPr>
            <w:tcW w:w="3567" w:type="dxa"/>
            <w:shd w:val="clear" w:color="000000" w:fill="F8CBAD"/>
            <w:vAlign w:val="center"/>
          </w:tcPr>
          <w:p w14:paraId="2990EBCB" w14:textId="490ABA1D" w:rsidR="00FC0D6A" w:rsidRPr="00493546" w:rsidRDefault="00D62DE4" w:rsidP="00FC0D6A">
            <w:pPr>
              <w:spacing w:after="0" w:line="240" w:lineRule="auto"/>
              <w:jc w:val="center"/>
              <w:rPr>
                <w:rFonts w:eastAsia="Times New Roman" w:cstheme="minorHAnsi"/>
                <w:iCs/>
                <w:color w:val="000000"/>
              </w:rPr>
            </w:pPr>
            <w:r>
              <w:rPr>
                <w:rFonts w:eastAsia="Times New Roman" w:cstheme="minorHAnsi"/>
                <w:iCs/>
                <w:color w:val="000000"/>
              </w:rPr>
              <w:t xml:space="preserve">Assessment of UNV’s transformation process in relation to delivering on the </w:t>
            </w:r>
            <w:r w:rsidR="002B4095" w:rsidRPr="00493546">
              <w:rPr>
                <w:rFonts w:eastAsia="Times New Roman" w:cstheme="minorHAnsi"/>
                <w:iCs/>
                <w:color w:val="000000"/>
              </w:rPr>
              <w:t>Strategic Framework 201</w:t>
            </w:r>
            <w:r>
              <w:rPr>
                <w:rFonts w:eastAsia="Times New Roman" w:cstheme="minorHAnsi"/>
                <w:iCs/>
                <w:color w:val="000000"/>
              </w:rPr>
              <w:t>8</w:t>
            </w:r>
            <w:r w:rsidR="002B4095" w:rsidRPr="00493546">
              <w:rPr>
                <w:rFonts w:eastAsia="Times New Roman" w:cstheme="minorHAnsi"/>
                <w:iCs/>
                <w:color w:val="000000"/>
              </w:rPr>
              <w:t>-2021</w:t>
            </w:r>
          </w:p>
        </w:tc>
        <w:tc>
          <w:tcPr>
            <w:tcW w:w="1189" w:type="dxa"/>
            <w:shd w:val="clear" w:color="000000" w:fill="F8CBAD"/>
            <w:vAlign w:val="center"/>
          </w:tcPr>
          <w:p w14:paraId="37B29CF1" w14:textId="0318672A" w:rsidR="00FC0D6A" w:rsidRPr="00493546" w:rsidRDefault="002B4095" w:rsidP="00FC0D6A">
            <w:pPr>
              <w:spacing w:after="0" w:line="240" w:lineRule="auto"/>
              <w:jc w:val="center"/>
              <w:rPr>
                <w:rFonts w:eastAsia="Times New Roman" w:cstheme="minorHAnsi"/>
                <w:iCs/>
                <w:color w:val="000000"/>
              </w:rPr>
            </w:pPr>
            <w:r w:rsidRPr="00493546">
              <w:rPr>
                <w:rFonts w:eastAsia="Times New Roman" w:cstheme="minorHAnsi"/>
                <w:iCs/>
                <w:color w:val="000000"/>
              </w:rPr>
              <w:t>Global</w:t>
            </w:r>
          </w:p>
        </w:tc>
        <w:tc>
          <w:tcPr>
            <w:tcW w:w="1715" w:type="dxa"/>
            <w:shd w:val="clear" w:color="000000" w:fill="F8CBAD"/>
            <w:vAlign w:val="center"/>
          </w:tcPr>
          <w:p w14:paraId="5A3BAD5B" w14:textId="4BE50FDD" w:rsidR="00FC0D6A" w:rsidRPr="00493546" w:rsidRDefault="002B4095" w:rsidP="00FC0D6A">
            <w:pPr>
              <w:spacing w:after="0" w:line="240" w:lineRule="auto"/>
              <w:jc w:val="center"/>
              <w:rPr>
                <w:rFonts w:eastAsia="Times New Roman" w:cstheme="minorHAnsi"/>
                <w:iCs/>
                <w:color w:val="000000"/>
              </w:rPr>
            </w:pPr>
            <w:r w:rsidRPr="00493546">
              <w:rPr>
                <w:rFonts w:eastAsia="Times New Roman" w:cstheme="minorHAnsi"/>
                <w:iCs/>
                <w:color w:val="000000"/>
              </w:rPr>
              <w:t>2018-2021</w:t>
            </w:r>
          </w:p>
        </w:tc>
        <w:tc>
          <w:tcPr>
            <w:tcW w:w="1646" w:type="dxa"/>
            <w:shd w:val="clear" w:color="000000" w:fill="F8CBAD"/>
            <w:vAlign w:val="center"/>
          </w:tcPr>
          <w:p w14:paraId="5C79ADD9" w14:textId="3857FCB4" w:rsidR="00FC0D6A" w:rsidRPr="00493546" w:rsidRDefault="00D62DE4" w:rsidP="00FC0D6A">
            <w:pPr>
              <w:spacing w:after="0" w:line="240" w:lineRule="auto"/>
              <w:jc w:val="center"/>
              <w:rPr>
                <w:rFonts w:eastAsia="Times New Roman" w:cstheme="minorHAnsi"/>
                <w:iCs/>
                <w:color w:val="000000"/>
              </w:rPr>
            </w:pPr>
            <w:r>
              <w:rPr>
                <w:rFonts w:eastAsia="Times New Roman" w:cstheme="minorHAnsi"/>
                <w:iCs/>
                <w:color w:val="000000"/>
              </w:rPr>
              <w:t>Assessment</w:t>
            </w:r>
          </w:p>
        </w:tc>
        <w:tc>
          <w:tcPr>
            <w:tcW w:w="1706" w:type="dxa"/>
            <w:shd w:val="clear" w:color="000000" w:fill="F8CBAD"/>
            <w:vAlign w:val="center"/>
          </w:tcPr>
          <w:p w14:paraId="430F3785" w14:textId="2B9C895E" w:rsidR="00FC0D6A" w:rsidRPr="00493546" w:rsidRDefault="002B4095" w:rsidP="00FC0D6A">
            <w:pPr>
              <w:spacing w:after="0" w:line="240" w:lineRule="auto"/>
              <w:jc w:val="center"/>
              <w:rPr>
                <w:rFonts w:eastAsia="Times New Roman" w:cstheme="minorHAnsi"/>
                <w:iCs/>
                <w:color w:val="000000"/>
              </w:rPr>
            </w:pPr>
            <w:r w:rsidRPr="00493546">
              <w:rPr>
                <w:rFonts w:eastAsia="Times New Roman" w:cstheme="minorHAnsi"/>
                <w:iCs/>
                <w:color w:val="000000"/>
              </w:rPr>
              <w:t>Q2</w:t>
            </w:r>
          </w:p>
        </w:tc>
        <w:tc>
          <w:tcPr>
            <w:tcW w:w="1348" w:type="dxa"/>
            <w:shd w:val="clear" w:color="000000" w:fill="F8CBAD"/>
            <w:vAlign w:val="center"/>
          </w:tcPr>
          <w:p w14:paraId="39D1D36A" w14:textId="30C55E1F" w:rsidR="00FC0D6A" w:rsidRPr="00493546" w:rsidRDefault="002B4095" w:rsidP="00FC0D6A">
            <w:pPr>
              <w:spacing w:after="0" w:line="240" w:lineRule="auto"/>
              <w:jc w:val="center"/>
              <w:rPr>
                <w:rFonts w:eastAsia="Times New Roman" w:cstheme="minorHAnsi"/>
                <w:iCs/>
                <w:color w:val="000000"/>
              </w:rPr>
            </w:pPr>
            <w:r w:rsidRPr="00493546">
              <w:rPr>
                <w:rFonts w:eastAsia="Times New Roman" w:cstheme="minorHAnsi"/>
                <w:iCs/>
                <w:color w:val="000000"/>
              </w:rPr>
              <w:t>Q4</w:t>
            </w:r>
          </w:p>
        </w:tc>
        <w:tc>
          <w:tcPr>
            <w:tcW w:w="1124" w:type="dxa"/>
            <w:shd w:val="clear" w:color="000000" w:fill="F8CBAD"/>
            <w:vAlign w:val="center"/>
          </w:tcPr>
          <w:p w14:paraId="41A86B24" w14:textId="0BDA2536" w:rsidR="00FC0D6A" w:rsidRPr="00493546" w:rsidRDefault="002B4095" w:rsidP="00FC0D6A">
            <w:pPr>
              <w:spacing w:after="0" w:line="240" w:lineRule="auto"/>
              <w:jc w:val="center"/>
              <w:rPr>
                <w:rFonts w:eastAsia="Times New Roman" w:cstheme="minorHAnsi"/>
                <w:iCs/>
                <w:color w:val="000000"/>
              </w:rPr>
            </w:pPr>
            <w:r w:rsidRPr="00493546">
              <w:rPr>
                <w:rFonts w:eastAsia="Times New Roman" w:cstheme="minorHAnsi"/>
                <w:iCs/>
                <w:color w:val="000000"/>
              </w:rPr>
              <w:t>$50,000</w:t>
            </w:r>
          </w:p>
        </w:tc>
      </w:tr>
      <w:tr w:rsidR="00F116AE" w:rsidRPr="00C459A7" w14:paraId="2C829B43" w14:textId="77777777" w:rsidTr="00F116AE">
        <w:trPr>
          <w:trHeight w:val="607"/>
        </w:trPr>
        <w:tc>
          <w:tcPr>
            <w:tcW w:w="1179" w:type="dxa"/>
            <w:shd w:val="clear" w:color="auto" w:fill="C5E0B3" w:themeFill="accent6" w:themeFillTint="66"/>
            <w:vAlign w:val="center"/>
          </w:tcPr>
          <w:p w14:paraId="310E64F6" w14:textId="6C365F97" w:rsidR="00F116AE" w:rsidRPr="00493546" w:rsidRDefault="00F116AE" w:rsidP="00F116AE">
            <w:pPr>
              <w:spacing w:after="0" w:line="240" w:lineRule="auto"/>
              <w:jc w:val="center"/>
              <w:rPr>
                <w:rFonts w:eastAsia="Times New Roman" w:cstheme="minorHAnsi"/>
                <w:iCs/>
                <w:color w:val="000000"/>
              </w:rPr>
            </w:pPr>
            <w:r>
              <w:rPr>
                <w:rFonts w:eastAsia="Times New Roman" w:cstheme="minorHAnsi"/>
                <w:color w:val="000000"/>
              </w:rPr>
              <w:t>2020</w:t>
            </w:r>
          </w:p>
        </w:tc>
        <w:tc>
          <w:tcPr>
            <w:tcW w:w="3567" w:type="dxa"/>
            <w:shd w:val="clear" w:color="auto" w:fill="C5E0B3" w:themeFill="accent6" w:themeFillTint="66"/>
            <w:vAlign w:val="center"/>
          </w:tcPr>
          <w:p w14:paraId="1043FE79" w14:textId="5B0DC280" w:rsidR="00F116AE" w:rsidRPr="00493546" w:rsidRDefault="00697148" w:rsidP="00F116AE">
            <w:pPr>
              <w:spacing w:after="0" w:line="240" w:lineRule="auto"/>
              <w:jc w:val="center"/>
              <w:rPr>
                <w:rFonts w:eastAsia="Times New Roman" w:cstheme="minorHAnsi"/>
                <w:iCs/>
                <w:color w:val="000000"/>
              </w:rPr>
            </w:pPr>
            <w:r>
              <w:rPr>
                <w:rFonts w:cstheme="minorHAnsi"/>
                <w:color w:val="000000"/>
              </w:rPr>
              <w:t xml:space="preserve">Evaluation of the </w:t>
            </w:r>
            <w:r w:rsidR="00F116AE">
              <w:rPr>
                <w:rFonts w:cstheme="minorHAnsi"/>
                <w:color w:val="000000"/>
              </w:rPr>
              <w:t>UNV Online Volunteering</w:t>
            </w:r>
            <w:r>
              <w:rPr>
                <w:rFonts w:cstheme="minorHAnsi"/>
                <w:color w:val="000000"/>
              </w:rPr>
              <w:t xml:space="preserve"> service’s new cost recovery model</w:t>
            </w:r>
          </w:p>
        </w:tc>
        <w:tc>
          <w:tcPr>
            <w:tcW w:w="1189" w:type="dxa"/>
            <w:shd w:val="clear" w:color="auto" w:fill="C5E0B3" w:themeFill="accent6" w:themeFillTint="66"/>
            <w:vAlign w:val="center"/>
          </w:tcPr>
          <w:p w14:paraId="1B8617EA" w14:textId="1C14F4A6" w:rsidR="00F116AE" w:rsidRPr="00493546" w:rsidRDefault="00F116AE" w:rsidP="00F116AE">
            <w:pPr>
              <w:spacing w:after="0" w:line="240" w:lineRule="auto"/>
              <w:jc w:val="center"/>
              <w:rPr>
                <w:rFonts w:eastAsia="Times New Roman" w:cstheme="minorHAnsi"/>
                <w:iCs/>
                <w:color w:val="000000"/>
              </w:rPr>
            </w:pPr>
            <w:r>
              <w:rPr>
                <w:rFonts w:eastAsia="Times New Roman" w:cstheme="minorHAnsi"/>
                <w:color w:val="000000"/>
              </w:rPr>
              <w:t>Global</w:t>
            </w:r>
          </w:p>
        </w:tc>
        <w:tc>
          <w:tcPr>
            <w:tcW w:w="1715" w:type="dxa"/>
            <w:shd w:val="clear" w:color="auto" w:fill="C5E0B3" w:themeFill="accent6" w:themeFillTint="66"/>
            <w:vAlign w:val="center"/>
          </w:tcPr>
          <w:p w14:paraId="02502914" w14:textId="38A5931C" w:rsidR="00F116AE" w:rsidRPr="00493546" w:rsidRDefault="00F116AE" w:rsidP="00F116AE">
            <w:pPr>
              <w:spacing w:after="0" w:line="240" w:lineRule="auto"/>
              <w:jc w:val="center"/>
              <w:rPr>
                <w:rFonts w:eastAsia="Times New Roman" w:cstheme="minorHAnsi"/>
                <w:iCs/>
                <w:color w:val="000000"/>
              </w:rPr>
            </w:pPr>
            <w:r>
              <w:rPr>
                <w:rFonts w:eastAsia="Times New Roman" w:cstheme="minorHAnsi"/>
                <w:color w:val="000000"/>
              </w:rPr>
              <w:t>20</w:t>
            </w:r>
            <w:r w:rsidR="00697148">
              <w:rPr>
                <w:rFonts w:eastAsia="Times New Roman" w:cstheme="minorHAnsi"/>
                <w:color w:val="000000"/>
              </w:rPr>
              <w:t>19-2020</w:t>
            </w:r>
          </w:p>
        </w:tc>
        <w:tc>
          <w:tcPr>
            <w:tcW w:w="1646" w:type="dxa"/>
            <w:shd w:val="clear" w:color="auto" w:fill="C5E0B3" w:themeFill="accent6" w:themeFillTint="66"/>
            <w:vAlign w:val="center"/>
          </w:tcPr>
          <w:p w14:paraId="5844992A" w14:textId="2062557B" w:rsidR="00F116AE" w:rsidRPr="00493546" w:rsidRDefault="00F116AE" w:rsidP="00F116AE">
            <w:pPr>
              <w:spacing w:after="0" w:line="240" w:lineRule="auto"/>
              <w:jc w:val="center"/>
              <w:rPr>
                <w:rFonts w:eastAsia="Times New Roman" w:cstheme="minorHAnsi"/>
                <w:iCs/>
                <w:color w:val="000000"/>
              </w:rPr>
            </w:pPr>
            <w:r>
              <w:rPr>
                <w:rFonts w:eastAsia="Times New Roman" w:cstheme="minorHAnsi"/>
                <w:color w:val="000000"/>
              </w:rPr>
              <w:t>Formative</w:t>
            </w:r>
          </w:p>
        </w:tc>
        <w:tc>
          <w:tcPr>
            <w:tcW w:w="1706" w:type="dxa"/>
            <w:shd w:val="clear" w:color="auto" w:fill="C5E0B3" w:themeFill="accent6" w:themeFillTint="66"/>
            <w:vAlign w:val="center"/>
          </w:tcPr>
          <w:p w14:paraId="5AB4C33D" w14:textId="59FE8078" w:rsidR="00F116AE" w:rsidRPr="00493546" w:rsidRDefault="00F116AE" w:rsidP="00F116AE">
            <w:pPr>
              <w:spacing w:after="0" w:line="240" w:lineRule="auto"/>
              <w:jc w:val="center"/>
              <w:rPr>
                <w:rFonts w:eastAsia="Times New Roman" w:cstheme="minorHAnsi"/>
                <w:iCs/>
                <w:color w:val="000000"/>
              </w:rPr>
            </w:pPr>
            <w:r>
              <w:rPr>
                <w:rFonts w:eastAsia="Times New Roman" w:cstheme="minorHAnsi"/>
                <w:color w:val="000000"/>
              </w:rPr>
              <w:t>Q1</w:t>
            </w:r>
          </w:p>
        </w:tc>
        <w:tc>
          <w:tcPr>
            <w:tcW w:w="1348" w:type="dxa"/>
            <w:shd w:val="clear" w:color="auto" w:fill="C5E0B3" w:themeFill="accent6" w:themeFillTint="66"/>
            <w:vAlign w:val="center"/>
          </w:tcPr>
          <w:p w14:paraId="63B2E9FA" w14:textId="4F0B6B36" w:rsidR="00F116AE" w:rsidRPr="00493546" w:rsidRDefault="00F116AE" w:rsidP="00F116AE">
            <w:pPr>
              <w:spacing w:after="0" w:line="240" w:lineRule="auto"/>
              <w:jc w:val="center"/>
              <w:rPr>
                <w:rFonts w:eastAsia="Times New Roman" w:cstheme="minorHAnsi"/>
                <w:iCs/>
                <w:color w:val="000000"/>
              </w:rPr>
            </w:pPr>
            <w:r>
              <w:rPr>
                <w:rFonts w:eastAsia="Times New Roman" w:cstheme="minorHAnsi"/>
                <w:color w:val="000000"/>
              </w:rPr>
              <w:t>Q2</w:t>
            </w:r>
          </w:p>
        </w:tc>
        <w:tc>
          <w:tcPr>
            <w:tcW w:w="1124" w:type="dxa"/>
            <w:shd w:val="clear" w:color="auto" w:fill="C5E0B3" w:themeFill="accent6" w:themeFillTint="66"/>
            <w:vAlign w:val="center"/>
          </w:tcPr>
          <w:p w14:paraId="61C70E75" w14:textId="548497A8" w:rsidR="00F116AE" w:rsidRPr="00493546" w:rsidRDefault="00F116AE" w:rsidP="00F116AE">
            <w:pPr>
              <w:spacing w:after="0" w:line="240" w:lineRule="auto"/>
              <w:jc w:val="center"/>
              <w:rPr>
                <w:rFonts w:eastAsia="Times New Roman" w:cstheme="minorHAnsi"/>
                <w:iCs/>
                <w:color w:val="000000"/>
              </w:rPr>
            </w:pPr>
            <w:r>
              <w:rPr>
                <w:rFonts w:eastAsia="Times New Roman" w:cstheme="minorHAnsi"/>
                <w:color w:val="000000"/>
              </w:rPr>
              <w:t>$30,000</w:t>
            </w:r>
          </w:p>
        </w:tc>
      </w:tr>
      <w:tr w:rsidR="000754D2" w:rsidRPr="00C459A7" w14:paraId="65EB2D59" w14:textId="77777777" w:rsidTr="00F116AE">
        <w:trPr>
          <w:trHeight w:val="607"/>
        </w:trPr>
        <w:tc>
          <w:tcPr>
            <w:tcW w:w="1179" w:type="dxa"/>
            <w:shd w:val="clear" w:color="auto" w:fill="C5E0B3" w:themeFill="accent6" w:themeFillTint="66"/>
            <w:vAlign w:val="center"/>
          </w:tcPr>
          <w:p w14:paraId="04FCA43C" w14:textId="4B453BCD" w:rsidR="000754D2" w:rsidRDefault="000754D2" w:rsidP="00F116AE">
            <w:pPr>
              <w:spacing w:after="0" w:line="240" w:lineRule="auto"/>
              <w:jc w:val="center"/>
              <w:rPr>
                <w:rFonts w:eastAsia="Times New Roman" w:cstheme="minorHAnsi"/>
                <w:color w:val="000000"/>
              </w:rPr>
            </w:pPr>
            <w:r>
              <w:rPr>
                <w:rFonts w:eastAsia="Times New Roman" w:cstheme="minorHAnsi"/>
                <w:color w:val="000000"/>
              </w:rPr>
              <w:t>2020</w:t>
            </w:r>
          </w:p>
        </w:tc>
        <w:tc>
          <w:tcPr>
            <w:tcW w:w="3567" w:type="dxa"/>
            <w:shd w:val="clear" w:color="auto" w:fill="C5E0B3" w:themeFill="accent6" w:themeFillTint="66"/>
            <w:vAlign w:val="center"/>
          </w:tcPr>
          <w:p w14:paraId="6B3552FB" w14:textId="5552AF70" w:rsidR="000754D2" w:rsidRDefault="00600005" w:rsidP="00F116AE">
            <w:pPr>
              <w:spacing w:after="0" w:line="240" w:lineRule="auto"/>
              <w:jc w:val="center"/>
              <w:rPr>
                <w:rFonts w:cstheme="minorHAnsi"/>
                <w:color w:val="000000"/>
              </w:rPr>
            </w:pPr>
            <w:r>
              <w:rPr>
                <w:rFonts w:cstheme="minorHAnsi"/>
                <w:color w:val="000000"/>
              </w:rPr>
              <w:t>E</w:t>
            </w:r>
            <w:r w:rsidRPr="00600005">
              <w:rPr>
                <w:rFonts w:cstheme="minorHAnsi"/>
                <w:color w:val="000000"/>
              </w:rPr>
              <w:t xml:space="preserve">valuation </w:t>
            </w:r>
            <w:r>
              <w:rPr>
                <w:rFonts w:cstheme="minorHAnsi"/>
                <w:color w:val="000000"/>
              </w:rPr>
              <w:t xml:space="preserve">of </w:t>
            </w:r>
            <w:r w:rsidRPr="00600005">
              <w:rPr>
                <w:rFonts w:cstheme="minorHAnsi"/>
                <w:color w:val="000000"/>
              </w:rPr>
              <w:t>UNV</w:t>
            </w:r>
            <w:r>
              <w:rPr>
                <w:rFonts w:cstheme="minorHAnsi"/>
                <w:color w:val="000000"/>
              </w:rPr>
              <w:t>’s</w:t>
            </w:r>
            <w:r w:rsidRPr="00600005">
              <w:rPr>
                <w:rFonts w:cstheme="minorHAnsi"/>
                <w:color w:val="000000"/>
              </w:rPr>
              <w:t xml:space="preserve"> Disability Inclusion project</w:t>
            </w:r>
          </w:p>
        </w:tc>
        <w:tc>
          <w:tcPr>
            <w:tcW w:w="1189" w:type="dxa"/>
            <w:shd w:val="clear" w:color="auto" w:fill="C5E0B3" w:themeFill="accent6" w:themeFillTint="66"/>
            <w:vAlign w:val="center"/>
          </w:tcPr>
          <w:p w14:paraId="77BD686F" w14:textId="3E16297C" w:rsidR="000754D2" w:rsidRDefault="00600005" w:rsidP="00F116AE">
            <w:pPr>
              <w:spacing w:after="0" w:line="240" w:lineRule="auto"/>
              <w:jc w:val="center"/>
              <w:rPr>
                <w:rFonts w:eastAsia="Times New Roman" w:cstheme="minorHAnsi"/>
                <w:color w:val="000000"/>
              </w:rPr>
            </w:pPr>
            <w:r>
              <w:rPr>
                <w:rFonts w:eastAsia="Times New Roman" w:cstheme="minorHAnsi"/>
                <w:color w:val="000000"/>
              </w:rPr>
              <w:t>Global</w:t>
            </w:r>
          </w:p>
        </w:tc>
        <w:tc>
          <w:tcPr>
            <w:tcW w:w="1715" w:type="dxa"/>
            <w:shd w:val="clear" w:color="auto" w:fill="C5E0B3" w:themeFill="accent6" w:themeFillTint="66"/>
            <w:vAlign w:val="center"/>
          </w:tcPr>
          <w:p w14:paraId="385C50E7" w14:textId="6D72CE04" w:rsidR="000754D2" w:rsidRDefault="00600005" w:rsidP="00F116AE">
            <w:pPr>
              <w:spacing w:after="0" w:line="240" w:lineRule="auto"/>
              <w:jc w:val="center"/>
              <w:rPr>
                <w:rFonts w:eastAsia="Times New Roman" w:cstheme="minorHAnsi"/>
                <w:color w:val="000000"/>
              </w:rPr>
            </w:pPr>
            <w:r>
              <w:rPr>
                <w:rFonts w:eastAsia="Times New Roman" w:cstheme="minorHAnsi"/>
                <w:color w:val="000000"/>
              </w:rPr>
              <w:t>2017-2020</w:t>
            </w:r>
          </w:p>
        </w:tc>
        <w:tc>
          <w:tcPr>
            <w:tcW w:w="1646" w:type="dxa"/>
            <w:shd w:val="clear" w:color="auto" w:fill="C5E0B3" w:themeFill="accent6" w:themeFillTint="66"/>
            <w:vAlign w:val="center"/>
          </w:tcPr>
          <w:p w14:paraId="48987B05" w14:textId="5501EC76" w:rsidR="000754D2" w:rsidRDefault="00600005" w:rsidP="00F116AE">
            <w:pPr>
              <w:spacing w:after="0" w:line="240" w:lineRule="auto"/>
              <w:jc w:val="center"/>
              <w:rPr>
                <w:rFonts w:eastAsia="Times New Roman" w:cstheme="minorHAnsi"/>
                <w:color w:val="000000"/>
              </w:rPr>
            </w:pPr>
            <w:r>
              <w:rPr>
                <w:rFonts w:eastAsia="Times New Roman" w:cstheme="minorHAnsi"/>
                <w:color w:val="000000"/>
              </w:rPr>
              <w:t>Project</w:t>
            </w:r>
          </w:p>
        </w:tc>
        <w:tc>
          <w:tcPr>
            <w:tcW w:w="1706" w:type="dxa"/>
            <w:shd w:val="clear" w:color="auto" w:fill="C5E0B3" w:themeFill="accent6" w:themeFillTint="66"/>
            <w:vAlign w:val="center"/>
          </w:tcPr>
          <w:p w14:paraId="1CB44523" w14:textId="3E3002C4" w:rsidR="000754D2" w:rsidRDefault="00600005" w:rsidP="00F116AE">
            <w:pPr>
              <w:spacing w:after="0" w:line="240" w:lineRule="auto"/>
              <w:jc w:val="center"/>
              <w:rPr>
                <w:rFonts w:eastAsia="Times New Roman" w:cstheme="minorHAnsi"/>
                <w:color w:val="000000"/>
              </w:rPr>
            </w:pPr>
            <w:r>
              <w:rPr>
                <w:rFonts w:eastAsia="Times New Roman" w:cstheme="minorHAnsi"/>
                <w:color w:val="000000"/>
              </w:rPr>
              <w:t>Q2</w:t>
            </w:r>
          </w:p>
        </w:tc>
        <w:tc>
          <w:tcPr>
            <w:tcW w:w="1348" w:type="dxa"/>
            <w:shd w:val="clear" w:color="auto" w:fill="C5E0B3" w:themeFill="accent6" w:themeFillTint="66"/>
            <w:vAlign w:val="center"/>
          </w:tcPr>
          <w:p w14:paraId="4ACD0CC8" w14:textId="022BF17B" w:rsidR="000754D2" w:rsidRDefault="00600005" w:rsidP="00F116AE">
            <w:pPr>
              <w:spacing w:after="0" w:line="240" w:lineRule="auto"/>
              <w:jc w:val="center"/>
              <w:rPr>
                <w:rFonts w:eastAsia="Times New Roman" w:cstheme="minorHAnsi"/>
                <w:color w:val="000000"/>
              </w:rPr>
            </w:pPr>
            <w:r>
              <w:rPr>
                <w:rFonts w:eastAsia="Times New Roman" w:cstheme="minorHAnsi"/>
                <w:color w:val="000000"/>
              </w:rPr>
              <w:t>Q2</w:t>
            </w:r>
          </w:p>
        </w:tc>
        <w:tc>
          <w:tcPr>
            <w:tcW w:w="1124" w:type="dxa"/>
            <w:shd w:val="clear" w:color="auto" w:fill="C5E0B3" w:themeFill="accent6" w:themeFillTint="66"/>
            <w:vAlign w:val="center"/>
          </w:tcPr>
          <w:p w14:paraId="37702FEB" w14:textId="437296A0" w:rsidR="000754D2" w:rsidRDefault="00BA2974" w:rsidP="00F116AE">
            <w:pPr>
              <w:spacing w:after="0" w:line="240" w:lineRule="auto"/>
              <w:jc w:val="center"/>
              <w:rPr>
                <w:rFonts w:eastAsia="Times New Roman" w:cstheme="minorHAnsi"/>
                <w:color w:val="000000"/>
              </w:rPr>
            </w:pPr>
            <w:r>
              <w:rPr>
                <w:rFonts w:eastAsia="Times New Roman" w:cstheme="minorHAnsi"/>
                <w:color w:val="000000"/>
              </w:rPr>
              <w:t>$11,000</w:t>
            </w:r>
            <w:bookmarkStart w:id="1" w:name="_GoBack"/>
            <w:bookmarkEnd w:id="1"/>
          </w:p>
        </w:tc>
      </w:tr>
      <w:tr w:rsidR="00F116AE" w:rsidRPr="00C459A7" w14:paraId="37A3974D" w14:textId="77777777" w:rsidTr="007D60EB">
        <w:trPr>
          <w:trHeight w:val="607"/>
        </w:trPr>
        <w:tc>
          <w:tcPr>
            <w:tcW w:w="1179" w:type="dxa"/>
            <w:shd w:val="clear" w:color="auto" w:fill="C5E0B3" w:themeFill="accent6" w:themeFillTint="66"/>
            <w:vAlign w:val="center"/>
          </w:tcPr>
          <w:p w14:paraId="598C8D35" w14:textId="06B31E1C" w:rsidR="00F116AE" w:rsidRPr="00493546" w:rsidRDefault="00F116AE" w:rsidP="00F116AE">
            <w:pPr>
              <w:spacing w:after="0" w:line="240" w:lineRule="auto"/>
              <w:jc w:val="center"/>
              <w:rPr>
                <w:rFonts w:eastAsia="Times New Roman" w:cstheme="minorHAnsi"/>
                <w:iCs/>
                <w:color w:val="000000"/>
              </w:rPr>
            </w:pPr>
            <w:r w:rsidRPr="00493546">
              <w:rPr>
                <w:rFonts w:eastAsia="Times New Roman" w:cstheme="minorHAnsi"/>
                <w:iCs/>
                <w:color w:val="000000"/>
              </w:rPr>
              <w:t>2020</w:t>
            </w:r>
          </w:p>
        </w:tc>
        <w:tc>
          <w:tcPr>
            <w:tcW w:w="3567" w:type="dxa"/>
            <w:shd w:val="clear" w:color="auto" w:fill="C5E0B3" w:themeFill="accent6" w:themeFillTint="66"/>
            <w:vAlign w:val="center"/>
          </w:tcPr>
          <w:p w14:paraId="0011FD81" w14:textId="2E46112A" w:rsidR="00F116AE" w:rsidRPr="00493546" w:rsidRDefault="00F116AE" w:rsidP="00F116AE">
            <w:pPr>
              <w:spacing w:after="0" w:line="240" w:lineRule="auto"/>
              <w:jc w:val="center"/>
              <w:rPr>
                <w:rFonts w:eastAsia="Times New Roman" w:cstheme="minorHAnsi"/>
                <w:iCs/>
                <w:color w:val="000000"/>
              </w:rPr>
            </w:pPr>
            <w:r w:rsidRPr="00493546">
              <w:rPr>
                <w:rFonts w:cstheme="minorHAnsi"/>
                <w:color w:val="000000"/>
              </w:rPr>
              <w:t>Evaluation of the collaboration between UNV and UNHCR* and volunteers’ contribution towards achieving results in UNHCR.</w:t>
            </w:r>
          </w:p>
        </w:tc>
        <w:tc>
          <w:tcPr>
            <w:tcW w:w="1189" w:type="dxa"/>
            <w:shd w:val="clear" w:color="auto" w:fill="C5E0B3" w:themeFill="accent6" w:themeFillTint="66"/>
            <w:vAlign w:val="center"/>
          </w:tcPr>
          <w:p w14:paraId="4D36E9C5" w14:textId="705A8D35" w:rsidR="00F116AE" w:rsidRPr="00493546" w:rsidRDefault="00F116AE" w:rsidP="00F116AE">
            <w:pPr>
              <w:spacing w:after="0" w:line="240" w:lineRule="auto"/>
              <w:jc w:val="center"/>
              <w:rPr>
                <w:rFonts w:eastAsia="Times New Roman" w:cstheme="minorHAnsi"/>
                <w:iCs/>
                <w:color w:val="000000"/>
              </w:rPr>
            </w:pPr>
            <w:r w:rsidRPr="00493546">
              <w:rPr>
                <w:rFonts w:eastAsia="Times New Roman" w:cstheme="minorHAnsi"/>
                <w:iCs/>
                <w:color w:val="000000"/>
              </w:rPr>
              <w:t>Global</w:t>
            </w:r>
          </w:p>
        </w:tc>
        <w:tc>
          <w:tcPr>
            <w:tcW w:w="1715" w:type="dxa"/>
            <w:shd w:val="clear" w:color="auto" w:fill="C5E0B3" w:themeFill="accent6" w:themeFillTint="66"/>
            <w:vAlign w:val="center"/>
          </w:tcPr>
          <w:p w14:paraId="4EB31557" w14:textId="2388573A" w:rsidR="00F116AE" w:rsidRPr="00493546" w:rsidRDefault="00F116AE" w:rsidP="00F116AE">
            <w:pPr>
              <w:spacing w:after="0" w:line="240" w:lineRule="auto"/>
              <w:jc w:val="center"/>
              <w:rPr>
                <w:rFonts w:eastAsia="Times New Roman" w:cstheme="minorHAnsi"/>
                <w:iCs/>
                <w:color w:val="000000"/>
              </w:rPr>
            </w:pPr>
            <w:r w:rsidRPr="00493546">
              <w:rPr>
                <w:rFonts w:eastAsia="Times New Roman" w:cstheme="minorHAnsi"/>
                <w:color w:val="000000"/>
              </w:rPr>
              <w:t>Ongoing partnership</w:t>
            </w:r>
          </w:p>
        </w:tc>
        <w:tc>
          <w:tcPr>
            <w:tcW w:w="1646" w:type="dxa"/>
            <w:shd w:val="clear" w:color="auto" w:fill="C5E0B3" w:themeFill="accent6" w:themeFillTint="66"/>
            <w:vAlign w:val="center"/>
          </w:tcPr>
          <w:p w14:paraId="47468BDD" w14:textId="197A1F05" w:rsidR="00F116AE" w:rsidRPr="00493546" w:rsidRDefault="00F116AE" w:rsidP="00F116AE">
            <w:pPr>
              <w:spacing w:after="0" w:line="240" w:lineRule="auto"/>
              <w:jc w:val="center"/>
              <w:rPr>
                <w:rFonts w:eastAsia="Times New Roman" w:cstheme="minorHAnsi"/>
                <w:iCs/>
                <w:color w:val="000000"/>
              </w:rPr>
            </w:pPr>
            <w:r w:rsidRPr="00493546">
              <w:rPr>
                <w:rFonts w:eastAsia="Times New Roman" w:cstheme="minorHAnsi"/>
                <w:iCs/>
                <w:color w:val="000000"/>
              </w:rPr>
              <w:t>Impact</w:t>
            </w:r>
          </w:p>
        </w:tc>
        <w:tc>
          <w:tcPr>
            <w:tcW w:w="1706" w:type="dxa"/>
            <w:shd w:val="clear" w:color="auto" w:fill="C5E0B3" w:themeFill="accent6" w:themeFillTint="66"/>
            <w:vAlign w:val="center"/>
          </w:tcPr>
          <w:p w14:paraId="78706E48" w14:textId="1090E01F" w:rsidR="00F116AE" w:rsidRPr="00493546" w:rsidRDefault="00F116AE" w:rsidP="00F116AE">
            <w:pPr>
              <w:spacing w:after="0" w:line="240" w:lineRule="auto"/>
              <w:jc w:val="center"/>
              <w:rPr>
                <w:rFonts w:eastAsia="Times New Roman" w:cstheme="minorHAnsi"/>
                <w:iCs/>
                <w:color w:val="000000"/>
              </w:rPr>
            </w:pPr>
            <w:r w:rsidRPr="00493546">
              <w:rPr>
                <w:rFonts w:eastAsia="Times New Roman" w:cstheme="minorHAnsi"/>
                <w:iCs/>
                <w:color w:val="000000"/>
              </w:rPr>
              <w:t>TBC</w:t>
            </w:r>
          </w:p>
        </w:tc>
        <w:tc>
          <w:tcPr>
            <w:tcW w:w="1348" w:type="dxa"/>
            <w:shd w:val="clear" w:color="auto" w:fill="C5E0B3" w:themeFill="accent6" w:themeFillTint="66"/>
            <w:vAlign w:val="center"/>
          </w:tcPr>
          <w:p w14:paraId="0C43A790" w14:textId="31703F53" w:rsidR="00F116AE" w:rsidRPr="00493546" w:rsidRDefault="00F116AE" w:rsidP="00F116AE">
            <w:pPr>
              <w:spacing w:after="0" w:line="240" w:lineRule="auto"/>
              <w:jc w:val="center"/>
              <w:rPr>
                <w:rFonts w:eastAsia="Times New Roman" w:cstheme="minorHAnsi"/>
                <w:iCs/>
                <w:color w:val="000000"/>
              </w:rPr>
            </w:pPr>
            <w:r w:rsidRPr="00493546">
              <w:rPr>
                <w:rFonts w:eastAsia="Times New Roman" w:cstheme="minorHAnsi"/>
                <w:iCs/>
                <w:color w:val="000000"/>
              </w:rPr>
              <w:t>TBC</w:t>
            </w:r>
          </w:p>
        </w:tc>
        <w:tc>
          <w:tcPr>
            <w:tcW w:w="1124" w:type="dxa"/>
            <w:shd w:val="clear" w:color="auto" w:fill="C5E0B3" w:themeFill="accent6" w:themeFillTint="66"/>
            <w:vAlign w:val="center"/>
          </w:tcPr>
          <w:p w14:paraId="1A7FE5E7" w14:textId="7080A220" w:rsidR="00F116AE" w:rsidRPr="00493546" w:rsidRDefault="00F116AE" w:rsidP="00F116AE">
            <w:pPr>
              <w:spacing w:after="0" w:line="240" w:lineRule="auto"/>
              <w:jc w:val="center"/>
              <w:rPr>
                <w:rFonts w:eastAsia="Times New Roman" w:cstheme="minorHAnsi"/>
                <w:iCs/>
                <w:color w:val="000000"/>
              </w:rPr>
            </w:pPr>
            <w:r w:rsidRPr="00493546">
              <w:rPr>
                <w:rFonts w:eastAsia="Times New Roman" w:cstheme="minorHAnsi"/>
                <w:iCs/>
                <w:color w:val="000000"/>
              </w:rPr>
              <w:t>$50,000</w:t>
            </w:r>
          </w:p>
        </w:tc>
      </w:tr>
      <w:tr w:rsidR="00F116AE" w:rsidRPr="00C459A7" w14:paraId="7ABFA2DB" w14:textId="77777777" w:rsidTr="00FC0D6A">
        <w:trPr>
          <w:trHeight w:val="303"/>
        </w:trPr>
        <w:tc>
          <w:tcPr>
            <w:tcW w:w="1179" w:type="dxa"/>
            <w:shd w:val="clear" w:color="000000" w:fill="D9E1F2"/>
            <w:noWrap/>
            <w:vAlign w:val="center"/>
            <w:hideMark/>
          </w:tcPr>
          <w:p w14:paraId="44AA9FE7" w14:textId="77777777" w:rsidR="00F116AE" w:rsidRPr="00493546" w:rsidRDefault="00F116AE" w:rsidP="00F116AE">
            <w:pPr>
              <w:spacing w:after="0" w:line="240" w:lineRule="auto"/>
              <w:jc w:val="center"/>
              <w:rPr>
                <w:rFonts w:eastAsia="Times New Roman" w:cstheme="minorHAnsi"/>
                <w:iCs/>
                <w:color w:val="000000"/>
              </w:rPr>
            </w:pPr>
            <w:r w:rsidRPr="00493546">
              <w:rPr>
                <w:rFonts w:eastAsia="Times New Roman" w:cstheme="minorHAnsi"/>
                <w:iCs/>
                <w:color w:val="000000"/>
              </w:rPr>
              <w:t>2021</w:t>
            </w:r>
          </w:p>
        </w:tc>
        <w:tc>
          <w:tcPr>
            <w:tcW w:w="3567" w:type="dxa"/>
            <w:shd w:val="clear" w:color="000000" w:fill="D9E1F2"/>
            <w:noWrap/>
            <w:vAlign w:val="center"/>
          </w:tcPr>
          <w:p w14:paraId="60C539DB" w14:textId="12A359B4" w:rsidR="00F116AE" w:rsidRPr="00493546" w:rsidRDefault="00F116AE" w:rsidP="00F116AE">
            <w:pPr>
              <w:spacing w:after="0" w:line="240" w:lineRule="auto"/>
              <w:jc w:val="center"/>
              <w:rPr>
                <w:rFonts w:eastAsia="Times New Roman" w:cstheme="minorHAnsi"/>
                <w:iCs/>
                <w:color w:val="000000"/>
              </w:rPr>
            </w:pPr>
            <w:r w:rsidRPr="00493546">
              <w:rPr>
                <w:rFonts w:eastAsia="Times New Roman" w:cstheme="minorHAnsi"/>
                <w:iCs/>
                <w:color w:val="000000"/>
              </w:rPr>
              <w:t>Final Strategic Framework Evaluation</w:t>
            </w:r>
          </w:p>
        </w:tc>
        <w:tc>
          <w:tcPr>
            <w:tcW w:w="1189" w:type="dxa"/>
            <w:shd w:val="clear" w:color="000000" w:fill="D9E1F2"/>
            <w:noWrap/>
            <w:vAlign w:val="center"/>
          </w:tcPr>
          <w:p w14:paraId="094977B4" w14:textId="1B03319E" w:rsidR="00F116AE" w:rsidRPr="00493546" w:rsidRDefault="00F116AE" w:rsidP="00F116AE">
            <w:pPr>
              <w:spacing w:after="0" w:line="240" w:lineRule="auto"/>
              <w:jc w:val="center"/>
              <w:rPr>
                <w:rFonts w:eastAsia="Times New Roman" w:cstheme="minorHAnsi"/>
                <w:iCs/>
                <w:color w:val="000000"/>
              </w:rPr>
            </w:pPr>
            <w:r w:rsidRPr="00493546">
              <w:rPr>
                <w:rFonts w:eastAsia="Times New Roman" w:cstheme="minorHAnsi"/>
                <w:iCs/>
                <w:color w:val="000000"/>
              </w:rPr>
              <w:t>Global</w:t>
            </w:r>
          </w:p>
        </w:tc>
        <w:tc>
          <w:tcPr>
            <w:tcW w:w="1715" w:type="dxa"/>
            <w:shd w:val="clear" w:color="000000" w:fill="D9E1F2"/>
            <w:noWrap/>
            <w:vAlign w:val="center"/>
          </w:tcPr>
          <w:p w14:paraId="6281F281" w14:textId="6B528B1C" w:rsidR="00F116AE" w:rsidRPr="00493546" w:rsidRDefault="00F116AE" w:rsidP="00F116AE">
            <w:pPr>
              <w:spacing w:after="0" w:line="240" w:lineRule="auto"/>
              <w:jc w:val="center"/>
              <w:rPr>
                <w:rFonts w:eastAsia="Times New Roman" w:cstheme="minorHAnsi"/>
                <w:iCs/>
                <w:color w:val="000000"/>
              </w:rPr>
            </w:pPr>
            <w:r w:rsidRPr="00493546">
              <w:rPr>
                <w:rFonts w:eastAsia="Times New Roman" w:cstheme="minorHAnsi"/>
                <w:iCs/>
                <w:color w:val="000000"/>
              </w:rPr>
              <w:t>2018-2021</w:t>
            </w:r>
          </w:p>
        </w:tc>
        <w:tc>
          <w:tcPr>
            <w:tcW w:w="1646" w:type="dxa"/>
            <w:shd w:val="clear" w:color="000000" w:fill="D9E1F2"/>
            <w:vAlign w:val="center"/>
          </w:tcPr>
          <w:p w14:paraId="15B33CA8" w14:textId="70FA6E85" w:rsidR="00F116AE" w:rsidRPr="00493546" w:rsidRDefault="00F116AE" w:rsidP="00F116AE">
            <w:pPr>
              <w:spacing w:after="0" w:line="240" w:lineRule="auto"/>
              <w:jc w:val="center"/>
              <w:rPr>
                <w:rFonts w:eastAsia="Times New Roman" w:cstheme="minorHAnsi"/>
                <w:iCs/>
                <w:color w:val="000000"/>
              </w:rPr>
            </w:pPr>
            <w:r w:rsidRPr="00493546">
              <w:rPr>
                <w:rFonts w:eastAsia="Times New Roman" w:cstheme="minorHAnsi"/>
                <w:iCs/>
                <w:color w:val="000000"/>
              </w:rPr>
              <w:t>Final Evaluation</w:t>
            </w:r>
          </w:p>
        </w:tc>
        <w:tc>
          <w:tcPr>
            <w:tcW w:w="1706" w:type="dxa"/>
            <w:shd w:val="clear" w:color="000000" w:fill="D9E1F2"/>
            <w:noWrap/>
            <w:vAlign w:val="center"/>
          </w:tcPr>
          <w:p w14:paraId="182AAFBB" w14:textId="0208423D" w:rsidR="00F116AE" w:rsidRPr="00493546" w:rsidRDefault="00F116AE" w:rsidP="00F116AE">
            <w:pPr>
              <w:spacing w:after="0" w:line="240" w:lineRule="auto"/>
              <w:jc w:val="center"/>
              <w:rPr>
                <w:rFonts w:eastAsia="Times New Roman" w:cstheme="minorHAnsi"/>
                <w:iCs/>
                <w:color w:val="000000"/>
              </w:rPr>
            </w:pPr>
            <w:r w:rsidRPr="00493546">
              <w:rPr>
                <w:rFonts w:eastAsia="Times New Roman" w:cstheme="minorHAnsi"/>
                <w:iCs/>
                <w:color w:val="000000"/>
              </w:rPr>
              <w:t>Q1</w:t>
            </w:r>
          </w:p>
        </w:tc>
        <w:tc>
          <w:tcPr>
            <w:tcW w:w="1348" w:type="dxa"/>
            <w:shd w:val="clear" w:color="000000" w:fill="D9E1F2"/>
            <w:noWrap/>
            <w:vAlign w:val="center"/>
          </w:tcPr>
          <w:p w14:paraId="38A46357" w14:textId="1F8D47E2" w:rsidR="00F116AE" w:rsidRPr="00493546" w:rsidRDefault="00F116AE" w:rsidP="00F116AE">
            <w:pPr>
              <w:spacing w:after="0" w:line="240" w:lineRule="auto"/>
              <w:jc w:val="center"/>
              <w:rPr>
                <w:rFonts w:eastAsia="Times New Roman" w:cstheme="minorHAnsi"/>
                <w:iCs/>
                <w:color w:val="000000"/>
              </w:rPr>
            </w:pPr>
            <w:r w:rsidRPr="00493546">
              <w:rPr>
                <w:rFonts w:eastAsia="Times New Roman" w:cstheme="minorHAnsi"/>
                <w:iCs/>
                <w:color w:val="000000"/>
              </w:rPr>
              <w:t>Q2</w:t>
            </w:r>
          </w:p>
        </w:tc>
        <w:tc>
          <w:tcPr>
            <w:tcW w:w="1124" w:type="dxa"/>
            <w:shd w:val="clear" w:color="000000" w:fill="D9E1F2"/>
            <w:noWrap/>
            <w:vAlign w:val="center"/>
          </w:tcPr>
          <w:p w14:paraId="1583C23F" w14:textId="01B5B961" w:rsidR="00F116AE" w:rsidRPr="00493546" w:rsidRDefault="00F116AE" w:rsidP="00F116AE">
            <w:pPr>
              <w:spacing w:after="0" w:line="240" w:lineRule="auto"/>
              <w:jc w:val="center"/>
              <w:rPr>
                <w:rFonts w:eastAsia="Times New Roman" w:cstheme="minorHAnsi"/>
                <w:iCs/>
                <w:color w:val="000000"/>
              </w:rPr>
            </w:pPr>
            <w:r w:rsidRPr="00493546">
              <w:rPr>
                <w:rFonts w:eastAsia="Times New Roman" w:cstheme="minorHAnsi"/>
                <w:iCs/>
                <w:color w:val="000000"/>
              </w:rPr>
              <w:t>$150,000</w:t>
            </w:r>
          </w:p>
        </w:tc>
      </w:tr>
    </w:tbl>
    <w:bookmarkEnd w:id="0"/>
    <w:p w14:paraId="745113A7" w14:textId="0B9206EF" w:rsidR="00053C59" w:rsidRPr="00493546" w:rsidRDefault="00493546">
      <w:pPr>
        <w:rPr>
          <w:sz w:val="20"/>
          <w:szCs w:val="24"/>
        </w:rPr>
      </w:pPr>
      <w:r w:rsidRPr="00493546">
        <w:rPr>
          <w:sz w:val="20"/>
          <w:szCs w:val="24"/>
        </w:rPr>
        <w:t>*Tentatively UNICEF, UNHCR and UNDP will be approached with a proposal to do a joint evaluation. Final partner list may change.</w:t>
      </w:r>
    </w:p>
    <w:sectPr w:rsidR="00053C59" w:rsidRPr="00493546" w:rsidSect="00695E2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5E33D" w14:textId="77777777" w:rsidR="009B015C" w:rsidRDefault="009B015C" w:rsidP="00F46953">
      <w:pPr>
        <w:spacing w:after="0" w:line="240" w:lineRule="auto"/>
      </w:pPr>
      <w:r>
        <w:separator/>
      </w:r>
    </w:p>
  </w:endnote>
  <w:endnote w:type="continuationSeparator" w:id="0">
    <w:p w14:paraId="57ACC6C6" w14:textId="77777777" w:rsidR="009B015C" w:rsidRDefault="009B015C" w:rsidP="00F4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279123"/>
      <w:docPartObj>
        <w:docPartGallery w:val="Page Numbers (Bottom of Page)"/>
        <w:docPartUnique/>
      </w:docPartObj>
    </w:sdtPr>
    <w:sdtEndPr>
      <w:rPr>
        <w:noProof/>
      </w:rPr>
    </w:sdtEndPr>
    <w:sdtContent>
      <w:p w14:paraId="78A70978" w14:textId="19B46E53" w:rsidR="003A40FF" w:rsidRDefault="003A40FF">
        <w:pPr>
          <w:pStyle w:val="Footer"/>
          <w:jc w:val="center"/>
        </w:pPr>
        <w:r>
          <w:fldChar w:fldCharType="begin"/>
        </w:r>
        <w:r>
          <w:instrText xml:space="preserve"> PAGE   \* MERGEFORMAT </w:instrText>
        </w:r>
        <w:r>
          <w:fldChar w:fldCharType="separate"/>
        </w:r>
        <w:r w:rsidR="003C3428">
          <w:rPr>
            <w:noProof/>
          </w:rPr>
          <w:t>2</w:t>
        </w:r>
        <w:r>
          <w:rPr>
            <w:noProof/>
          </w:rPr>
          <w:fldChar w:fldCharType="end"/>
        </w:r>
      </w:p>
    </w:sdtContent>
  </w:sdt>
  <w:p w14:paraId="3B234C1C" w14:textId="77777777" w:rsidR="003A40FF" w:rsidRDefault="003A4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2D78D" w14:textId="77777777" w:rsidR="009B015C" w:rsidRDefault="009B015C" w:rsidP="00F46953">
      <w:pPr>
        <w:spacing w:after="0" w:line="240" w:lineRule="auto"/>
      </w:pPr>
      <w:r>
        <w:separator/>
      </w:r>
    </w:p>
  </w:footnote>
  <w:footnote w:type="continuationSeparator" w:id="0">
    <w:p w14:paraId="5D1F0B09" w14:textId="77777777" w:rsidR="009B015C" w:rsidRDefault="009B015C" w:rsidP="00F46953">
      <w:pPr>
        <w:spacing w:after="0" w:line="240" w:lineRule="auto"/>
      </w:pPr>
      <w:r>
        <w:continuationSeparator/>
      </w:r>
    </w:p>
  </w:footnote>
  <w:footnote w:id="1">
    <w:p w14:paraId="4F3101FC" w14:textId="77777777" w:rsidR="003A40FF" w:rsidRDefault="003A40FF">
      <w:pPr>
        <w:pStyle w:val="FootnoteText"/>
      </w:pPr>
      <w:r>
        <w:rPr>
          <w:rStyle w:val="FootnoteReference"/>
        </w:rPr>
        <w:footnoteRef/>
      </w:r>
      <w:r>
        <w:t xml:space="preserve"> </w:t>
      </w:r>
      <w:hyperlink r:id="rId1" w:history="1">
        <w:r w:rsidRPr="00876F54">
          <w:rPr>
            <w:rStyle w:val="Hyperlink"/>
          </w:rPr>
          <w:t>http://web.undp.org/evaluation/policy.shtml</w:t>
        </w:r>
      </w:hyperlink>
      <w:r>
        <w:t>, Point 55 (c)</w:t>
      </w:r>
    </w:p>
  </w:footnote>
  <w:footnote w:id="2">
    <w:p w14:paraId="2625F25F" w14:textId="4C89AD9D" w:rsidR="003A40FF" w:rsidRDefault="003A40FF" w:rsidP="00E51B6A">
      <w:r>
        <w:rPr>
          <w:rStyle w:val="FootnoteReference"/>
        </w:rPr>
        <w:footnoteRef/>
      </w:r>
      <w:r>
        <w:t xml:space="preserve"> </w:t>
      </w:r>
      <w:r w:rsidRPr="00E51B6A">
        <w:rPr>
          <w:sz w:val="20"/>
          <w:szCs w:val="20"/>
        </w:rPr>
        <w:t xml:space="preserve">It should be noted that in line with the requirements of the Evaluation Policy, the first two years of the Plan are costed. Depending on the size of </w:t>
      </w:r>
      <w:r w:rsidR="004A39D5">
        <w:rPr>
          <w:sz w:val="20"/>
          <w:szCs w:val="20"/>
        </w:rPr>
        <w:t>UNV’s</w:t>
      </w:r>
      <w:r w:rsidRPr="00E51B6A">
        <w:rPr>
          <w:sz w:val="20"/>
          <w:szCs w:val="20"/>
        </w:rPr>
        <w:t xml:space="preserve"> portfolio and its success in raising </w:t>
      </w:r>
      <w:r>
        <w:rPr>
          <w:sz w:val="20"/>
          <w:szCs w:val="20"/>
        </w:rPr>
        <w:t xml:space="preserve">resources </w:t>
      </w:r>
      <w:r w:rsidRPr="00E51B6A">
        <w:rPr>
          <w:sz w:val="20"/>
          <w:szCs w:val="20"/>
        </w:rPr>
        <w:t xml:space="preserve">to implement the broader </w:t>
      </w:r>
      <w:r>
        <w:rPr>
          <w:sz w:val="20"/>
          <w:szCs w:val="20"/>
        </w:rPr>
        <w:t xml:space="preserve">objectives of the </w:t>
      </w:r>
      <w:r w:rsidRPr="00E51B6A">
        <w:rPr>
          <w:sz w:val="20"/>
          <w:szCs w:val="20"/>
        </w:rPr>
        <w:t>Strategic Framework, however, the content and focus of the Plan may change.</w:t>
      </w:r>
      <w:r>
        <w:rPr>
          <w:sz w:val="24"/>
          <w:szCs w:val="24"/>
        </w:rPr>
        <w:t xml:space="preserve"> </w:t>
      </w:r>
    </w:p>
  </w:footnote>
  <w:footnote w:id="3">
    <w:p w14:paraId="0DB98A1E" w14:textId="7EF82144" w:rsidR="003A40FF" w:rsidRDefault="003A40FF">
      <w:pPr>
        <w:pStyle w:val="FootnoteText"/>
      </w:pPr>
      <w:r>
        <w:rPr>
          <w:rStyle w:val="FootnoteReference"/>
        </w:rPr>
        <w:footnoteRef/>
      </w:r>
      <w:r>
        <w:t xml:space="preserve"> Such evaluations are designed using theory – based techniques which require evaluation consultants or firms commissioned by UN</w:t>
      </w:r>
      <w:r w:rsidR="00445B8F">
        <w:t>V</w:t>
      </w:r>
      <w:r>
        <w:t xml:space="preserve"> to validate or reconstruct </w:t>
      </w:r>
      <w:r w:rsidR="00445B8F">
        <w:t>project</w:t>
      </w:r>
      <w:r>
        <w:t xml:space="preserve"> theories of change and then hone in through targeted evaluation questions on specific expected results and the ‘how’ and the ‘why’ these results are being achieved (or not) during the evaluations themselves. Evaluation teams are expected to fully respect good practice in the conduct of international development evaluation, including the need for transparent, triangulated data collection and systematic assessment of </w:t>
      </w:r>
      <w:r w:rsidR="00445B8F">
        <w:t>the project’s</w:t>
      </w:r>
      <w:r>
        <w:t xml:space="preserve"> performance in supporting gender equality and the </w:t>
      </w:r>
      <w:r w:rsidR="00445B8F">
        <w:t>promotion of volunteerism</w:t>
      </w:r>
      <w:r>
        <w:t>. In recent external assessments, the appropriateness of the design and conduct of these evaluations has been validated with scores of either ‘satisfactory’ or ‘highly satisfactory’ by UNDP’s Independent Evaluation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94B"/>
    <w:multiLevelType w:val="hybridMultilevel"/>
    <w:tmpl w:val="FFD8AE82"/>
    <w:lvl w:ilvl="0" w:tplc="21C60A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11E8A"/>
    <w:multiLevelType w:val="hybridMultilevel"/>
    <w:tmpl w:val="CB5E8AD6"/>
    <w:lvl w:ilvl="0" w:tplc="1288641A">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A14BF"/>
    <w:multiLevelType w:val="hybridMultilevel"/>
    <w:tmpl w:val="B10A71FC"/>
    <w:lvl w:ilvl="0" w:tplc="48AA185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A4062"/>
    <w:multiLevelType w:val="hybridMultilevel"/>
    <w:tmpl w:val="799835AA"/>
    <w:lvl w:ilvl="0" w:tplc="9A124EA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52DE7"/>
    <w:multiLevelType w:val="hybridMultilevel"/>
    <w:tmpl w:val="815AE512"/>
    <w:lvl w:ilvl="0" w:tplc="900C928A">
      <w:start w:val="1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548"/>
    <w:rsid w:val="000024F9"/>
    <w:rsid w:val="00012AF5"/>
    <w:rsid w:val="00014919"/>
    <w:rsid w:val="000156CF"/>
    <w:rsid w:val="00020A29"/>
    <w:rsid w:val="00021DEF"/>
    <w:rsid w:val="00024698"/>
    <w:rsid w:val="00024F13"/>
    <w:rsid w:val="00030C6B"/>
    <w:rsid w:val="0003255A"/>
    <w:rsid w:val="0003480C"/>
    <w:rsid w:val="00037ED9"/>
    <w:rsid w:val="000418A7"/>
    <w:rsid w:val="0004316F"/>
    <w:rsid w:val="00045E8B"/>
    <w:rsid w:val="00046902"/>
    <w:rsid w:val="00052BF9"/>
    <w:rsid w:val="00053C59"/>
    <w:rsid w:val="0006060A"/>
    <w:rsid w:val="000646FA"/>
    <w:rsid w:val="000716E3"/>
    <w:rsid w:val="000754D2"/>
    <w:rsid w:val="000825DE"/>
    <w:rsid w:val="00085301"/>
    <w:rsid w:val="00085B97"/>
    <w:rsid w:val="000869E9"/>
    <w:rsid w:val="000B0CEB"/>
    <w:rsid w:val="000B178C"/>
    <w:rsid w:val="000B3E35"/>
    <w:rsid w:val="000B5225"/>
    <w:rsid w:val="000C19B8"/>
    <w:rsid w:val="000C317C"/>
    <w:rsid w:val="000C6088"/>
    <w:rsid w:val="000D190B"/>
    <w:rsid w:val="000D5813"/>
    <w:rsid w:val="000D6F38"/>
    <w:rsid w:val="000E4C2C"/>
    <w:rsid w:val="000E52E4"/>
    <w:rsid w:val="000E57C9"/>
    <w:rsid w:val="000E76B6"/>
    <w:rsid w:val="000F3F59"/>
    <w:rsid w:val="000F622C"/>
    <w:rsid w:val="000F6783"/>
    <w:rsid w:val="0010417E"/>
    <w:rsid w:val="00113468"/>
    <w:rsid w:val="00121F82"/>
    <w:rsid w:val="00124B8B"/>
    <w:rsid w:val="00126BC3"/>
    <w:rsid w:val="00133BB2"/>
    <w:rsid w:val="001346E2"/>
    <w:rsid w:val="00136BF5"/>
    <w:rsid w:val="00145664"/>
    <w:rsid w:val="00145B0F"/>
    <w:rsid w:val="00145B8F"/>
    <w:rsid w:val="00146651"/>
    <w:rsid w:val="001558EF"/>
    <w:rsid w:val="00160FAD"/>
    <w:rsid w:val="00163545"/>
    <w:rsid w:val="0016397D"/>
    <w:rsid w:val="001653FB"/>
    <w:rsid w:val="00171B3D"/>
    <w:rsid w:val="001836D2"/>
    <w:rsid w:val="0019456D"/>
    <w:rsid w:val="0019481B"/>
    <w:rsid w:val="0019740E"/>
    <w:rsid w:val="00197AF0"/>
    <w:rsid w:val="001A1394"/>
    <w:rsid w:val="001A2F63"/>
    <w:rsid w:val="001A779B"/>
    <w:rsid w:val="001C702A"/>
    <w:rsid w:val="001D1720"/>
    <w:rsid w:val="001D1939"/>
    <w:rsid w:val="001D4F66"/>
    <w:rsid w:val="001E717C"/>
    <w:rsid w:val="001F1123"/>
    <w:rsid w:val="001F7745"/>
    <w:rsid w:val="001F7D50"/>
    <w:rsid w:val="00200E4B"/>
    <w:rsid w:val="002025B3"/>
    <w:rsid w:val="002037FF"/>
    <w:rsid w:val="00205575"/>
    <w:rsid w:val="00212673"/>
    <w:rsid w:val="00215797"/>
    <w:rsid w:val="002176A1"/>
    <w:rsid w:val="00217FE2"/>
    <w:rsid w:val="00222ED9"/>
    <w:rsid w:val="00223CF1"/>
    <w:rsid w:val="00224DD3"/>
    <w:rsid w:val="0024000C"/>
    <w:rsid w:val="00245A15"/>
    <w:rsid w:val="002504C5"/>
    <w:rsid w:val="002508F9"/>
    <w:rsid w:val="00250CAA"/>
    <w:rsid w:val="0025297D"/>
    <w:rsid w:val="0025409C"/>
    <w:rsid w:val="002555FE"/>
    <w:rsid w:val="00256A85"/>
    <w:rsid w:val="00262B45"/>
    <w:rsid w:val="00264A92"/>
    <w:rsid w:val="002661FC"/>
    <w:rsid w:val="002720A1"/>
    <w:rsid w:val="0027651B"/>
    <w:rsid w:val="00280E3D"/>
    <w:rsid w:val="0028542A"/>
    <w:rsid w:val="002914D9"/>
    <w:rsid w:val="00296B22"/>
    <w:rsid w:val="002970D2"/>
    <w:rsid w:val="002A1D6D"/>
    <w:rsid w:val="002A3FB0"/>
    <w:rsid w:val="002A4C5A"/>
    <w:rsid w:val="002B4095"/>
    <w:rsid w:val="002B4869"/>
    <w:rsid w:val="002C188E"/>
    <w:rsid w:val="002C261C"/>
    <w:rsid w:val="002C37DB"/>
    <w:rsid w:val="002D1E29"/>
    <w:rsid w:val="002D7802"/>
    <w:rsid w:val="002E05AB"/>
    <w:rsid w:val="002E09CF"/>
    <w:rsid w:val="002E174B"/>
    <w:rsid w:val="002F32C3"/>
    <w:rsid w:val="002F34AD"/>
    <w:rsid w:val="00303C25"/>
    <w:rsid w:val="003046BB"/>
    <w:rsid w:val="00311ADD"/>
    <w:rsid w:val="00313FFA"/>
    <w:rsid w:val="003157C9"/>
    <w:rsid w:val="00321624"/>
    <w:rsid w:val="00322960"/>
    <w:rsid w:val="00322E32"/>
    <w:rsid w:val="00324DE7"/>
    <w:rsid w:val="00325249"/>
    <w:rsid w:val="00325B3D"/>
    <w:rsid w:val="003341F5"/>
    <w:rsid w:val="00336707"/>
    <w:rsid w:val="003445ED"/>
    <w:rsid w:val="00350A2C"/>
    <w:rsid w:val="00355B86"/>
    <w:rsid w:val="003653E1"/>
    <w:rsid w:val="00371583"/>
    <w:rsid w:val="0038344C"/>
    <w:rsid w:val="003840E2"/>
    <w:rsid w:val="00387B77"/>
    <w:rsid w:val="003A28B0"/>
    <w:rsid w:val="003A40FF"/>
    <w:rsid w:val="003A627A"/>
    <w:rsid w:val="003B1BC6"/>
    <w:rsid w:val="003B2357"/>
    <w:rsid w:val="003C3428"/>
    <w:rsid w:val="003C3F9F"/>
    <w:rsid w:val="003C6191"/>
    <w:rsid w:val="003D17FA"/>
    <w:rsid w:val="003D2FE0"/>
    <w:rsid w:val="003D409A"/>
    <w:rsid w:val="003E2C8D"/>
    <w:rsid w:val="003E377A"/>
    <w:rsid w:val="003E4FCE"/>
    <w:rsid w:val="003E6EEF"/>
    <w:rsid w:val="003F1218"/>
    <w:rsid w:val="003F2E33"/>
    <w:rsid w:val="003F40E6"/>
    <w:rsid w:val="003F498E"/>
    <w:rsid w:val="003F5D18"/>
    <w:rsid w:val="00401998"/>
    <w:rsid w:val="004035A8"/>
    <w:rsid w:val="00405DBA"/>
    <w:rsid w:val="00411769"/>
    <w:rsid w:val="004141E0"/>
    <w:rsid w:val="00415E3F"/>
    <w:rsid w:val="00417738"/>
    <w:rsid w:val="00422B74"/>
    <w:rsid w:val="004317F2"/>
    <w:rsid w:val="004372D0"/>
    <w:rsid w:val="004379CA"/>
    <w:rsid w:val="00441F11"/>
    <w:rsid w:val="004436A1"/>
    <w:rsid w:val="004455C6"/>
    <w:rsid w:val="00445B8F"/>
    <w:rsid w:val="00451E37"/>
    <w:rsid w:val="004540FF"/>
    <w:rsid w:val="00456454"/>
    <w:rsid w:val="004625AC"/>
    <w:rsid w:val="004627D2"/>
    <w:rsid w:val="0046455F"/>
    <w:rsid w:val="00466205"/>
    <w:rsid w:val="0046673E"/>
    <w:rsid w:val="00476E07"/>
    <w:rsid w:val="004822D0"/>
    <w:rsid w:val="004834ED"/>
    <w:rsid w:val="00491729"/>
    <w:rsid w:val="00493546"/>
    <w:rsid w:val="004967DD"/>
    <w:rsid w:val="004A0097"/>
    <w:rsid w:val="004A39D5"/>
    <w:rsid w:val="004A5BE7"/>
    <w:rsid w:val="004A65AD"/>
    <w:rsid w:val="004A7EE3"/>
    <w:rsid w:val="004B690D"/>
    <w:rsid w:val="004C3169"/>
    <w:rsid w:val="004C4A4A"/>
    <w:rsid w:val="004C7DDD"/>
    <w:rsid w:val="004D76C0"/>
    <w:rsid w:val="004E0D51"/>
    <w:rsid w:val="004E1D16"/>
    <w:rsid w:val="004E22F2"/>
    <w:rsid w:val="004E55AF"/>
    <w:rsid w:val="004E7047"/>
    <w:rsid w:val="00501E0B"/>
    <w:rsid w:val="00501ECF"/>
    <w:rsid w:val="00502164"/>
    <w:rsid w:val="00502E94"/>
    <w:rsid w:val="00506542"/>
    <w:rsid w:val="005160A7"/>
    <w:rsid w:val="00516E0B"/>
    <w:rsid w:val="00516E53"/>
    <w:rsid w:val="0051749B"/>
    <w:rsid w:val="0052468B"/>
    <w:rsid w:val="0053676B"/>
    <w:rsid w:val="005546FB"/>
    <w:rsid w:val="005602C9"/>
    <w:rsid w:val="00560B3D"/>
    <w:rsid w:val="00561998"/>
    <w:rsid w:val="00561C67"/>
    <w:rsid w:val="00573054"/>
    <w:rsid w:val="00574223"/>
    <w:rsid w:val="00581F3D"/>
    <w:rsid w:val="005847B0"/>
    <w:rsid w:val="0058599B"/>
    <w:rsid w:val="00586EA2"/>
    <w:rsid w:val="005908AF"/>
    <w:rsid w:val="005948EE"/>
    <w:rsid w:val="005A2AAB"/>
    <w:rsid w:val="005A3A8A"/>
    <w:rsid w:val="005B193F"/>
    <w:rsid w:val="005B5DC6"/>
    <w:rsid w:val="005B5E7A"/>
    <w:rsid w:val="005D4A35"/>
    <w:rsid w:val="005E2967"/>
    <w:rsid w:val="005E3846"/>
    <w:rsid w:val="005E7093"/>
    <w:rsid w:val="005E7910"/>
    <w:rsid w:val="005F6930"/>
    <w:rsid w:val="00600005"/>
    <w:rsid w:val="006015E3"/>
    <w:rsid w:val="00603CD0"/>
    <w:rsid w:val="00613EBC"/>
    <w:rsid w:val="00613FD9"/>
    <w:rsid w:val="0062393A"/>
    <w:rsid w:val="006253AB"/>
    <w:rsid w:val="00634A54"/>
    <w:rsid w:val="00636488"/>
    <w:rsid w:val="00640829"/>
    <w:rsid w:val="00641DF2"/>
    <w:rsid w:val="0064550F"/>
    <w:rsid w:val="006516FF"/>
    <w:rsid w:val="00651BB5"/>
    <w:rsid w:val="0067203C"/>
    <w:rsid w:val="00674440"/>
    <w:rsid w:val="00682978"/>
    <w:rsid w:val="00683702"/>
    <w:rsid w:val="00684548"/>
    <w:rsid w:val="00685E18"/>
    <w:rsid w:val="006916A0"/>
    <w:rsid w:val="00692D5D"/>
    <w:rsid w:val="00694A29"/>
    <w:rsid w:val="00695E2D"/>
    <w:rsid w:val="00697148"/>
    <w:rsid w:val="00697661"/>
    <w:rsid w:val="006976E3"/>
    <w:rsid w:val="00697899"/>
    <w:rsid w:val="006A1B3F"/>
    <w:rsid w:val="006A575A"/>
    <w:rsid w:val="006B55C4"/>
    <w:rsid w:val="006C11F4"/>
    <w:rsid w:val="006C4DCB"/>
    <w:rsid w:val="006E081E"/>
    <w:rsid w:val="006E3995"/>
    <w:rsid w:val="006E4BFE"/>
    <w:rsid w:val="006F258C"/>
    <w:rsid w:val="00700AA7"/>
    <w:rsid w:val="00702D0E"/>
    <w:rsid w:val="00710275"/>
    <w:rsid w:val="007125C4"/>
    <w:rsid w:val="007135FD"/>
    <w:rsid w:val="00715388"/>
    <w:rsid w:val="00720A45"/>
    <w:rsid w:val="00727947"/>
    <w:rsid w:val="00730479"/>
    <w:rsid w:val="00731120"/>
    <w:rsid w:val="007354F1"/>
    <w:rsid w:val="00752726"/>
    <w:rsid w:val="00754830"/>
    <w:rsid w:val="00755EF5"/>
    <w:rsid w:val="00765C25"/>
    <w:rsid w:val="007703C2"/>
    <w:rsid w:val="00770D28"/>
    <w:rsid w:val="00776DC3"/>
    <w:rsid w:val="00785A94"/>
    <w:rsid w:val="007A02D4"/>
    <w:rsid w:val="007A2DCB"/>
    <w:rsid w:val="007A554B"/>
    <w:rsid w:val="007B3264"/>
    <w:rsid w:val="007B6B11"/>
    <w:rsid w:val="007C100C"/>
    <w:rsid w:val="007D09EE"/>
    <w:rsid w:val="007D60EB"/>
    <w:rsid w:val="007D693A"/>
    <w:rsid w:val="007F193F"/>
    <w:rsid w:val="007F4E55"/>
    <w:rsid w:val="007F7AB0"/>
    <w:rsid w:val="00803830"/>
    <w:rsid w:val="00806A15"/>
    <w:rsid w:val="00806C5F"/>
    <w:rsid w:val="00810963"/>
    <w:rsid w:val="008138E5"/>
    <w:rsid w:val="00820BBE"/>
    <w:rsid w:val="0082677A"/>
    <w:rsid w:val="008267BE"/>
    <w:rsid w:val="008316D6"/>
    <w:rsid w:val="00833F1C"/>
    <w:rsid w:val="00836AA8"/>
    <w:rsid w:val="00840EEF"/>
    <w:rsid w:val="00841FB3"/>
    <w:rsid w:val="0084735E"/>
    <w:rsid w:val="00850CB6"/>
    <w:rsid w:val="00855D82"/>
    <w:rsid w:val="00862D68"/>
    <w:rsid w:val="00867378"/>
    <w:rsid w:val="0087209A"/>
    <w:rsid w:val="0087255D"/>
    <w:rsid w:val="008725C0"/>
    <w:rsid w:val="0087553B"/>
    <w:rsid w:val="00876D81"/>
    <w:rsid w:val="008834F9"/>
    <w:rsid w:val="00893764"/>
    <w:rsid w:val="008A3354"/>
    <w:rsid w:val="008A3E8C"/>
    <w:rsid w:val="008A4FA9"/>
    <w:rsid w:val="008A7976"/>
    <w:rsid w:val="008B3E49"/>
    <w:rsid w:val="008C226B"/>
    <w:rsid w:val="008C6977"/>
    <w:rsid w:val="008C6EE3"/>
    <w:rsid w:val="008D5F2B"/>
    <w:rsid w:val="008D6E36"/>
    <w:rsid w:val="008D7449"/>
    <w:rsid w:val="008E00F1"/>
    <w:rsid w:val="008E0D89"/>
    <w:rsid w:val="008E2CB2"/>
    <w:rsid w:val="008F45DC"/>
    <w:rsid w:val="008F45EE"/>
    <w:rsid w:val="008F6147"/>
    <w:rsid w:val="00900B96"/>
    <w:rsid w:val="00901AB7"/>
    <w:rsid w:val="009024E1"/>
    <w:rsid w:val="009040B3"/>
    <w:rsid w:val="00904400"/>
    <w:rsid w:val="00905018"/>
    <w:rsid w:val="00905372"/>
    <w:rsid w:val="00905B07"/>
    <w:rsid w:val="00906F94"/>
    <w:rsid w:val="00927CA5"/>
    <w:rsid w:val="0093095E"/>
    <w:rsid w:val="00932B6D"/>
    <w:rsid w:val="00934559"/>
    <w:rsid w:val="00935377"/>
    <w:rsid w:val="009357B3"/>
    <w:rsid w:val="009365AF"/>
    <w:rsid w:val="00942055"/>
    <w:rsid w:val="009441C1"/>
    <w:rsid w:val="009457FB"/>
    <w:rsid w:val="00954ACB"/>
    <w:rsid w:val="009578DD"/>
    <w:rsid w:val="00965C8C"/>
    <w:rsid w:val="00972754"/>
    <w:rsid w:val="00985AB3"/>
    <w:rsid w:val="009918C1"/>
    <w:rsid w:val="0099242A"/>
    <w:rsid w:val="009951DA"/>
    <w:rsid w:val="00997A88"/>
    <w:rsid w:val="009A4ABC"/>
    <w:rsid w:val="009A5E3B"/>
    <w:rsid w:val="009A76DE"/>
    <w:rsid w:val="009B015C"/>
    <w:rsid w:val="009B1E1C"/>
    <w:rsid w:val="009C154F"/>
    <w:rsid w:val="009C157F"/>
    <w:rsid w:val="009C254D"/>
    <w:rsid w:val="009C3D38"/>
    <w:rsid w:val="009C41D0"/>
    <w:rsid w:val="009C4F1F"/>
    <w:rsid w:val="009D0F28"/>
    <w:rsid w:val="009D1190"/>
    <w:rsid w:val="009D4063"/>
    <w:rsid w:val="009E0555"/>
    <w:rsid w:val="009E2090"/>
    <w:rsid w:val="009E27C7"/>
    <w:rsid w:val="009E5426"/>
    <w:rsid w:val="009F3A84"/>
    <w:rsid w:val="009F5C73"/>
    <w:rsid w:val="00A022D2"/>
    <w:rsid w:val="00A0480E"/>
    <w:rsid w:val="00A061BC"/>
    <w:rsid w:val="00A06C07"/>
    <w:rsid w:val="00A07B31"/>
    <w:rsid w:val="00A15329"/>
    <w:rsid w:val="00A17344"/>
    <w:rsid w:val="00A2270E"/>
    <w:rsid w:val="00A23C92"/>
    <w:rsid w:val="00A25A8B"/>
    <w:rsid w:val="00A26226"/>
    <w:rsid w:val="00A448FF"/>
    <w:rsid w:val="00A45CBE"/>
    <w:rsid w:val="00A47302"/>
    <w:rsid w:val="00A723ED"/>
    <w:rsid w:val="00A87266"/>
    <w:rsid w:val="00AA0294"/>
    <w:rsid w:val="00AA4EBD"/>
    <w:rsid w:val="00AA5CEF"/>
    <w:rsid w:val="00AA73D3"/>
    <w:rsid w:val="00AA749F"/>
    <w:rsid w:val="00AB152D"/>
    <w:rsid w:val="00AB168E"/>
    <w:rsid w:val="00AB3882"/>
    <w:rsid w:val="00AB5668"/>
    <w:rsid w:val="00AC0BF6"/>
    <w:rsid w:val="00AC1CBD"/>
    <w:rsid w:val="00AC3CF5"/>
    <w:rsid w:val="00AD0991"/>
    <w:rsid w:val="00AD1677"/>
    <w:rsid w:val="00AD2319"/>
    <w:rsid w:val="00AD7E2B"/>
    <w:rsid w:val="00AE05FA"/>
    <w:rsid w:val="00AE0721"/>
    <w:rsid w:val="00AE3D6B"/>
    <w:rsid w:val="00AE42DA"/>
    <w:rsid w:val="00AE502C"/>
    <w:rsid w:val="00AE7E0F"/>
    <w:rsid w:val="00AF757E"/>
    <w:rsid w:val="00B01EEA"/>
    <w:rsid w:val="00B15570"/>
    <w:rsid w:val="00B23FCC"/>
    <w:rsid w:val="00B25350"/>
    <w:rsid w:val="00B253AC"/>
    <w:rsid w:val="00B25AED"/>
    <w:rsid w:val="00B34375"/>
    <w:rsid w:val="00B50D9A"/>
    <w:rsid w:val="00B51E05"/>
    <w:rsid w:val="00B57759"/>
    <w:rsid w:val="00B62537"/>
    <w:rsid w:val="00B65D48"/>
    <w:rsid w:val="00B676D6"/>
    <w:rsid w:val="00B71996"/>
    <w:rsid w:val="00B8176A"/>
    <w:rsid w:val="00B863C3"/>
    <w:rsid w:val="00B86A77"/>
    <w:rsid w:val="00B86D56"/>
    <w:rsid w:val="00B87B4C"/>
    <w:rsid w:val="00B87B7D"/>
    <w:rsid w:val="00B91201"/>
    <w:rsid w:val="00B937BC"/>
    <w:rsid w:val="00BA142D"/>
    <w:rsid w:val="00BA2974"/>
    <w:rsid w:val="00BA665C"/>
    <w:rsid w:val="00BB5221"/>
    <w:rsid w:val="00BB60A5"/>
    <w:rsid w:val="00BC3C1F"/>
    <w:rsid w:val="00BC4FD9"/>
    <w:rsid w:val="00BC79BA"/>
    <w:rsid w:val="00BD1EFC"/>
    <w:rsid w:val="00BD2BCC"/>
    <w:rsid w:val="00BD3CB4"/>
    <w:rsid w:val="00BD619F"/>
    <w:rsid w:val="00BF056A"/>
    <w:rsid w:val="00C041C7"/>
    <w:rsid w:val="00C06C5B"/>
    <w:rsid w:val="00C10824"/>
    <w:rsid w:val="00C12B37"/>
    <w:rsid w:val="00C159FD"/>
    <w:rsid w:val="00C426A4"/>
    <w:rsid w:val="00C459DF"/>
    <w:rsid w:val="00C57442"/>
    <w:rsid w:val="00C66DE7"/>
    <w:rsid w:val="00C755AC"/>
    <w:rsid w:val="00C779C8"/>
    <w:rsid w:val="00C81C63"/>
    <w:rsid w:val="00C84D80"/>
    <w:rsid w:val="00CA73D3"/>
    <w:rsid w:val="00CA7BD3"/>
    <w:rsid w:val="00CB112B"/>
    <w:rsid w:val="00CC0038"/>
    <w:rsid w:val="00CC06BD"/>
    <w:rsid w:val="00CC0924"/>
    <w:rsid w:val="00CD27F0"/>
    <w:rsid w:val="00CD4F71"/>
    <w:rsid w:val="00CD7B9D"/>
    <w:rsid w:val="00CE3555"/>
    <w:rsid w:val="00CE3598"/>
    <w:rsid w:val="00CE3C4A"/>
    <w:rsid w:val="00CF32F4"/>
    <w:rsid w:val="00CF596F"/>
    <w:rsid w:val="00D055D0"/>
    <w:rsid w:val="00D06269"/>
    <w:rsid w:val="00D07FD2"/>
    <w:rsid w:val="00D14AA6"/>
    <w:rsid w:val="00D153DD"/>
    <w:rsid w:val="00D15F7E"/>
    <w:rsid w:val="00D245DB"/>
    <w:rsid w:val="00D2466E"/>
    <w:rsid w:val="00D27092"/>
    <w:rsid w:val="00D2758D"/>
    <w:rsid w:val="00D275A0"/>
    <w:rsid w:val="00D41751"/>
    <w:rsid w:val="00D41BFA"/>
    <w:rsid w:val="00D572D0"/>
    <w:rsid w:val="00D62DE4"/>
    <w:rsid w:val="00D67D49"/>
    <w:rsid w:val="00D71827"/>
    <w:rsid w:val="00D72FF6"/>
    <w:rsid w:val="00D757D8"/>
    <w:rsid w:val="00D75A61"/>
    <w:rsid w:val="00D75ADE"/>
    <w:rsid w:val="00D8588D"/>
    <w:rsid w:val="00D85DA4"/>
    <w:rsid w:val="00D86A3F"/>
    <w:rsid w:val="00D90DE3"/>
    <w:rsid w:val="00D9307A"/>
    <w:rsid w:val="00D96548"/>
    <w:rsid w:val="00D97B24"/>
    <w:rsid w:val="00DA535B"/>
    <w:rsid w:val="00DA6972"/>
    <w:rsid w:val="00DA7709"/>
    <w:rsid w:val="00DB1368"/>
    <w:rsid w:val="00DB3F0B"/>
    <w:rsid w:val="00DB5690"/>
    <w:rsid w:val="00DB5D68"/>
    <w:rsid w:val="00DC1DF0"/>
    <w:rsid w:val="00DC3ED0"/>
    <w:rsid w:val="00DC6BD7"/>
    <w:rsid w:val="00DD03F1"/>
    <w:rsid w:val="00DE05B5"/>
    <w:rsid w:val="00DE414E"/>
    <w:rsid w:val="00DE69A3"/>
    <w:rsid w:val="00DF28F2"/>
    <w:rsid w:val="00DF6690"/>
    <w:rsid w:val="00DF6757"/>
    <w:rsid w:val="00E078ED"/>
    <w:rsid w:val="00E13FB7"/>
    <w:rsid w:val="00E146BF"/>
    <w:rsid w:val="00E16CCC"/>
    <w:rsid w:val="00E1758E"/>
    <w:rsid w:val="00E36B83"/>
    <w:rsid w:val="00E4060B"/>
    <w:rsid w:val="00E4468D"/>
    <w:rsid w:val="00E45016"/>
    <w:rsid w:val="00E458C4"/>
    <w:rsid w:val="00E46E30"/>
    <w:rsid w:val="00E474BC"/>
    <w:rsid w:val="00E51B6A"/>
    <w:rsid w:val="00E60C69"/>
    <w:rsid w:val="00E7795C"/>
    <w:rsid w:val="00E81B22"/>
    <w:rsid w:val="00E81DD6"/>
    <w:rsid w:val="00E86416"/>
    <w:rsid w:val="00E918A7"/>
    <w:rsid w:val="00EA0F58"/>
    <w:rsid w:val="00EA1D44"/>
    <w:rsid w:val="00EB166E"/>
    <w:rsid w:val="00EB3377"/>
    <w:rsid w:val="00EB7A31"/>
    <w:rsid w:val="00EC2442"/>
    <w:rsid w:val="00EC3EDA"/>
    <w:rsid w:val="00EC6C08"/>
    <w:rsid w:val="00ED4E78"/>
    <w:rsid w:val="00EE3729"/>
    <w:rsid w:val="00EE4303"/>
    <w:rsid w:val="00EE7083"/>
    <w:rsid w:val="00EF012A"/>
    <w:rsid w:val="00EF6776"/>
    <w:rsid w:val="00EF6C32"/>
    <w:rsid w:val="00F01C35"/>
    <w:rsid w:val="00F05DB4"/>
    <w:rsid w:val="00F116AE"/>
    <w:rsid w:val="00F15401"/>
    <w:rsid w:val="00F22726"/>
    <w:rsid w:val="00F26608"/>
    <w:rsid w:val="00F46953"/>
    <w:rsid w:val="00F50BF5"/>
    <w:rsid w:val="00F52527"/>
    <w:rsid w:val="00F57AD9"/>
    <w:rsid w:val="00F609E7"/>
    <w:rsid w:val="00F64EB3"/>
    <w:rsid w:val="00F66B8C"/>
    <w:rsid w:val="00F71CDD"/>
    <w:rsid w:val="00F7344F"/>
    <w:rsid w:val="00F74B11"/>
    <w:rsid w:val="00F752A9"/>
    <w:rsid w:val="00F76315"/>
    <w:rsid w:val="00F8143B"/>
    <w:rsid w:val="00F8646D"/>
    <w:rsid w:val="00F86AAF"/>
    <w:rsid w:val="00F94863"/>
    <w:rsid w:val="00F95170"/>
    <w:rsid w:val="00FA4C5C"/>
    <w:rsid w:val="00FA7485"/>
    <w:rsid w:val="00FC0D6A"/>
    <w:rsid w:val="00FD2315"/>
    <w:rsid w:val="00FD315E"/>
    <w:rsid w:val="00FF230B"/>
    <w:rsid w:val="00FF58B5"/>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94C1"/>
  <w15:docId w15:val="{08246A12-9203-4AD8-8218-0C9AA168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rsid w:val="001F7745"/>
    <w:pPr>
      <w:ind w:left="720"/>
      <w:contextualSpacing/>
    </w:p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link w:val="ListParagraph"/>
    <w:uiPriority w:val="34"/>
    <w:qFormat/>
    <w:rsid w:val="00D71827"/>
  </w:style>
  <w:style w:type="paragraph" w:styleId="BalloonText">
    <w:name w:val="Balloon Text"/>
    <w:basedOn w:val="Normal"/>
    <w:link w:val="BalloonTextChar"/>
    <w:uiPriority w:val="99"/>
    <w:semiHidden/>
    <w:unhideWhenUsed/>
    <w:rsid w:val="00516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E0B"/>
    <w:rPr>
      <w:rFonts w:ascii="Segoe UI" w:hAnsi="Segoe UI" w:cs="Segoe UI"/>
      <w:sz w:val="18"/>
      <w:szCs w:val="18"/>
    </w:rPr>
  </w:style>
  <w:style w:type="paragraph" w:styleId="FootnoteText">
    <w:name w:val="footnote text"/>
    <w:basedOn w:val="Normal"/>
    <w:link w:val="FootnoteTextChar"/>
    <w:uiPriority w:val="99"/>
    <w:semiHidden/>
    <w:unhideWhenUsed/>
    <w:rsid w:val="00F46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953"/>
    <w:rPr>
      <w:sz w:val="20"/>
      <w:szCs w:val="20"/>
    </w:rPr>
  </w:style>
  <w:style w:type="character" w:styleId="FootnoteReference">
    <w:name w:val="footnote reference"/>
    <w:basedOn w:val="DefaultParagraphFont"/>
    <w:uiPriority w:val="99"/>
    <w:semiHidden/>
    <w:unhideWhenUsed/>
    <w:rsid w:val="00F46953"/>
    <w:rPr>
      <w:vertAlign w:val="superscript"/>
    </w:rPr>
  </w:style>
  <w:style w:type="paragraph" w:styleId="Header">
    <w:name w:val="header"/>
    <w:basedOn w:val="Normal"/>
    <w:link w:val="HeaderChar"/>
    <w:uiPriority w:val="99"/>
    <w:unhideWhenUsed/>
    <w:rsid w:val="00034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0C"/>
  </w:style>
  <w:style w:type="paragraph" w:styleId="Footer">
    <w:name w:val="footer"/>
    <w:basedOn w:val="Normal"/>
    <w:link w:val="FooterChar"/>
    <w:uiPriority w:val="99"/>
    <w:unhideWhenUsed/>
    <w:rsid w:val="00034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0C"/>
  </w:style>
  <w:style w:type="character" w:styleId="CommentReference">
    <w:name w:val="annotation reference"/>
    <w:basedOn w:val="DefaultParagraphFont"/>
    <w:uiPriority w:val="99"/>
    <w:semiHidden/>
    <w:unhideWhenUsed/>
    <w:rsid w:val="00160FAD"/>
    <w:rPr>
      <w:sz w:val="16"/>
      <w:szCs w:val="16"/>
    </w:rPr>
  </w:style>
  <w:style w:type="paragraph" w:styleId="CommentText">
    <w:name w:val="annotation text"/>
    <w:basedOn w:val="Normal"/>
    <w:link w:val="CommentTextChar"/>
    <w:uiPriority w:val="99"/>
    <w:semiHidden/>
    <w:unhideWhenUsed/>
    <w:rsid w:val="00160FAD"/>
    <w:pPr>
      <w:spacing w:line="240" w:lineRule="auto"/>
    </w:pPr>
    <w:rPr>
      <w:sz w:val="20"/>
      <w:szCs w:val="20"/>
    </w:rPr>
  </w:style>
  <w:style w:type="character" w:customStyle="1" w:styleId="CommentTextChar">
    <w:name w:val="Comment Text Char"/>
    <w:basedOn w:val="DefaultParagraphFont"/>
    <w:link w:val="CommentText"/>
    <w:uiPriority w:val="99"/>
    <w:semiHidden/>
    <w:rsid w:val="00160FAD"/>
    <w:rPr>
      <w:sz w:val="20"/>
      <w:szCs w:val="20"/>
    </w:rPr>
  </w:style>
  <w:style w:type="paragraph" w:styleId="CommentSubject">
    <w:name w:val="annotation subject"/>
    <w:basedOn w:val="CommentText"/>
    <w:next w:val="CommentText"/>
    <w:link w:val="CommentSubjectChar"/>
    <w:uiPriority w:val="99"/>
    <w:semiHidden/>
    <w:unhideWhenUsed/>
    <w:rsid w:val="00160FAD"/>
    <w:rPr>
      <w:b/>
      <w:bCs/>
    </w:rPr>
  </w:style>
  <w:style w:type="character" w:customStyle="1" w:styleId="CommentSubjectChar">
    <w:name w:val="Comment Subject Char"/>
    <w:basedOn w:val="CommentTextChar"/>
    <w:link w:val="CommentSubject"/>
    <w:uiPriority w:val="99"/>
    <w:semiHidden/>
    <w:rsid w:val="00160FAD"/>
    <w:rPr>
      <w:b/>
      <w:bCs/>
      <w:sz w:val="20"/>
      <w:szCs w:val="20"/>
    </w:rPr>
  </w:style>
  <w:style w:type="character" w:styleId="Hyperlink">
    <w:name w:val="Hyperlink"/>
    <w:basedOn w:val="DefaultParagraphFont"/>
    <w:uiPriority w:val="99"/>
    <w:unhideWhenUsed/>
    <w:rsid w:val="00641DF2"/>
    <w:rPr>
      <w:color w:val="0563C1" w:themeColor="hyperlink"/>
      <w:u w:val="single"/>
    </w:rPr>
  </w:style>
  <w:style w:type="paragraph" w:styleId="Revision">
    <w:name w:val="Revision"/>
    <w:hidden/>
    <w:uiPriority w:val="99"/>
    <w:semiHidden/>
    <w:rsid w:val="007F7AB0"/>
    <w:pPr>
      <w:spacing w:after="0" w:line="240" w:lineRule="auto"/>
    </w:pPr>
  </w:style>
  <w:style w:type="character" w:styleId="FollowedHyperlink">
    <w:name w:val="FollowedHyperlink"/>
    <w:basedOn w:val="DefaultParagraphFont"/>
    <w:uiPriority w:val="99"/>
    <w:semiHidden/>
    <w:unhideWhenUsed/>
    <w:rsid w:val="004A3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88872">
      <w:bodyDiv w:val="1"/>
      <w:marLeft w:val="0"/>
      <w:marRight w:val="0"/>
      <w:marTop w:val="0"/>
      <w:marBottom w:val="0"/>
      <w:divBdr>
        <w:top w:val="none" w:sz="0" w:space="0" w:color="auto"/>
        <w:left w:val="none" w:sz="0" w:space="0" w:color="auto"/>
        <w:bottom w:val="none" w:sz="0" w:space="0" w:color="auto"/>
        <w:right w:val="none" w:sz="0" w:space="0" w:color="auto"/>
      </w:divBdr>
    </w:div>
    <w:div w:id="1041899966">
      <w:bodyDiv w:val="1"/>
      <w:marLeft w:val="0"/>
      <w:marRight w:val="0"/>
      <w:marTop w:val="0"/>
      <w:marBottom w:val="0"/>
      <w:divBdr>
        <w:top w:val="none" w:sz="0" w:space="0" w:color="auto"/>
        <w:left w:val="none" w:sz="0" w:space="0" w:color="auto"/>
        <w:bottom w:val="none" w:sz="0" w:space="0" w:color="auto"/>
        <w:right w:val="none" w:sz="0" w:space="0" w:color="auto"/>
      </w:divBdr>
    </w:div>
    <w:div w:id="1523854778">
      <w:bodyDiv w:val="1"/>
      <w:marLeft w:val="0"/>
      <w:marRight w:val="0"/>
      <w:marTop w:val="0"/>
      <w:marBottom w:val="0"/>
      <w:divBdr>
        <w:top w:val="none" w:sz="0" w:space="0" w:color="auto"/>
        <w:left w:val="none" w:sz="0" w:space="0" w:color="auto"/>
        <w:bottom w:val="none" w:sz="0" w:space="0" w:color="auto"/>
        <w:right w:val="none" w:sz="0" w:space="0" w:color="auto"/>
      </w:divBdr>
    </w:div>
    <w:div w:id="1562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polic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0DACB3EFA3643A0C1CAB32B24CBC1" ma:contentTypeVersion="9" ma:contentTypeDescription="Create a new document." ma:contentTypeScope="" ma:versionID="8b4c4a1b9ccf13ce7250172b58fa9d09">
  <xsd:schema xmlns:xsd="http://www.w3.org/2001/XMLSchema" xmlns:xs="http://www.w3.org/2001/XMLSchema" xmlns:p="http://schemas.microsoft.com/office/2006/metadata/properties" xmlns:ns3="927f0644-dda7-427c-a6be-fd878939c9ff" targetNamespace="http://schemas.microsoft.com/office/2006/metadata/properties" ma:root="true" ma:fieldsID="174277abd79caa8ca854f1a0b6e91ba7" ns3:_="">
    <xsd:import namespace="927f0644-dda7-427c-a6be-fd878939c9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f0644-dda7-427c-a6be-fd878939c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BA5A-8682-4493-AFF2-7022399A3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f0644-dda7-427c-a6be-fd878939c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BC209-8773-489E-8115-5AD6ED5F916E}">
  <ds:schemaRefs>
    <ds:schemaRef ds:uri="http://schemas.microsoft.com/sharepoint/v3/contenttype/forms"/>
  </ds:schemaRefs>
</ds:datastoreItem>
</file>

<file path=customXml/itemProps3.xml><?xml version="1.0" encoding="utf-8"?>
<ds:datastoreItem xmlns:ds="http://schemas.openxmlformats.org/officeDocument/2006/customXml" ds:itemID="{694BE951-DA49-4C35-8A44-0D365183D23C}">
  <ds:schemaRefs>
    <ds:schemaRef ds:uri="http://schemas.microsoft.com/office/2006/documentManagement/types"/>
    <ds:schemaRef ds:uri="927f0644-dda7-427c-a6be-fd878939c9ff"/>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BE45A7A9-9C37-4FFF-B7DE-EBBBD3E5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Fyfe</dc:creator>
  <cp:keywords/>
  <dc:description/>
  <cp:lastModifiedBy>Sandra Koch</cp:lastModifiedBy>
  <cp:revision>4</cp:revision>
  <cp:lastPrinted>2018-12-05T15:00:00Z</cp:lastPrinted>
  <dcterms:created xsi:type="dcterms:W3CDTF">2020-04-02T09:51:00Z</dcterms:created>
  <dcterms:modified xsi:type="dcterms:W3CDTF">2020-07-01T11:28:00Z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0x0101006A50DACB3EFA3643A0C1CAB32B24CBC1</vt:lpwstr>
  </property>
</Properties>
</file>