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D3" w:rsidRDefault="005079D3"/>
    <w:p w:rsidR="005A04CD" w:rsidRPr="00AE4AF4" w:rsidRDefault="005A04CD">
      <w:pPr>
        <w:rPr>
          <w:rFonts w:ascii="Arial Narrow" w:hAnsi="Arial Narrow"/>
          <w:b/>
          <w:sz w:val="36"/>
          <w:szCs w:val="36"/>
        </w:rPr>
      </w:pPr>
      <w:r w:rsidRPr="00AE4AF4">
        <w:rPr>
          <w:rFonts w:ascii="Arial Narrow" w:hAnsi="Arial Narrow"/>
          <w:b/>
          <w:sz w:val="36"/>
          <w:szCs w:val="36"/>
        </w:rPr>
        <w:t>Evaluation Plan</w:t>
      </w:r>
      <w:r w:rsidR="00B74D76">
        <w:rPr>
          <w:rFonts w:ascii="Arial Narrow" w:hAnsi="Arial Narrow"/>
          <w:b/>
          <w:sz w:val="36"/>
          <w:szCs w:val="36"/>
        </w:rPr>
        <w:t xml:space="preserve"> RPD RLA 2008-2013</w:t>
      </w:r>
    </w:p>
    <w:p w:rsidR="005A04CD" w:rsidRPr="005A04CD" w:rsidRDefault="005A04CD">
      <w:pPr>
        <w:rPr>
          <w:rFonts w:ascii="Arial Narrow" w:hAnsi="Arial Narrow"/>
          <w:b/>
          <w:sz w:val="22"/>
          <w:szCs w:val="22"/>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164"/>
        <w:gridCol w:w="2544"/>
        <w:gridCol w:w="979"/>
        <w:gridCol w:w="1210"/>
        <w:gridCol w:w="2700"/>
        <w:gridCol w:w="1652"/>
        <w:gridCol w:w="1207"/>
      </w:tblGrid>
      <w:tr w:rsidR="00E20435" w:rsidRPr="00554043" w:rsidTr="00023208">
        <w:trPr>
          <w:trHeight w:val="845"/>
        </w:trPr>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Evaluation Title</w:t>
            </w:r>
          </w:p>
          <w:p w:rsidR="005A04CD" w:rsidRPr="005A04CD" w:rsidRDefault="005A04CD" w:rsidP="00023208">
            <w:pPr>
              <w:spacing w:before="40" w:after="40"/>
              <w:rPr>
                <w:rFonts w:ascii="Arial Narrow" w:hAnsi="Arial Narrow"/>
                <w:b/>
                <w:bCs/>
                <w:sz w:val="20"/>
                <w:szCs w:val="20"/>
                <w:lang w:val="en-GB"/>
              </w:rPr>
            </w:pP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Partners</w:t>
            </w:r>
          </w:p>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(joint evaluation)</w:t>
            </w:r>
          </w:p>
          <w:p w:rsidR="005A04CD" w:rsidRPr="005A04CD" w:rsidRDefault="005A04CD" w:rsidP="00023208">
            <w:pPr>
              <w:spacing w:before="40" w:after="40"/>
              <w:rPr>
                <w:rFonts w:ascii="Arial Narrow" w:hAnsi="Arial Narrow"/>
                <w:b/>
                <w:bCs/>
                <w:sz w:val="20"/>
                <w:szCs w:val="20"/>
                <w:lang w:val="en-GB"/>
              </w:rPr>
            </w:pP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Strategic Plan Results Area</w:t>
            </w: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5A04CD">
            <w:pPr>
              <w:spacing w:before="40" w:after="40"/>
              <w:rPr>
                <w:rFonts w:ascii="Arial Narrow" w:hAnsi="Arial Narrow"/>
                <w:b/>
                <w:bCs/>
                <w:sz w:val="20"/>
                <w:szCs w:val="20"/>
                <w:lang w:val="en-GB"/>
              </w:rPr>
            </w:pPr>
            <w:r w:rsidRPr="005A04CD">
              <w:rPr>
                <w:rFonts w:ascii="Arial Narrow" w:hAnsi="Arial Narrow"/>
                <w:b/>
                <w:bCs/>
                <w:sz w:val="20"/>
                <w:szCs w:val="20"/>
                <w:lang w:val="en-GB"/>
              </w:rPr>
              <w:t>CPD or CPAP Outcome</w:t>
            </w: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5A04CD">
            <w:pPr>
              <w:spacing w:before="40" w:after="40"/>
              <w:rPr>
                <w:rFonts w:ascii="Arial Narrow" w:hAnsi="Arial Narrow"/>
                <w:b/>
                <w:bCs/>
                <w:sz w:val="20"/>
                <w:szCs w:val="20"/>
                <w:lang w:val="en-GB"/>
              </w:rPr>
            </w:pPr>
            <w:r w:rsidRPr="005A04CD">
              <w:rPr>
                <w:rFonts w:ascii="Arial Narrow" w:hAnsi="Arial Narrow"/>
                <w:b/>
                <w:bCs/>
                <w:sz w:val="20"/>
                <w:szCs w:val="20"/>
                <w:lang w:val="en-GB"/>
              </w:rPr>
              <w:t>Planned Evaluation Completion Date</w:t>
            </w: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Key evaluation stakeholders</w:t>
            </w: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023208">
            <w:pPr>
              <w:spacing w:before="40" w:after="40"/>
              <w:rPr>
                <w:rFonts w:ascii="Arial Narrow" w:hAnsi="Arial Narrow"/>
                <w:b/>
                <w:bCs/>
                <w:sz w:val="20"/>
                <w:szCs w:val="20"/>
                <w:lang w:val="en-GB"/>
              </w:rPr>
            </w:pPr>
            <w:r w:rsidRPr="005A04CD">
              <w:rPr>
                <w:rFonts w:ascii="Arial Narrow" w:hAnsi="Arial Narrow"/>
                <w:b/>
                <w:bCs/>
                <w:sz w:val="20"/>
                <w:szCs w:val="20"/>
                <w:lang w:val="en-GB"/>
              </w:rPr>
              <w:t>Source of Funding for Evaluation</w:t>
            </w:r>
          </w:p>
        </w:tc>
        <w:tc>
          <w:tcPr>
            <w:tcW w:w="0" w:type="auto"/>
            <w:tcBorders>
              <w:top w:val="single" w:sz="4" w:space="0" w:color="auto"/>
              <w:left w:val="single" w:sz="4" w:space="0" w:color="auto"/>
              <w:bottom w:val="thinThickSmallGap" w:sz="24" w:space="0" w:color="auto"/>
              <w:right w:val="single" w:sz="4" w:space="0" w:color="auto"/>
            </w:tcBorders>
            <w:shd w:val="clear" w:color="auto" w:fill="F3F3F3"/>
            <w:vAlign w:val="center"/>
          </w:tcPr>
          <w:p w:rsidR="005A04CD" w:rsidRPr="005A04CD" w:rsidRDefault="005A04CD" w:rsidP="005A04CD">
            <w:pPr>
              <w:spacing w:before="40" w:after="40"/>
              <w:rPr>
                <w:rFonts w:ascii="Arial Narrow" w:hAnsi="Arial Narrow"/>
                <w:b/>
                <w:bCs/>
                <w:sz w:val="20"/>
                <w:szCs w:val="20"/>
                <w:lang w:val="en-GB"/>
              </w:rPr>
            </w:pPr>
            <w:r w:rsidRPr="005A04CD">
              <w:rPr>
                <w:rFonts w:ascii="Arial Narrow" w:hAnsi="Arial Narrow"/>
                <w:b/>
                <w:bCs/>
                <w:sz w:val="20"/>
                <w:szCs w:val="20"/>
                <w:lang w:val="en-GB"/>
              </w:rPr>
              <w:t>Mandatory Evaluation? (Y/N)</w:t>
            </w:r>
          </w:p>
        </w:tc>
      </w:tr>
      <w:tr w:rsidR="005A04CD" w:rsidRPr="00554043" w:rsidTr="00023208">
        <w:tc>
          <w:tcPr>
            <w:tcW w:w="0" w:type="auto"/>
            <w:gridSpan w:val="8"/>
            <w:tcBorders>
              <w:top w:val="thinThickSmallGap" w:sz="24" w:space="0" w:color="auto"/>
              <w:left w:val="single" w:sz="4" w:space="0" w:color="auto"/>
              <w:bottom w:val="thinThickSmallGap" w:sz="24" w:space="0" w:color="auto"/>
              <w:right w:val="single" w:sz="4" w:space="0" w:color="auto"/>
            </w:tcBorders>
          </w:tcPr>
          <w:p w:rsidR="005A04CD" w:rsidRPr="001E732B" w:rsidRDefault="005A04CD" w:rsidP="00023208">
            <w:pPr>
              <w:rPr>
                <w:rStyle w:val="CommentReference"/>
                <w:i/>
                <w:lang w:eastAsia="uk-UA"/>
              </w:rPr>
            </w:pPr>
            <w:r w:rsidRPr="001E732B">
              <w:rPr>
                <w:rStyle w:val="CommentReference"/>
                <w:i/>
                <w:lang w:eastAsia="uk-UA"/>
              </w:rPr>
              <w:t>Outcome Evaluations</w:t>
            </w:r>
          </w:p>
        </w:tc>
      </w:tr>
      <w:tr w:rsidR="008316A5" w:rsidRPr="00554043" w:rsidTr="00023208">
        <w:trPr>
          <w:trHeight w:val="3582"/>
        </w:trPr>
        <w:tc>
          <w:tcPr>
            <w:tcW w:w="0" w:type="auto"/>
            <w:tcBorders>
              <w:top w:val="thinThickSmallGap" w:sz="24" w:space="0" w:color="auto"/>
              <w:left w:val="single" w:sz="4" w:space="0" w:color="auto"/>
              <w:bottom w:val="single" w:sz="4" w:space="0" w:color="auto"/>
              <w:right w:val="single" w:sz="4" w:space="0" w:color="auto"/>
            </w:tcBorders>
            <w:vAlign w:val="center"/>
          </w:tcPr>
          <w:p w:rsidR="005A04CD" w:rsidRPr="00B91C61" w:rsidRDefault="00AC66D9" w:rsidP="00023208">
            <w:pPr>
              <w:rPr>
                <w:b/>
                <w:sz w:val="18"/>
                <w:szCs w:val="18"/>
              </w:rPr>
            </w:pPr>
            <w:r>
              <w:rPr>
                <w:b/>
                <w:sz w:val="18"/>
                <w:szCs w:val="18"/>
              </w:rPr>
              <w:t>Outcome Oriented Mid Term Evaluation</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AC66D9" w:rsidP="00023208">
            <w:pPr>
              <w:rPr>
                <w:sz w:val="18"/>
                <w:szCs w:val="18"/>
              </w:rPr>
            </w:pPr>
            <w:r>
              <w:rPr>
                <w:sz w:val="18"/>
                <w:szCs w:val="18"/>
              </w:rPr>
              <w:t>COs, UN entities, Evaluation Office</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4736AB" w:rsidP="008316A5">
            <w:pPr>
              <w:numPr>
                <w:ilvl w:val="0"/>
                <w:numId w:val="2"/>
              </w:numPr>
              <w:rPr>
                <w:sz w:val="18"/>
                <w:szCs w:val="18"/>
              </w:rPr>
            </w:pPr>
            <w:r>
              <w:rPr>
                <w:sz w:val="18"/>
                <w:szCs w:val="18"/>
              </w:rPr>
              <w:t>Poverty Reduction and MDG Achievement</w:t>
            </w:r>
          </w:p>
          <w:p w:rsidR="004736AB" w:rsidRDefault="004736AB" w:rsidP="008316A5">
            <w:pPr>
              <w:numPr>
                <w:ilvl w:val="0"/>
                <w:numId w:val="2"/>
              </w:numPr>
              <w:rPr>
                <w:sz w:val="18"/>
                <w:szCs w:val="18"/>
              </w:rPr>
            </w:pPr>
            <w:r>
              <w:rPr>
                <w:sz w:val="18"/>
                <w:szCs w:val="18"/>
              </w:rPr>
              <w:t>Fostering Democratic Governance</w:t>
            </w:r>
          </w:p>
          <w:p w:rsidR="004736AB" w:rsidRDefault="004736AB" w:rsidP="008316A5">
            <w:pPr>
              <w:numPr>
                <w:ilvl w:val="0"/>
                <w:numId w:val="2"/>
              </w:numPr>
              <w:rPr>
                <w:sz w:val="18"/>
                <w:szCs w:val="18"/>
              </w:rPr>
            </w:pPr>
            <w:r>
              <w:rPr>
                <w:sz w:val="18"/>
                <w:szCs w:val="18"/>
              </w:rPr>
              <w:t>Supporting Crisis Prevention and Recovery</w:t>
            </w:r>
          </w:p>
          <w:p w:rsidR="004736AB" w:rsidRDefault="004736AB" w:rsidP="008316A5">
            <w:pPr>
              <w:numPr>
                <w:ilvl w:val="0"/>
                <w:numId w:val="2"/>
              </w:numPr>
              <w:rPr>
                <w:sz w:val="18"/>
                <w:szCs w:val="18"/>
              </w:rPr>
            </w:pPr>
            <w:r>
              <w:rPr>
                <w:sz w:val="18"/>
                <w:szCs w:val="18"/>
              </w:rPr>
              <w:t>Managing Energy and Environment</w:t>
            </w:r>
          </w:p>
          <w:p w:rsidR="004736AB" w:rsidRDefault="004736AB" w:rsidP="008316A5">
            <w:pPr>
              <w:numPr>
                <w:ilvl w:val="0"/>
                <w:numId w:val="2"/>
              </w:numPr>
              <w:rPr>
                <w:sz w:val="18"/>
                <w:szCs w:val="18"/>
              </w:rPr>
            </w:pPr>
            <w:r>
              <w:rPr>
                <w:sz w:val="18"/>
                <w:szCs w:val="18"/>
              </w:rPr>
              <w:t>Cross-cutting Development issue</w:t>
            </w:r>
          </w:p>
          <w:p w:rsidR="004736AB" w:rsidRDefault="004736AB" w:rsidP="008316A5">
            <w:pPr>
              <w:rPr>
                <w:sz w:val="18"/>
                <w:szCs w:val="18"/>
              </w:rPr>
            </w:pPr>
          </w:p>
          <w:p w:rsidR="004736AB" w:rsidRDefault="004736AB" w:rsidP="008316A5">
            <w:pPr>
              <w:rPr>
                <w:sz w:val="18"/>
                <w:szCs w:val="18"/>
              </w:rPr>
            </w:pP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0741C8" w:rsidP="005A04CD">
            <w:pPr>
              <w:jc w:val="center"/>
              <w:rPr>
                <w:sz w:val="18"/>
                <w:szCs w:val="18"/>
              </w:rPr>
            </w:pPr>
            <w:r>
              <w:rPr>
                <w:sz w:val="18"/>
                <w:szCs w:val="18"/>
              </w:rPr>
              <w:t>All</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4736AB" w:rsidP="005A04CD">
            <w:pPr>
              <w:jc w:val="center"/>
              <w:rPr>
                <w:sz w:val="18"/>
                <w:szCs w:val="18"/>
              </w:rPr>
            </w:pPr>
            <w:r>
              <w:rPr>
                <w:sz w:val="18"/>
                <w:szCs w:val="18"/>
              </w:rPr>
              <w:t xml:space="preserve">November </w:t>
            </w:r>
            <w:r w:rsidR="005227BB">
              <w:rPr>
                <w:sz w:val="18"/>
                <w:szCs w:val="18"/>
              </w:rPr>
              <w:t>2011</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AC66D9" w:rsidP="00023208">
            <w:pPr>
              <w:spacing w:before="40" w:after="40"/>
              <w:rPr>
                <w:sz w:val="18"/>
                <w:szCs w:val="18"/>
              </w:rPr>
            </w:pPr>
            <w:r>
              <w:rPr>
                <w:sz w:val="18"/>
                <w:szCs w:val="18"/>
              </w:rPr>
              <w:t>Govt. Organizations, COs, UN entities, implementing partners, CSOs, donors.</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AC66D9" w:rsidP="00023208">
            <w:pPr>
              <w:rPr>
                <w:sz w:val="18"/>
                <w:szCs w:val="18"/>
              </w:rPr>
            </w:pPr>
            <w:r>
              <w:rPr>
                <w:sz w:val="18"/>
                <w:szCs w:val="18"/>
              </w:rPr>
              <w:t>Projects, XB</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AC66D9" w:rsidP="005A04CD">
            <w:pPr>
              <w:jc w:val="center"/>
              <w:rPr>
                <w:rStyle w:val="CommentReference"/>
                <w:sz w:val="18"/>
                <w:szCs w:val="18"/>
                <w:lang w:eastAsia="uk-UA"/>
              </w:rPr>
            </w:pPr>
            <w:r>
              <w:rPr>
                <w:rStyle w:val="CommentReference"/>
                <w:sz w:val="18"/>
                <w:szCs w:val="18"/>
                <w:lang w:eastAsia="uk-UA"/>
              </w:rPr>
              <w:t>YES</w:t>
            </w:r>
          </w:p>
        </w:tc>
      </w:tr>
      <w:tr w:rsidR="005A04CD" w:rsidRPr="00554043" w:rsidTr="00023208">
        <w:trPr>
          <w:trHeight w:val="288"/>
        </w:trPr>
        <w:tc>
          <w:tcPr>
            <w:tcW w:w="0" w:type="auto"/>
            <w:gridSpan w:val="8"/>
            <w:tcBorders>
              <w:top w:val="thinThickSmallGap" w:sz="24" w:space="0" w:color="auto"/>
              <w:left w:val="single" w:sz="4" w:space="0" w:color="auto"/>
              <w:bottom w:val="thinThickSmallGap" w:sz="24" w:space="0" w:color="auto"/>
              <w:right w:val="single" w:sz="4" w:space="0" w:color="auto"/>
            </w:tcBorders>
          </w:tcPr>
          <w:p w:rsidR="005A04CD" w:rsidRPr="001E732B" w:rsidRDefault="005A04CD" w:rsidP="008316A5">
            <w:pPr>
              <w:rPr>
                <w:rStyle w:val="CommentReference"/>
                <w:i/>
                <w:lang w:eastAsia="uk-UA"/>
              </w:rPr>
            </w:pPr>
            <w:r w:rsidRPr="001E732B">
              <w:rPr>
                <w:rStyle w:val="CommentReference"/>
                <w:i/>
                <w:lang w:eastAsia="uk-UA"/>
              </w:rPr>
              <w:t>Project Evaluations</w:t>
            </w:r>
          </w:p>
        </w:tc>
      </w:tr>
      <w:tr w:rsidR="008316A5" w:rsidRPr="00A966BA" w:rsidTr="00023208">
        <w:tc>
          <w:tcPr>
            <w:tcW w:w="0" w:type="auto"/>
            <w:tcBorders>
              <w:top w:val="thinThickSmallGap" w:sz="24" w:space="0" w:color="auto"/>
              <w:left w:val="single" w:sz="4" w:space="0" w:color="auto"/>
              <w:bottom w:val="single" w:sz="4" w:space="0" w:color="auto"/>
              <w:right w:val="single" w:sz="4" w:space="0" w:color="auto"/>
            </w:tcBorders>
            <w:vAlign w:val="center"/>
          </w:tcPr>
          <w:p w:rsidR="005A04CD" w:rsidRPr="00A966BA" w:rsidRDefault="00B565F6" w:rsidP="00023208">
            <w:pPr>
              <w:rPr>
                <w:sz w:val="18"/>
                <w:szCs w:val="18"/>
              </w:rPr>
            </w:pPr>
            <w:r w:rsidRPr="00B565F6">
              <w:rPr>
                <w:sz w:val="18"/>
                <w:szCs w:val="18"/>
              </w:rPr>
              <w:t xml:space="preserve">Evaluation Sharing Knowledge for Development Project </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334D3A" w:rsidP="00023208">
            <w:pPr>
              <w:rPr>
                <w:sz w:val="18"/>
                <w:szCs w:val="18"/>
              </w:rPr>
            </w:pPr>
            <w:r>
              <w:rPr>
                <w:sz w:val="18"/>
                <w:szCs w:val="18"/>
              </w:rPr>
              <w:t>N/A</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565F6" w:rsidP="008316A5">
            <w:pPr>
              <w:spacing w:before="40" w:after="40"/>
              <w:rPr>
                <w:sz w:val="18"/>
                <w:szCs w:val="18"/>
              </w:rPr>
            </w:pPr>
            <w:r>
              <w:rPr>
                <w:sz w:val="18"/>
                <w:szCs w:val="18"/>
              </w:rPr>
              <w:t>Cross-cutting Development Issue</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5A04CD" w:rsidP="005A04CD">
            <w:pPr>
              <w:jc w:val="center"/>
              <w:rPr>
                <w:sz w:val="18"/>
                <w:szCs w:val="18"/>
              </w:rPr>
            </w:pP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565F6" w:rsidP="005A04CD">
            <w:pPr>
              <w:jc w:val="center"/>
              <w:rPr>
                <w:sz w:val="18"/>
                <w:szCs w:val="18"/>
              </w:rPr>
            </w:pPr>
            <w:r>
              <w:rPr>
                <w:sz w:val="18"/>
                <w:szCs w:val="18"/>
              </w:rPr>
              <w:t>December 2013</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5A04CD" w:rsidP="00023208">
            <w:pPr>
              <w:spacing w:before="40" w:after="40"/>
              <w:rPr>
                <w:sz w:val="18"/>
                <w:szCs w:val="18"/>
              </w:rPr>
            </w:pP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565F6" w:rsidP="00023208">
            <w:pPr>
              <w:rPr>
                <w:sz w:val="18"/>
                <w:szCs w:val="18"/>
              </w:rPr>
            </w:pPr>
            <w:r>
              <w:rPr>
                <w:sz w:val="18"/>
                <w:szCs w:val="18"/>
              </w:rPr>
              <w:t>TRAC RBLAC</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565F6" w:rsidP="005A04CD">
            <w:pPr>
              <w:jc w:val="center"/>
              <w:rPr>
                <w:sz w:val="18"/>
                <w:szCs w:val="18"/>
              </w:rPr>
            </w:pPr>
            <w:r>
              <w:rPr>
                <w:sz w:val="18"/>
                <w:szCs w:val="18"/>
              </w:rPr>
              <w:t>YES</w:t>
            </w:r>
          </w:p>
        </w:tc>
      </w:tr>
      <w:tr w:rsidR="008316A5" w:rsidRPr="00A966BA" w:rsidTr="00023208">
        <w:tc>
          <w:tcPr>
            <w:tcW w:w="0" w:type="auto"/>
            <w:tcBorders>
              <w:top w:val="single" w:sz="4" w:space="0" w:color="auto"/>
              <w:left w:val="single" w:sz="4" w:space="0" w:color="auto"/>
              <w:bottom w:val="single" w:sz="4" w:space="0" w:color="auto"/>
              <w:right w:val="single" w:sz="4" w:space="0" w:color="auto"/>
            </w:tcBorders>
            <w:vAlign w:val="center"/>
          </w:tcPr>
          <w:p w:rsidR="005A04CD" w:rsidRPr="00A966BA" w:rsidRDefault="00312835" w:rsidP="00023208">
            <w:pPr>
              <w:rPr>
                <w:sz w:val="18"/>
                <w:szCs w:val="18"/>
              </w:rPr>
            </w:pPr>
            <w:r w:rsidRPr="00312835">
              <w:rPr>
                <w:sz w:val="18"/>
                <w:szCs w:val="18"/>
              </w:rPr>
              <w:t xml:space="preserve">Final Evaluation Strengthening National Capacities to meet the MDGs in Latin America and the Caribbean </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312835" w:rsidP="008316A5">
            <w:pPr>
              <w:rPr>
                <w:sz w:val="18"/>
                <w:szCs w:val="18"/>
              </w:rPr>
            </w:pPr>
            <w:r>
              <w:rPr>
                <w:sz w:val="18"/>
                <w:szCs w:val="18"/>
              </w:rPr>
              <w:t>-Supporting Crisis Prevention and Recovery</w:t>
            </w:r>
          </w:p>
          <w:p w:rsidR="00312835" w:rsidRDefault="00312835" w:rsidP="008316A5">
            <w:pPr>
              <w:rPr>
                <w:sz w:val="18"/>
                <w:szCs w:val="18"/>
              </w:rPr>
            </w:pPr>
            <w:r>
              <w:rPr>
                <w:sz w:val="18"/>
                <w:szCs w:val="18"/>
              </w:rPr>
              <w:t>- Managing Energy and Environment</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0741C8" w:rsidP="005A04CD">
            <w:pPr>
              <w:jc w:val="center"/>
              <w:rPr>
                <w:sz w:val="18"/>
                <w:szCs w:val="18"/>
              </w:rPr>
            </w:pPr>
            <w:r>
              <w:rPr>
                <w:sz w:val="18"/>
                <w:szCs w:val="18"/>
              </w:rPr>
              <w:t>3 and 4</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312835" w:rsidP="005A04CD">
            <w:pPr>
              <w:jc w:val="center"/>
              <w:rPr>
                <w:sz w:val="18"/>
                <w:szCs w:val="18"/>
              </w:rPr>
            </w:pPr>
            <w:r>
              <w:rPr>
                <w:sz w:val="18"/>
                <w:szCs w:val="18"/>
              </w:rPr>
              <w:t>December 2013</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5A04CD" w:rsidP="00023208">
            <w:pPr>
              <w:spacing w:before="40" w:after="4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5A04CD" w:rsidP="00023208">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5A04CD" w:rsidP="005A04CD">
            <w:pPr>
              <w:jc w:val="center"/>
              <w:rPr>
                <w:sz w:val="18"/>
                <w:szCs w:val="18"/>
              </w:rPr>
            </w:pP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312835" w:rsidRPr="00312835" w:rsidRDefault="0090540E" w:rsidP="00023208">
            <w:pPr>
              <w:rPr>
                <w:sz w:val="18"/>
                <w:szCs w:val="18"/>
              </w:rPr>
            </w:pPr>
            <w:r w:rsidRPr="0090540E">
              <w:rPr>
                <w:sz w:val="18"/>
                <w:szCs w:val="18"/>
              </w:rPr>
              <w:t xml:space="preserve">MDGs and poverty reduction in LAC: Evaluation of Key </w:t>
            </w:r>
            <w:r w:rsidRPr="0090540E">
              <w:rPr>
                <w:sz w:val="18"/>
                <w:szCs w:val="18"/>
              </w:rPr>
              <w:lastRenderedPageBreak/>
              <w:t xml:space="preserve">Initiatives </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334D3A" w:rsidP="00023208">
            <w:pPr>
              <w:rPr>
                <w:sz w:val="18"/>
                <w:szCs w:val="18"/>
              </w:rPr>
            </w:pPr>
            <w:r>
              <w:rPr>
                <w:sz w:val="18"/>
                <w:szCs w:val="18"/>
              </w:rPr>
              <w:lastRenderedPageBreak/>
              <w:t>N/A</w:t>
            </w:r>
          </w:p>
        </w:tc>
        <w:tc>
          <w:tcPr>
            <w:tcW w:w="0" w:type="auto"/>
            <w:tcBorders>
              <w:top w:val="single" w:sz="4" w:space="0" w:color="auto"/>
              <w:left w:val="single" w:sz="4" w:space="0" w:color="auto"/>
              <w:bottom w:val="single" w:sz="4" w:space="0" w:color="auto"/>
              <w:right w:val="single" w:sz="4" w:space="0" w:color="auto"/>
            </w:tcBorders>
            <w:vAlign w:val="center"/>
          </w:tcPr>
          <w:p w:rsidR="003F0797" w:rsidRPr="003F0797" w:rsidRDefault="00B00CCF" w:rsidP="008316A5">
            <w:pPr>
              <w:rPr>
                <w:sz w:val="18"/>
                <w:szCs w:val="18"/>
              </w:rPr>
            </w:pPr>
            <w:r>
              <w:rPr>
                <w:sz w:val="18"/>
                <w:szCs w:val="18"/>
              </w:rPr>
              <w:t>-</w:t>
            </w:r>
            <w:r w:rsidR="003F0797" w:rsidRPr="003F0797">
              <w:rPr>
                <w:sz w:val="18"/>
                <w:szCs w:val="18"/>
              </w:rPr>
              <w:t xml:space="preserve">MDG-based national development strategies promote growth and employment, and </w:t>
            </w:r>
            <w:r w:rsidR="003F0797" w:rsidRPr="003F0797">
              <w:rPr>
                <w:sz w:val="18"/>
                <w:szCs w:val="18"/>
              </w:rPr>
              <w:lastRenderedPageBreak/>
              <w:t xml:space="preserve">reduce economic, gender and social inequalities </w:t>
            </w:r>
          </w:p>
          <w:p w:rsidR="00B00CCF" w:rsidRDefault="00B00CCF" w:rsidP="008316A5">
            <w:pPr>
              <w:rPr>
                <w:sz w:val="18"/>
                <w:szCs w:val="18"/>
              </w:rPr>
            </w:pPr>
            <w:r>
              <w:rPr>
                <w:sz w:val="18"/>
                <w:szCs w:val="18"/>
              </w:rPr>
              <w:t>-</w:t>
            </w:r>
            <w:r w:rsidR="003F0797" w:rsidRPr="003F0797">
              <w:rPr>
                <w:sz w:val="18"/>
                <w:szCs w:val="18"/>
              </w:rPr>
              <w:t xml:space="preserve">Enhanced national and local capacities to plan, monitor, report and evaluate the MDGs and related national development priorities, including within resource frameworks </w:t>
            </w:r>
          </w:p>
          <w:p w:rsidR="003F0797" w:rsidRPr="003F0797" w:rsidRDefault="00B00CCF" w:rsidP="008316A5">
            <w:pPr>
              <w:rPr>
                <w:sz w:val="18"/>
                <w:szCs w:val="18"/>
              </w:rPr>
            </w:pPr>
            <w:r>
              <w:rPr>
                <w:sz w:val="18"/>
                <w:szCs w:val="18"/>
              </w:rPr>
              <w:t>-</w:t>
            </w:r>
            <w:r w:rsidR="003F0797" w:rsidRPr="003F0797">
              <w:rPr>
                <w:sz w:val="18"/>
                <w:szCs w:val="18"/>
              </w:rPr>
              <w:t xml:space="preserve"> UNDP </w:t>
            </w:r>
            <w:proofErr w:type="spellStart"/>
            <w:r w:rsidR="003F0797" w:rsidRPr="003F0797">
              <w:rPr>
                <w:sz w:val="18"/>
                <w:szCs w:val="18"/>
              </w:rPr>
              <w:t>programmes</w:t>
            </w:r>
            <w:proofErr w:type="spellEnd"/>
            <w:r w:rsidR="003F0797" w:rsidRPr="003F0797">
              <w:rPr>
                <w:sz w:val="18"/>
                <w:szCs w:val="18"/>
              </w:rPr>
              <w:t xml:space="preserve">/projects integrate gender equality and </w:t>
            </w:r>
            <w:proofErr w:type="spellStart"/>
            <w:r w:rsidR="003F0797" w:rsidRPr="003F0797">
              <w:rPr>
                <w:sz w:val="18"/>
                <w:szCs w:val="18"/>
              </w:rPr>
              <w:t>women?s</w:t>
            </w:r>
            <w:proofErr w:type="spellEnd"/>
            <w:r w:rsidR="003F0797" w:rsidRPr="003F0797">
              <w:rPr>
                <w:sz w:val="18"/>
                <w:szCs w:val="18"/>
              </w:rPr>
              <w:t xml:space="preserve"> empowerment in line with the UNDP gender equality strategy, 2008-2011 </w:t>
            </w:r>
          </w:p>
          <w:p w:rsidR="00312835" w:rsidRDefault="00312835"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0741C8" w:rsidP="005A04CD">
            <w:pPr>
              <w:jc w:val="center"/>
              <w:rPr>
                <w:sz w:val="18"/>
                <w:szCs w:val="18"/>
              </w:rPr>
            </w:pPr>
            <w:r>
              <w:rPr>
                <w:sz w:val="18"/>
                <w:szCs w:val="18"/>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5A04CD">
            <w:pPr>
              <w:jc w:val="center"/>
              <w:rPr>
                <w:sz w:val="18"/>
                <w:szCs w:val="18"/>
              </w:rPr>
            </w:pPr>
            <w:r>
              <w:rPr>
                <w:sz w:val="18"/>
                <w:szCs w:val="18"/>
              </w:rPr>
              <w:t>July 2012</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312835" w:rsidP="00023208">
            <w:pPr>
              <w:spacing w:before="40" w:after="4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023208">
            <w:pPr>
              <w:rPr>
                <w:sz w:val="18"/>
                <w:szCs w:val="18"/>
              </w:rPr>
            </w:pPr>
            <w:r>
              <w:rPr>
                <w:sz w:val="18"/>
                <w:szCs w:val="18"/>
              </w:rPr>
              <w:t>TRAC RBLAC</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5A04CD">
            <w:pPr>
              <w:jc w:val="center"/>
              <w:rPr>
                <w:sz w:val="18"/>
                <w:szCs w:val="18"/>
              </w:rPr>
            </w:pPr>
            <w:r>
              <w:rPr>
                <w:sz w:val="18"/>
                <w:szCs w:val="18"/>
              </w:rPr>
              <w:t>No</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312835" w:rsidRPr="00312835" w:rsidRDefault="0090540E" w:rsidP="00023208">
            <w:pPr>
              <w:rPr>
                <w:sz w:val="18"/>
                <w:szCs w:val="18"/>
              </w:rPr>
            </w:pPr>
            <w:proofErr w:type="spellStart"/>
            <w:r w:rsidRPr="0090540E">
              <w:rPr>
                <w:sz w:val="18"/>
                <w:szCs w:val="18"/>
              </w:rPr>
              <w:lastRenderedPageBreak/>
              <w:t>Evaluación</w:t>
            </w:r>
            <w:proofErr w:type="spellEnd"/>
            <w:r w:rsidRPr="0090540E">
              <w:rPr>
                <w:sz w:val="18"/>
                <w:szCs w:val="18"/>
              </w:rPr>
              <w:t xml:space="preserve"> </w:t>
            </w:r>
            <w:proofErr w:type="spellStart"/>
            <w:r w:rsidRPr="0090540E">
              <w:rPr>
                <w:sz w:val="18"/>
                <w:szCs w:val="18"/>
              </w:rPr>
              <w:t>externa</w:t>
            </w:r>
            <w:proofErr w:type="spellEnd"/>
            <w:r w:rsidRPr="0090540E">
              <w:rPr>
                <w:sz w:val="18"/>
                <w:szCs w:val="18"/>
              </w:rPr>
              <w:t xml:space="preserve"> del </w:t>
            </w:r>
            <w:proofErr w:type="spellStart"/>
            <w:r w:rsidRPr="0090540E">
              <w:rPr>
                <w:sz w:val="18"/>
                <w:szCs w:val="18"/>
              </w:rPr>
              <w:t>proyecto</w:t>
            </w:r>
            <w:proofErr w:type="spellEnd"/>
            <w:r w:rsidRPr="0090540E">
              <w:rPr>
                <w:sz w:val="18"/>
                <w:szCs w:val="18"/>
              </w:rPr>
              <w:t xml:space="preserve"> CASAC </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B00CCF" w:rsidRDefault="00B00CCF" w:rsidP="008316A5">
            <w:pPr>
              <w:rPr>
                <w:sz w:val="18"/>
                <w:szCs w:val="18"/>
              </w:rPr>
            </w:pPr>
            <w:r>
              <w:rPr>
                <w:sz w:val="18"/>
                <w:szCs w:val="18"/>
              </w:rPr>
              <w:t>-</w:t>
            </w:r>
            <w:r w:rsidR="003F0797" w:rsidRPr="003F0797">
              <w:rPr>
                <w:sz w:val="18"/>
                <w:szCs w:val="18"/>
              </w:rPr>
              <w:t xml:space="preserve">Conflict: Post-conflict governance capacity strengthened, including measures to work towards prevention of resumption of conflict </w:t>
            </w:r>
          </w:p>
          <w:p w:rsidR="003F0797" w:rsidRPr="003F0797" w:rsidRDefault="00B00CCF" w:rsidP="008316A5">
            <w:pPr>
              <w:rPr>
                <w:sz w:val="18"/>
                <w:szCs w:val="18"/>
              </w:rPr>
            </w:pPr>
            <w:r>
              <w:rPr>
                <w:sz w:val="18"/>
                <w:szCs w:val="18"/>
              </w:rPr>
              <w:t>-</w:t>
            </w:r>
            <w:r w:rsidR="003F0797" w:rsidRPr="003F0797">
              <w:rPr>
                <w:sz w:val="18"/>
                <w:szCs w:val="18"/>
              </w:rPr>
              <w:t xml:space="preserve"> Post-crisis socio-economic infrastructure restored, employment generated, economy revived; affected groups returned/reintegrated  </w:t>
            </w:r>
            <w:r>
              <w:rPr>
                <w:sz w:val="18"/>
                <w:szCs w:val="18"/>
              </w:rPr>
              <w:t>-</w:t>
            </w:r>
            <w:r w:rsidR="003F0797" w:rsidRPr="003F0797">
              <w:rPr>
                <w:sz w:val="18"/>
                <w:szCs w:val="18"/>
              </w:rPr>
              <w:t xml:space="preserve">UNDP country </w:t>
            </w:r>
            <w:proofErr w:type="spellStart"/>
            <w:r w:rsidR="003F0797" w:rsidRPr="003F0797">
              <w:rPr>
                <w:sz w:val="18"/>
                <w:szCs w:val="18"/>
              </w:rPr>
              <w:t>programmes</w:t>
            </w:r>
            <w:proofErr w:type="spellEnd"/>
            <w:r w:rsidR="003F0797" w:rsidRPr="003F0797">
              <w:rPr>
                <w:sz w:val="18"/>
                <w:szCs w:val="18"/>
              </w:rPr>
              <w:t xml:space="preserve"> are clearly and explicitly linked with and in support of national development plans and priorities </w:t>
            </w:r>
          </w:p>
          <w:p w:rsidR="00312835" w:rsidRDefault="00312835"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0741C8" w:rsidP="005A04CD">
            <w:pPr>
              <w:jc w:val="cente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5665B6" w:rsidP="005A04CD">
            <w:pPr>
              <w:jc w:val="center"/>
              <w:rPr>
                <w:sz w:val="18"/>
                <w:szCs w:val="18"/>
              </w:rPr>
            </w:pPr>
            <w:r>
              <w:rPr>
                <w:sz w:val="18"/>
                <w:szCs w:val="18"/>
              </w:rPr>
              <w:t>February</w:t>
            </w:r>
            <w:r w:rsidR="008316A5">
              <w:rPr>
                <w:sz w:val="18"/>
                <w:szCs w:val="18"/>
              </w:rPr>
              <w:t xml:space="preserve"> 2012</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023208">
            <w:pPr>
              <w:spacing w:before="40" w:after="40"/>
              <w:rPr>
                <w:sz w:val="18"/>
                <w:szCs w:val="18"/>
              </w:rPr>
            </w:pPr>
            <w:r>
              <w:rPr>
                <w:sz w:val="18"/>
                <w:szCs w:val="18"/>
              </w:rPr>
              <w:t>SICA, UNDP, BCPR</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023208">
            <w:pPr>
              <w:rPr>
                <w:sz w:val="18"/>
                <w:szCs w:val="18"/>
              </w:rPr>
            </w:pPr>
            <w:proofErr w:type="spellStart"/>
            <w:r>
              <w:rPr>
                <w:sz w:val="18"/>
                <w:szCs w:val="18"/>
              </w:rPr>
              <w:t>Fondo</w:t>
            </w:r>
            <w:proofErr w:type="spellEnd"/>
            <w:r>
              <w:rPr>
                <w:sz w:val="18"/>
                <w:szCs w:val="18"/>
              </w:rPr>
              <w:t xml:space="preserve"> </w:t>
            </w:r>
            <w:proofErr w:type="spellStart"/>
            <w:r>
              <w:rPr>
                <w:sz w:val="18"/>
                <w:szCs w:val="18"/>
              </w:rPr>
              <w:t>España</w:t>
            </w:r>
            <w:proofErr w:type="spellEnd"/>
            <w:r>
              <w:rPr>
                <w:sz w:val="18"/>
                <w:szCs w:val="18"/>
              </w:rPr>
              <w:t>, UNDP, BCPR</w:t>
            </w:r>
          </w:p>
        </w:tc>
        <w:tc>
          <w:tcPr>
            <w:tcW w:w="0" w:type="auto"/>
            <w:tcBorders>
              <w:top w:val="single" w:sz="4" w:space="0" w:color="auto"/>
              <w:left w:val="single" w:sz="4" w:space="0" w:color="auto"/>
              <w:bottom w:val="single" w:sz="4" w:space="0" w:color="auto"/>
              <w:right w:val="single" w:sz="4" w:space="0" w:color="auto"/>
            </w:tcBorders>
            <w:vAlign w:val="center"/>
          </w:tcPr>
          <w:p w:rsidR="00312835" w:rsidRDefault="008316A5" w:rsidP="005A04CD">
            <w:pPr>
              <w:jc w:val="center"/>
              <w:rPr>
                <w:sz w:val="18"/>
                <w:szCs w:val="18"/>
              </w:rPr>
            </w:pPr>
            <w:r>
              <w:rPr>
                <w:sz w:val="18"/>
                <w:szCs w:val="18"/>
              </w:rPr>
              <w:t>No</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90540E" w:rsidRPr="00312835" w:rsidRDefault="0090540E" w:rsidP="00023208">
            <w:pPr>
              <w:rPr>
                <w:sz w:val="18"/>
                <w:szCs w:val="18"/>
              </w:rPr>
            </w:pPr>
            <w:r w:rsidRPr="0090540E">
              <w:rPr>
                <w:sz w:val="18"/>
                <w:szCs w:val="18"/>
              </w:rPr>
              <w:t xml:space="preserve">Evaluation of the Regional Political Analysis and Prospective Scenarios Project (PAPEP)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3F0797" w:rsidRPr="003F0797" w:rsidRDefault="00B00CCF" w:rsidP="008316A5">
            <w:pPr>
              <w:rPr>
                <w:sz w:val="18"/>
                <w:szCs w:val="18"/>
              </w:rPr>
            </w:pPr>
            <w:r>
              <w:rPr>
                <w:sz w:val="18"/>
                <w:szCs w:val="18"/>
              </w:rPr>
              <w:t>-</w:t>
            </w:r>
            <w:r w:rsidR="003F0797" w:rsidRPr="003F0797">
              <w:rPr>
                <w:sz w:val="18"/>
                <w:szCs w:val="18"/>
              </w:rPr>
              <w:t xml:space="preserve">Effective, responsive, accessible and fair justice systems promote the rule of law, including both formal and informal processes, with due consideration on the rights of the poor, women and vulnerable groups </w:t>
            </w:r>
          </w:p>
          <w:p w:rsidR="003F0797" w:rsidRPr="003F0797" w:rsidRDefault="00B00CCF" w:rsidP="008316A5">
            <w:pPr>
              <w:rPr>
                <w:sz w:val="18"/>
                <w:szCs w:val="18"/>
              </w:rPr>
            </w:pPr>
            <w:r>
              <w:rPr>
                <w:sz w:val="18"/>
                <w:szCs w:val="18"/>
              </w:rPr>
              <w:t>-</w:t>
            </w:r>
            <w:r w:rsidR="003F0797" w:rsidRPr="003F0797">
              <w:rPr>
                <w:sz w:val="18"/>
                <w:szCs w:val="18"/>
              </w:rPr>
              <w:t xml:space="preserve"> Conflict: Post-conflict governance capacity strengthened, including measures to work towards prevention of resumption of </w:t>
            </w:r>
            <w:r w:rsidR="003F0797" w:rsidRPr="003F0797">
              <w:rPr>
                <w:sz w:val="18"/>
                <w:szCs w:val="18"/>
              </w:rPr>
              <w:lastRenderedPageBreak/>
              <w:t xml:space="preserve">conflict </w:t>
            </w:r>
          </w:p>
          <w:p w:rsidR="0090540E" w:rsidRDefault="0090540E"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0741C8" w:rsidP="005A04CD">
            <w:pPr>
              <w:jc w:val="center"/>
              <w:rPr>
                <w:sz w:val="18"/>
                <w:szCs w:val="18"/>
              </w:rPr>
            </w:pPr>
            <w:r>
              <w:rPr>
                <w:sz w:val="18"/>
                <w:szCs w:val="18"/>
              </w:rPr>
              <w:lastRenderedPageBreak/>
              <w:t>3.4</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5A04CD">
            <w:pPr>
              <w:jc w:val="center"/>
              <w:rPr>
                <w:sz w:val="18"/>
                <w:szCs w:val="18"/>
              </w:rPr>
            </w:pPr>
            <w:r>
              <w:rPr>
                <w:sz w:val="18"/>
                <w:szCs w:val="18"/>
              </w:rPr>
              <w:t>January 2012</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90540E" w:rsidP="00023208">
            <w:pPr>
              <w:spacing w:before="40" w:after="4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023208">
            <w:pPr>
              <w:rPr>
                <w:sz w:val="18"/>
                <w:szCs w:val="18"/>
              </w:rPr>
            </w:pPr>
            <w:r>
              <w:rPr>
                <w:sz w:val="18"/>
                <w:szCs w:val="18"/>
              </w:rPr>
              <w:t>TRAC UNDP Bolivia, BCPR, AECID, DGTTF</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5A04CD">
            <w:pPr>
              <w:jc w:val="center"/>
              <w:rPr>
                <w:sz w:val="18"/>
                <w:szCs w:val="18"/>
              </w:rPr>
            </w:pPr>
            <w:r>
              <w:rPr>
                <w:sz w:val="18"/>
                <w:szCs w:val="18"/>
              </w:rPr>
              <w:t>No</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90540E" w:rsidRPr="00312835" w:rsidRDefault="0090540E" w:rsidP="00023208">
            <w:pPr>
              <w:rPr>
                <w:sz w:val="18"/>
                <w:szCs w:val="18"/>
              </w:rPr>
            </w:pPr>
            <w:proofErr w:type="spellStart"/>
            <w:r w:rsidRPr="0090540E">
              <w:rPr>
                <w:sz w:val="18"/>
                <w:szCs w:val="18"/>
              </w:rPr>
              <w:lastRenderedPageBreak/>
              <w:t>Evaluación</w:t>
            </w:r>
            <w:proofErr w:type="spellEnd"/>
            <w:r w:rsidRPr="0090540E">
              <w:rPr>
                <w:sz w:val="18"/>
                <w:szCs w:val="18"/>
              </w:rPr>
              <w:t xml:space="preserve"> </w:t>
            </w:r>
            <w:proofErr w:type="spellStart"/>
            <w:r w:rsidRPr="0090540E">
              <w:rPr>
                <w:sz w:val="18"/>
                <w:szCs w:val="18"/>
              </w:rPr>
              <w:t>Externa</w:t>
            </w:r>
            <w:proofErr w:type="spellEnd"/>
            <w:r w:rsidRPr="0090540E">
              <w:rPr>
                <w:sz w:val="18"/>
                <w:szCs w:val="18"/>
              </w:rPr>
              <w:t xml:space="preserve"> del </w:t>
            </w:r>
            <w:proofErr w:type="spellStart"/>
            <w:r w:rsidRPr="0090540E">
              <w:rPr>
                <w:sz w:val="18"/>
                <w:szCs w:val="18"/>
              </w:rPr>
              <w:t>Proyecto</w:t>
            </w:r>
            <w:proofErr w:type="spellEnd"/>
            <w:r w:rsidRPr="0090540E">
              <w:rPr>
                <w:sz w:val="18"/>
                <w:szCs w:val="18"/>
              </w:rPr>
              <w:t xml:space="preserve"> </w:t>
            </w:r>
            <w:proofErr w:type="spellStart"/>
            <w:r w:rsidRPr="0090540E">
              <w:rPr>
                <w:sz w:val="18"/>
                <w:szCs w:val="18"/>
              </w:rPr>
              <w:t>piloto</w:t>
            </w:r>
            <w:proofErr w:type="spellEnd"/>
            <w:r w:rsidRPr="0090540E">
              <w:rPr>
                <w:sz w:val="18"/>
                <w:szCs w:val="18"/>
              </w:rPr>
              <w:t xml:space="preserve"> PROLOGO (</w:t>
            </w:r>
            <w:proofErr w:type="spellStart"/>
            <w:r w:rsidRPr="0090540E">
              <w:rPr>
                <w:sz w:val="18"/>
                <w:szCs w:val="18"/>
              </w:rPr>
              <w:t>Propuestas</w:t>
            </w:r>
            <w:proofErr w:type="spellEnd"/>
            <w:r w:rsidRPr="0090540E">
              <w:rPr>
                <w:sz w:val="18"/>
                <w:szCs w:val="18"/>
              </w:rPr>
              <w:t xml:space="preserve"> Locales de </w:t>
            </w:r>
            <w:proofErr w:type="spellStart"/>
            <w:r w:rsidRPr="0090540E">
              <w:rPr>
                <w:sz w:val="18"/>
                <w:szCs w:val="18"/>
              </w:rPr>
              <w:t>gobernabilidad</w:t>
            </w:r>
            <w:proofErr w:type="spellEnd"/>
            <w:r w:rsidRPr="0090540E">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9C6AB2" w:rsidP="00023208">
            <w:pPr>
              <w:rPr>
                <w:sz w:val="18"/>
                <w:szCs w:val="18"/>
              </w:rPr>
            </w:pPr>
            <w:proofErr w:type="spellStart"/>
            <w:r>
              <w:rPr>
                <w:sz w:val="18"/>
                <w:szCs w:val="18"/>
              </w:rPr>
              <w:t>Generalitat</w:t>
            </w:r>
            <w:proofErr w:type="spellEnd"/>
            <w:r>
              <w:rPr>
                <w:sz w:val="18"/>
                <w:szCs w:val="18"/>
              </w:rPr>
              <w:t xml:space="preserve"> </w:t>
            </w:r>
            <w:proofErr w:type="spellStart"/>
            <w:r>
              <w:rPr>
                <w:sz w:val="18"/>
                <w:szCs w:val="18"/>
              </w:rPr>
              <w:t>Valenciana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9C6AB2" w:rsidP="008316A5">
            <w:pPr>
              <w:rPr>
                <w:sz w:val="18"/>
                <w:szCs w:val="18"/>
              </w:rPr>
            </w:pPr>
            <w:r>
              <w:rPr>
                <w:sz w:val="18"/>
                <w:szCs w:val="18"/>
              </w:rPr>
              <w:t>-Fostering Democratic Governance</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0741C8" w:rsidP="005A04C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5A04CD">
            <w:pPr>
              <w:jc w:val="center"/>
              <w:rPr>
                <w:sz w:val="18"/>
                <w:szCs w:val="18"/>
              </w:rPr>
            </w:pPr>
            <w:r>
              <w:rPr>
                <w:sz w:val="18"/>
                <w:szCs w:val="18"/>
              </w:rPr>
              <w:t>March 2011</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9C6AB2" w:rsidP="00023208">
            <w:pPr>
              <w:spacing w:before="40" w:after="40"/>
              <w:rPr>
                <w:sz w:val="18"/>
                <w:szCs w:val="18"/>
              </w:rPr>
            </w:pPr>
            <w:proofErr w:type="spellStart"/>
            <w:r>
              <w:rPr>
                <w:sz w:val="18"/>
                <w:szCs w:val="18"/>
              </w:rPr>
              <w:t>Generalitat</w:t>
            </w:r>
            <w:proofErr w:type="spellEnd"/>
            <w:r>
              <w:rPr>
                <w:sz w:val="18"/>
                <w:szCs w:val="18"/>
              </w:rPr>
              <w:t xml:space="preserve"> </w:t>
            </w:r>
            <w:proofErr w:type="spellStart"/>
            <w:r>
              <w:rPr>
                <w:sz w:val="18"/>
                <w:szCs w:val="18"/>
              </w:rPr>
              <w:t>Valenciana</w:t>
            </w:r>
            <w:proofErr w:type="spellEnd"/>
            <w:r>
              <w:rPr>
                <w:sz w:val="18"/>
                <w:szCs w:val="18"/>
              </w:rPr>
              <w:t xml:space="preserve">, PNUD-DOM; PNUD-COL; PNUD-SLV; SC, </w:t>
            </w:r>
            <w:proofErr w:type="spellStart"/>
            <w:r>
              <w:rPr>
                <w:sz w:val="18"/>
                <w:szCs w:val="18"/>
              </w:rPr>
              <w:t>Gobiernos</w:t>
            </w:r>
            <w:proofErr w:type="spellEnd"/>
            <w:r>
              <w:rPr>
                <w:sz w:val="18"/>
                <w:szCs w:val="18"/>
              </w:rPr>
              <w:t xml:space="preserve"> </w:t>
            </w:r>
            <w:proofErr w:type="spellStart"/>
            <w:r>
              <w:rPr>
                <w:sz w:val="18"/>
                <w:szCs w:val="18"/>
              </w:rPr>
              <w:t>Municipales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023208">
            <w:pPr>
              <w:rPr>
                <w:sz w:val="18"/>
                <w:szCs w:val="18"/>
              </w:rPr>
            </w:pPr>
            <w:r>
              <w:rPr>
                <w:sz w:val="18"/>
                <w:szCs w:val="18"/>
              </w:rPr>
              <w:t>Project</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5A04CD">
            <w:pPr>
              <w:jc w:val="center"/>
              <w:rPr>
                <w:sz w:val="18"/>
                <w:szCs w:val="18"/>
              </w:rPr>
            </w:pPr>
            <w:r>
              <w:rPr>
                <w:sz w:val="18"/>
                <w:szCs w:val="18"/>
              </w:rPr>
              <w:t>Yes</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90540E" w:rsidRPr="00312835" w:rsidRDefault="0090540E" w:rsidP="00023208">
            <w:pPr>
              <w:rPr>
                <w:sz w:val="18"/>
                <w:szCs w:val="18"/>
              </w:rPr>
            </w:pPr>
            <w:r w:rsidRPr="0090540E">
              <w:rPr>
                <w:sz w:val="18"/>
                <w:szCs w:val="18"/>
              </w:rPr>
              <w:t xml:space="preserve">Final Evaluation: AFRO-DESCENDANT POPULATION OF LATIN AMERICA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3F0797" w:rsidRPr="003F0797" w:rsidRDefault="00B00CCF" w:rsidP="008316A5">
            <w:pPr>
              <w:rPr>
                <w:sz w:val="18"/>
                <w:szCs w:val="18"/>
              </w:rPr>
            </w:pPr>
            <w:r>
              <w:rPr>
                <w:sz w:val="18"/>
                <w:szCs w:val="18"/>
              </w:rPr>
              <w:t>-</w:t>
            </w:r>
            <w:r w:rsidR="003F0797" w:rsidRPr="003F0797">
              <w:rPr>
                <w:sz w:val="18"/>
                <w:szCs w:val="18"/>
              </w:rPr>
              <w:t xml:space="preserve">Civil society, including civil society organizations and voluntary associations, and the private sector contribute to the MDGs in support of national planning strategies and policies </w:t>
            </w:r>
          </w:p>
          <w:p w:rsidR="003F0797" w:rsidRPr="003F0797" w:rsidRDefault="00B00CCF" w:rsidP="008316A5">
            <w:pPr>
              <w:rPr>
                <w:sz w:val="18"/>
                <w:szCs w:val="18"/>
              </w:rPr>
            </w:pPr>
            <w:r>
              <w:rPr>
                <w:sz w:val="18"/>
                <w:szCs w:val="18"/>
              </w:rPr>
              <w:t>-</w:t>
            </w:r>
            <w:r w:rsidR="003F0797" w:rsidRPr="003F0797">
              <w:rPr>
                <w:sz w:val="18"/>
                <w:szCs w:val="18"/>
              </w:rPr>
              <w:t xml:space="preserve">Strengthened capacities of national human rights institutions </w:t>
            </w:r>
          </w:p>
          <w:p w:rsidR="0090540E" w:rsidRDefault="0090540E"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0741C8" w:rsidP="005A04CD">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5A04CD">
            <w:pPr>
              <w:jc w:val="center"/>
              <w:rPr>
                <w:sz w:val="18"/>
                <w:szCs w:val="18"/>
              </w:rPr>
            </w:pPr>
            <w:r>
              <w:rPr>
                <w:sz w:val="18"/>
                <w:szCs w:val="18"/>
              </w:rPr>
              <w:t>December 201</w:t>
            </w:r>
            <w:r w:rsidR="00777249">
              <w:rPr>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023208">
            <w:pPr>
              <w:spacing w:before="40" w:after="40"/>
              <w:rPr>
                <w:sz w:val="18"/>
                <w:szCs w:val="18"/>
              </w:rPr>
            </w:pPr>
            <w:r>
              <w:rPr>
                <w:sz w:val="18"/>
                <w:szCs w:val="18"/>
              </w:rPr>
              <w:t>Governments, NGOs</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023208">
            <w:pPr>
              <w:rPr>
                <w:sz w:val="18"/>
                <w:szCs w:val="18"/>
              </w:rPr>
            </w:pPr>
            <w:r>
              <w:rPr>
                <w:sz w:val="18"/>
                <w:szCs w:val="18"/>
              </w:rPr>
              <w:t>Project</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Yes</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90540E" w:rsidRPr="0090540E" w:rsidRDefault="0090540E" w:rsidP="00023208">
            <w:pPr>
              <w:rPr>
                <w:sz w:val="18"/>
                <w:szCs w:val="18"/>
              </w:rPr>
            </w:pPr>
            <w:r w:rsidRPr="0090540E">
              <w:rPr>
                <w:sz w:val="18"/>
                <w:szCs w:val="18"/>
              </w:rPr>
              <w:t xml:space="preserve">Mid-term Evaluation of the Regional Project on Democratic Dialogue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E20435" w:rsidRPr="00E20435" w:rsidRDefault="00B00CCF" w:rsidP="008316A5">
            <w:pPr>
              <w:rPr>
                <w:sz w:val="18"/>
                <w:szCs w:val="18"/>
              </w:rPr>
            </w:pPr>
            <w:r>
              <w:rPr>
                <w:sz w:val="18"/>
                <w:szCs w:val="18"/>
              </w:rPr>
              <w:t>-</w:t>
            </w:r>
            <w:r w:rsidR="00E20435" w:rsidRPr="00E20435">
              <w:rPr>
                <w:sz w:val="18"/>
                <w:szCs w:val="18"/>
              </w:rPr>
              <w:t xml:space="preserve"> Solutions generated for natural disaster risk management and conflict prevention through common analysis and inclusive dialogue among government, relevant civil society actors and other partners (i.e., UN, other international organizations, bilateral partners) </w:t>
            </w:r>
          </w:p>
          <w:p w:rsidR="00E20435" w:rsidRPr="00E20435" w:rsidRDefault="00B00CCF" w:rsidP="008316A5">
            <w:pPr>
              <w:rPr>
                <w:sz w:val="18"/>
                <w:szCs w:val="18"/>
              </w:rPr>
            </w:pPr>
            <w:r>
              <w:rPr>
                <w:sz w:val="18"/>
                <w:szCs w:val="18"/>
              </w:rPr>
              <w:t>-</w:t>
            </w:r>
            <w:r w:rsidR="00E20435" w:rsidRPr="00E20435">
              <w:rPr>
                <w:sz w:val="18"/>
                <w:szCs w:val="18"/>
              </w:rPr>
              <w:t xml:space="preserve">Conflict: Strengthened national capacities, with participation of women, to prevent, mitigate and cope with impact of violent conflict </w:t>
            </w:r>
          </w:p>
          <w:p w:rsidR="00E20435" w:rsidRPr="00E20435" w:rsidRDefault="00B00CCF" w:rsidP="008316A5">
            <w:pPr>
              <w:rPr>
                <w:sz w:val="18"/>
                <w:szCs w:val="18"/>
              </w:rPr>
            </w:pPr>
            <w:r>
              <w:rPr>
                <w:sz w:val="18"/>
                <w:szCs w:val="18"/>
              </w:rPr>
              <w:t>-</w:t>
            </w:r>
            <w:r w:rsidR="00E20435" w:rsidRPr="00E20435">
              <w:rPr>
                <w:sz w:val="18"/>
                <w:szCs w:val="18"/>
              </w:rPr>
              <w:t xml:space="preserve"> Conflict: Post-conflict governance capacity strengthened, including measures to work towards prevention of resumption of conflict </w:t>
            </w:r>
          </w:p>
          <w:p w:rsidR="00E20435" w:rsidRPr="00E20435" w:rsidRDefault="00B00CCF" w:rsidP="008316A5">
            <w:pPr>
              <w:rPr>
                <w:sz w:val="18"/>
                <w:szCs w:val="18"/>
              </w:rPr>
            </w:pPr>
            <w:r>
              <w:rPr>
                <w:sz w:val="18"/>
                <w:szCs w:val="18"/>
              </w:rPr>
              <w:t>-</w:t>
            </w:r>
            <w:r w:rsidR="00E20435" w:rsidRPr="00E20435">
              <w:rPr>
                <w:sz w:val="18"/>
                <w:szCs w:val="18"/>
              </w:rPr>
              <w:t xml:space="preserve">Conflict: Post-crisis community security and cohesion restored </w:t>
            </w:r>
          </w:p>
          <w:p w:rsidR="0090540E" w:rsidRDefault="0090540E"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0741C8" w:rsidP="005A04C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November 2011</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E20435" w:rsidP="00023208">
            <w:pPr>
              <w:spacing w:before="40" w:after="40"/>
              <w:rPr>
                <w:sz w:val="18"/>
                <w:szCs w:val="18"/>
              </w:rPr>
            </w:pPr>
            <w:r w:rsidRPr="00E20435">
              <w:rPr>
                <w:sz w:val="18"/>
                <w:szCs w:val="18"/>
              </w:rPr>
              <w:t xml:space="preserve">OAS, IDEA, CIDA, AECID, ACDD, the Carter Centre, CAF, </w:t>
            </w:r>
            <w:proofErr w:type="spellStart"/>
            <w:r w:rsidRPr="00E20435">
              <w:rPr>
                <w:sz w:val="18"/>
                <w:szCs w:val="18"/>
              </w:rPr>
              <w:t>Fundación</w:t>
            </w:r>
            <w:proofErr w:type="spellEnd"/>
            <w:r w:rsidRPr="00E20435">
              <w:rPr>
                <w:sz w:val="18"/>
                <w:szCs w:val="18"/>
              </w:rPr>
              <w:t xml:space="preserve"> PROPAZ, Global Leadership Initiative, WSP-International, International Institute for Sustained Dialogue, the Third Side Network, Netherlands Institute for Multi-Party Democracy, Mediators Foundation, University for Peace, Hewlett Foundation Conflict Prevention Program, Soros Foundation.</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023208">
            <w:pPr>
              <w:rPr>
                <w:sz w:val="18"/>
                <w:szCs w:val="18"/>
              </w:rPr>
            </w:pPr>
            <w:r>
              <w:rPr>
                <w:sz w:val="18"/>
                <w:szCs w:val="18"/>
              </w:rPr>
              <w:t>DGTTF</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Yes</w:t>
            </w:r>
          </w:p>
        </w:tc>
      </w:tr>
      <w:tr w:rsidR="008316A5" w:rsidRPr="00A966BA" w:rsidTr="00E20435">
        <w:tc>
          <w:tcPr>
            <w:tcW w:w="0" w:type="auto"/>
            <w:tcBorders>
              <w:top w:val="single" w:sz="4" w:space="0" w:color="auto"/>
              <w:left w:val="single" w:sz="4" w:space="0" w:color="auto"/>
              <w:bottom w:val="single" w:sz="4" w:space="0" w:color="auto"/>
              <w:right w:val="single" w:sz="4" w:space="0" w:color="auto"/>
            </w:tcBorders>
            <w:vAlign w:val="center"/>
          </w:tcPr>
          <w:p w:rsidR="0090540E" w:rsidRPr="0090540E" w:rsidRDefault="0090540E" w:rsidP="00023208">
            <w:pPr>
              <w:rPr>
                <w:sz w:val="18"/>
                <w:szCs w:val="18"/>
              </w:rPr>
            </w:pPr>
            <w:proofErr w:type="spellStart"/>
            <w:r w:rsidRPr="0090540E">
              <w:rPr>
                <w:sz w:val="18"/>
                <w:szCs w:val="18"/>
              </w:rPr>
              <w:t>América</w:t>
            </w:r>
            <w:proofErr w:type="spellEnd"/>
            <w:r w:rsidRPr="0090540E">
              <w:rPr>
                <w:sz w:val="18"/>
                <w:szCs w:val="18"/>
              </w:rPr>
              <w:t xml:space="preserve"> Latina Genera, </w:t>
            </w:r>
            <w:proofErr w:type="spellStart"/>
            <w:r w:rsidRPr="0090540E">
              <w:rPr>
                <w:sz w:val="18"/>
                <w:szCs w:val="18"/>
              </w:rPr>
              <w:t>Gestión</w:t>
            </w:r>
            <w:proofErr w:type="spellEnd"/>
            <w:r w:rsidRPr="0090540E">
              <w:rPr>
                <w:sz w:val="18"/>
                <w:szCs w:val="18"/>
              </w:rPr>
              <w:t xml:space="preserve"> del </w:t>
            </w:r>
            <w:proofErr w:type="spellStart"/>
            <w:r w:rsidRPr="0090540E">
              <w:rPr>
                <w:sz w:val="18"/>
                <w:szCs w:val="18"/>
              </w:rPr>
              <w:lastRenderedPageBreak/>
              <w:t>conocimiento</w:t>
            </w:r>
            <w:proofErr w:type="spellEnd"/>
            <w:r w:rsidRPr="0090540E">
              <w:rPr>
                <w:sz w:val="18"/>
                <w:szCs w:val="18"/>
              </w:rPr>
              <w:t xml:space="preserve"> </w:t>
            </w:r>
            <w:proofErr w:type="spellStart"/>
            <w:r w:rsidRPr="0090540E">
              <w:rPr>
                <w:sz w:val="18"/>
                <w:szCs w:val="18"/>
              </w:rPr>
              <w:t>para</w:t>
            </w:r>
            <w:proofErr w:type="spellEnd"/>
            <w:r w:rsidRPr="0090540E">
              <w:rPr>
                <w:sz w:val="18"/>
                <w:szCs w:val="18"/>
              </w:rPr>
              <w:t xml:space="preserve"> la </w:t>
            </w:r>
            <w:proofErr w:type="spellStart"/>
            <w:r w:rsidRPr="0090540E">
              <w:rPr>
                <w:sz w:val="18"/>
                <w:szCs w:val="18"/>
              </w:rPr>
              <w:t>equidad</w:t>
            </w:r>
            <w:proofErr w:type="spellEnd"/>
            <w:r w:rsidRPr="0090540E">
              <w:rPr>
                <w:sz w:val="18"/>
                <w:szCs w:val="18"/>
              </w:rPr>
              <w:t xml:space="preserve"> de </w:t>
            </w:r>
            <w:proofErr w:type="spellStart"/>
            <w:r w:rsidRPr="0090540E">
              <w:rPr>
                <w:sz w:val="18"/>
                <w:szCs w:val="18"/>
              </w:rPr>
              <w:t>género</w:t>
            </w:r>
            <w:proofErr w:type="spellEnd"/>
            <w:r w:rsidRPr="0090540E">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lastRenderedPageBreak/>
              <w:t>N/A</w:t>
            </w:r>
          </w:p>
        </w:tc>
        <w:tc>
          <w:tcPr>
            <w:tcW w:w="0" w:type="auto"/>
            <w:tcBorders>
              <w:top w:val="single" w:sz="4" w:space="0" w:color="auto"/>
              <w:left w:val="single" w:sz="4" w:space="0" w:color="auto"/>
              <w:bottom w:val="single" w:sz="4" w:space="0" w:color="auto"/>
              <w:right w:val="single" w:sz="4" w:space="0" w:color="auto"/>
            </w:tcBorders>
            <w:vAlign w:val="center"/>
          </w:tcPr>
          <w:p w:rsidR="00E20435" w:rsidRPr="00E20435" w:rsidRDefault="00B00CCF" w:rsidP="008316A5">
            <w:pPr>
              <w:rPr>
                <w:sz w:val="18"/>
                <w:szCs w:val="18"/>
              </w:rPr>
            </w:pPr>
            <w:r>
              <w:rPr>
                <w:sz w:val="18"/>
                <w:szCs w:val="18"/>
              </w:rPr>
              <w:t>-</w:t>
            </w:r>
            <w:r w:rsidR="00E20435" w:rsidRPr="00E20435">
              <w:rPr>
                <w:sz w:val="18"/>
                <w:szCs w:val="18"/>
              </w:rPr>
              <w:t xml:space="preserve">MDG-based national development strategies promote </w:t>
            </w:r>
            <w:r w:rsidR="00E20435" w:rsidRPr="00E20435">
              <w:rPr>
                <w:sz w:val="18"/>
                <w:szCs w:val="18"/>
              </w:rPr>
              <w:lastRenderedPageBreak/>
              <w:t xml:space="preserve">growth and employment, and reduce economic, gender and social inequalities </w:t>
            </w:r>
          </w:p>
          <w:p w:rsidR="00E20435" w:rsidRPr="00E20435" w:rsidRDefault="00B00CCF" w:rsidP="008316A5">
            <w:pPr>
              <w:rPr>
                <w:sz w:val="18"/>
                <w:szCs w:val="18"/>
              </w:rPr>
            </w:pPr>
            <w:r>
              <w:rPr>
                <w:sz w:val="18"/>
                <w:szCs w:val="18"/>
              </w:rPr>
              <w:t>-</w:t>
            </w:r>
            <w:r w:rsidR="00E20435" w:rsidRPr="00E20435">
              <w:rPr>
                <w:sz w:val="18"/>
                <w:szCs w:val="18"/>
              </w:rPr>
              <w:t>Strengthened national, regional and local level capacity to mains</w:t>
            </w:r>
            <w:r>
              <w:rPr>
                <w:sz w:val="18"/>
                <w:szCs w:val="18"/>
              </w:rPr>
              <w:t>tream gender equality and women’</w:t>
            </w:r>
            <w:r w:rsidR="00E20435" w:rsidRPr="00E20435">
              <w:rPr>
                <w:sz w:val="18"/>
                <w:szCs w:val="18"/>
              </w:rPr>
              <w:t xml:space="preserve">s empowerment in government policies and institutions </w:t>
            </w:r>
          </w:p>
          <w:p w:rsidR="00E20435" w:rsidRPr="00E20435" w:rsidRDefault="00B00CCF" w:rsidP="008316A5">
            <w:pPr>
              <w:rPr>
                <w:sz w:val="18"/>
                <w:szCs w:val="18"/>
              </w:rPr>
            </w:pPr>
            <w:r>
              <w:rPr>
                <w:sz w:val="18"/>
                <w:szCs w:val="18"/>
              </w:rPr>
              <w:t>-</w:t>
            </w:r>
            <w:r w:rsidR="00E20435" w:rsidRPr="00E20435">
              <w:rPr>
                <w:sz w:val="18"/>
                <w:szCs w:val="18"/>
              </w:rPr>
              <w:t xml:space="preserve">Conflict: Strengthened national capacities, with participation of women, to prevent, mitigate and cope with impact of violent conflict </w:t>
            </w:r>
          </w:p>
          <w:p w:rsidR="00E20435" w:rsidRPr="00E20435" w:rsidRDefault="00B00CCF" w:rsidP="008316A5">
            <w:pPr>
              <w:rPr>
                <w:sz w:val="18"/>
                <w:szCs w:val="18"/>
              </w:rPr>
            </w:pPr>
            <w:r>
              <w:rPr>
                <w:sz w:val="18"/>
                <w:szCs w:val="18"/>
              </w:rPr>
              <w:t>-</w:t>
            </w:r>
            <w:r w:rsidR="00E20435" w:rsidRPr="00E20435">
              <w:rPr>
                <w:sz w:val="18"/>
                <w:szCs w:val="18"/>
              </w:rPr>
              <w:t xml:space="preserve">UNDP </w:t>
            </w:r>
            <w:proofErr w:type="spellStart"/>
            <w:r w:rsidR="00E20435" w:rsidRPr="00E20435">
              <w:rPr>
                <w:sz w:val="18"/>
                <w:szCs w:val="18"/>
              </w:rPr>
              <w:t>programmes</w:t>
            </w:r>
            <w:proofErr w:type="spellEnd"/>
            <w:r w:rsidR="00E20435" w:rsidRPr="00E20435">
              <w:rPr>
                <w:sz w:val="18"/>
                <w:szCs w:val="18"/>
              </w:rPr>
              <w:t>/projects inte</w:t>
            </w:r>
            <w:r>
              <w:rPr>
                <w:sz w:val="18"/>
                <w:szCs w:val="18"/>
              </w:rPr>
              <w:t>grate gender equality and women’</w:t>
            </w:r>
            <w:r w:rsidR="00E20435" w:rsidRPr="00E20435">
              <w:rPr>
                <w:sz w:val="18"/>
                <w:szCs w:val="18"/>
              </w:rPr>
              <w:t xml:space="preserve">s empowerment in line with the UNDP gender equality strategy, 2008-2011 </w:t>
            </w:r>
          </w:p>
          <w:p w:rsidR="0090540E" w:rsidRDefault="0090540E"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B00CCF" w:rsidP="00B00CCF">
            <w:pPr>
              <w:rPr>
                <w:sz w:val="18"/>
                <w:szCs w:val="18"/>
              </w:rPr>
            </w:pPr>
            <w:r>
              <w:rPr>
                <w:sz w:val="18"/>
                <w:szCs w:val="18"/>
              </w:rPr>
              <w:lastRenderedPageBreak/>
              <w:t xml:space="preserve"> All</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March 2009</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E20435" w:rsidP="00023208">
            <w:pPr>
              <w:spacing w:before="40" w:after="40"/>
              <w:rPr>
                <w:sz w:val="18"/>
                <w:szCs w:val="18"/>
              </w:rPr>
            </w:pPr>
            <w:r w:rsidRPr="00E20435">
              <w:rPr>
                <w:sz w:val="18"/>
                <w:szCs w:val="18"/>
              </w:rPr>
              <w:t xml:space="preserve">UNIFEM, PNUD </w:t>
            </w:r>
            <w:proofErr w:type="spellStart"/>
            <w:r w:rsidRPr="00E20435">
              <w:rPr>
                <w:sz w:val="18"/>
                <w:szCs w:val="18"/>
              </w:rPr>
              <w:t>Escuela</w:t>
            </w:r>
            <w:proofErr w:type="spellEnd"/>
            <w:r w:rsidRPr="00E20435">
              <w:rPr>
                <w:sz w:val="18"/>
                <w:szCs w:val="18"/>
              </w:rPr>
              <w:t xml:space="preserve"> Virtual de </w:t>
            </w:r>
            <w:proofErr w:type="spellStart"/>
            <w:r w:rsidRPr="00E20435">
              <w:rPr>
                <w:sz w:val="18"/>
                <w:szCs w:val="18"/>
              </w:rPr>
              <w:t>Desarrollo</w:t>
            </w:r>
            <w:proofErr w:type="spellEnd"/>
            <w:r w:rsidRPr="00E20435">
              <w:rPr>
                <w:sz w:val="18"/>
                <w:szCs w:val="18"/>
              </w:rPr>
              <w:t xml:space="preserve"> </w:t>
            </w:r>
            <w:proofErr w:type="spellStart"/>
            <w:r w:rsidRPr="00E20435">
              <w:rPr>
                <w:sz w:val="18"/>
                <w:szCs w:val="18"/>
              </w:rPr>
              <w:t>Humano</w:t>
            </w:r>
            <w:proofErr w:type="spellEnd"/>
            <w:r w:rsidRPr="00E20435">
              <w:rPr>
                <w:sz w:val="18"/>
                <w:szCs w:val="18"/>
              </w:rPr>
              <w:t xml:space="preserve">, FLACSO, </w:t>
            </w:r>
            <w:r w:rsidRPr="00E20435">
              <w:rPr>
                <w:sz w:val="18"/>
                <w:szCs w:val="18"/>
              </w:rPr>
              <w:lastRenderedPageBreak/>
              <w:t>CONAMU, BCPR</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023208">
            <w:pPr>
              <w:rPr>
                <w:sz w:val="18"/>
                <w:szCs w:val="18"/>
              </w:rPr>
            </w:pPr>
            <w:r>
              <w:rPr>
                <w:sz w:val="18"/>
                <w:szCs w:val="18"/>
              </w:rPr>
              <w:lastRenderedPageBreak/>
              <w:t>JWID</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No</w:t>
            </w:r>
          </w:p>
        </w:tc>
      </w:tr>
      <w:tr w:rsidR="008316A5" w:rsidRPr="00A966BA" w:rsidTr="00023208">
        <w:tc>
          <w:tcPr>
            <w:tcW w:w="0" w:type="auto"/>
            <w:tcBorders>
              <w:top w:val="single" w:sz="4" w:space="0" w:color="auto"/>
              <w:left w:val="single" w:sz="4" w:space="0" w:color="auto"/>
              <w:bottom w:val="single" w:sz="4" w:space="0" w:color="auto"/>
              <w:right w:val="single" w:sz="4" w:space="0" w:color="auto"/>
            </w:tcBorders>
            <w:vAlign w:val="center"/>
          </w:tcPr>
          <w:p w:rsidR="0090540E" w:rsidRPr="0090540E" w:rsidRDefault="0090540E" w:rsidP="00023208">
            <w:pPr>
              <w:rPr>
                <w:sz w:val="18"/>
                <w:szCs w:val="18"/>
              </w:rPr>
            </w:pPr>
            <w:r w:rsidRPr="0090540E">
              <w:rPr>
                <w:sz w:val="18"/>
                <w:szCs w:val="18"/>
              </w:rPr>
              <w:lastRenderedPageBreak/>
              <w:t xml:space="preserve">Evaluation of the Caribbean Risk Management Initiative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8316A5" w:rsidRPr="008316A5" w:rsidRDefault="00B00CCF" w:rsidP="008316A5">
            <w:pPr>
              <w:rPr>
                <w:sz w:val="18"/>
                <w:szCs w:val="18"/>
              </w:rPr>
            </w:pPr>
            <w:r>
              <w:rPr>
                <w:sz w:val="18"/>
                <w:szCs w:val="18"/>
              </w:rPr>
              <w:t>-</w:t>
            </w:r>
            <w:r w:rsidR="008316A5" w:rsidRPr="008316A5">
              <w:rPr>
                <w:sz w:val="18"/>
                <w:szCs w:val="18"/>
              </w:rPr>
              <w:t xml:space="preserve">Disaster: Strengthened national capacities, including the participation of women, to prevent, reduce, mitigate and cope with the impact of the systemic shocks from natural hazards </w:t>
            </w:r>
          </w:p>
          <w:p w:rsidR="008316A5" w:rsidRPr="008316A5" w:rsidRDefault="00B00CCF" w:rsidP="008316A5">
            <w:pPr>
              <w:rPr>
                <w:sz w:val="18"/>
                <w:szCs w:val="18"/>
              </w:rPr>
            </w:pPr>
            <w:r>
              <w:rPr>
                <w:sz w:val="18"/>
                <w:szCs w:val="18"/>
              </w:rPr>
              <w:t>-</w:t>
            </w:r>
            <w:r w:rsidR="008316A5" w:rsidRPr="008316A5">
              <w:rPr>
                <w:sz w:val="18"/>
                <w:szCs w:val="18"/>
              </w:rPr>
              <w:t xml:space="preserve"> Disaster: Post-disaster governance capacity strengthened, including measures to ensure the reduction of future vulnerabilities </w:t>
            </w:r>
          </w:p>
          <w:p w:rsidR="008316A5" w:rsidRPr="008316A5" w:rsidRDefault="00B00CCF" w:rsidP="008316A5">
            <w:pPr>
              <w:rPr>
                <w:sz w:val="18"/>
                <w:szCs w:val="18"/>
              </w:rPr>
            </w:pPr>
            <w:r>
              <w:rPr>
                <w:sz w:val="18"/>
                <w:szCs w:val="18"/>
              </w:rPr>
              <w:t>-</w:t>
            </w:r>
            <w:r w:rsidR="008316A5" w:rsidRPr="008316A5">
              <w:rPr>
                <w:sz w:val="18"/>
                <w:szCs w:val="18"/>
              </w:rPr>
              <w:t xml:space="preserve">Strengthened capacity of developing countries to mainstream climate change adaptation policies into national development plans </w:t>
            </w:r>
          </w:p>
          <w:p w:rsidR="0090540E" w:rsidRDefault="0090540E" w:rsidP="008316A5">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B00CCF" w:rsidP="005A04CD">
            <w:pPr>
              <w:jc w:val="cente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5A04CD">
            <w:pPr>
              <w:jc w:val="center"/>
              <w:rPr>
                <w:sz w:val="18"/>
                <w:szCs w:val="18"/>
              </w:rPr>
            </w:pPr>
            <w:r>
              <w:rPr>
                <w:sz w:val="18"/>
                <w:szCs w:val="18"/>
              </w:rPr>
              <w:t>May 2008</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023208">
            <w:pPr>
              <w:spacing w:before="40" w:after="40"/>
              <w:rPr>
                <w:sz w:val="18"/>
                <w:szCs w:val="18"/>
              </w:rPr>
            </w:pPr>
            <w:r w:rsidRPr="008316A5">
              <w:rPr>
                <w:sz w:val="18"/>
                <w:szCs w:val="18"/>
              </w:rPr>
              <w:t>CARIBBEAN COUNTRY OFFICES, RBLAC, BCPR, CDERA, CCCCC, UWI, NATIONAL DISASTER MANAGEMENT AGENCIES (CARIBBEAN)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8316A5" w:rsidP="00023208">
            <w:pPr>
              <w:rPr>
                <w:sz w:val="18"/>
                <w:szCs w:val="18"/>
              </w:rPr>
            </w:pPr>
            <w:r w:rsidRPr="008316A5">
              <w:rPr>
                <w:sz w:val="18"/>
                <w:szCs w:val="18"/>
              </w:rPr>
              <w:t>TRAC Regional, TRAC BCPR, Dev Advisory (UNDP), Italian Ministry of the Environment, Land and Sea; Norway's Ministry of Foreign Affairs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777249" w:rsidP="005A04CD">
            <w:pPr>
              <w:jc w:val="center"/>
              <w:rPr>
                <w:sz w:val="18"/>
                <w:szCs w:val="18"/>
              </w:rPr>
            </w:pPr>
            <w:r>
              <w:rPr>
                <w:sz w:val="18"/>
                <w:szCs w:val="18"/>
              </w:rPr>
              <w:t>Yes</w:t>
            </w:r>
          </w:p>
        </w:tc>
      </w:tr>
      <w:tr w:rsidR="005A04CD" w:rsidRPr="00554043" w:rsidTr="00023208">
        <w:tc>
          <w:tcPr>
            <w:tcW w:w="0" w:type="auto"/>
            <w:gridSpan w:val="8"/>
            <w:tcBorders>
              <w:top w:val="thinThickSmallGap" w:sz="24" w:space="0" w:color="auto"/>
              <w:left w:val="single" w:sz="4" w:space="0" w:color="auto"/>
              <w:bottom w:val="thinThickSmallGap" w:sz="24" w:space="0" w:color="auto"/>
              <w:right w:val="single" w:sz="4" w:space="0" w:color="auto"/>
            </w:tcBorders>
          </w:tcPr>
          <w:p w:rsidR="005A04CD" w:rsidRPr="001E732B" w:rsidRDefault="005A04CD" w:rsidP="00023208">
            <w:pPr>
              <w:rPr>
                <w:rStyle w:val="CommentReference"/>
                <w:i/>
                <w:lang w:eastAsia="uk-UA"/>
              </w:rPr>
            </w:pPr>
            <w:r w:rsidRPr="001E732B">
              <w:rPr>
                <w:rStyle w:val="CommentReference"/>
                <w:i/>
                <w:lang w:eastAsia="uk-UA"/>
              </w:rPr>
              <w:t>Other Evaluations</w:t>
            </w:r>
          </w:p>
        </w:tc>
      </w:tr>
      <w:tr w:rsidR="008316A5" w:rsidRPr="00554043" w:rsidTr="00023208">
        <w:tc>
          <w:tcPr>
            <w:tcW w:w="0" w:type="auto"/>
            <w:tcBorders>
              <w:top w:val="thinThickSmallGap" w:sz="24" w:space="0" w:color="auto"/>
              <w:left w:val="single" w:sz="4" w:space="0" w:color="auto"/>
              <w:bottom w:val="single" w:sz="4" w:space="0" w:color="auto"/>
              <w:right w:val="single" w:sz="4" w:space="0" w:color="auto"/>
            </w:tcBorders>
            <w:shd w:val="clear" w:color="auto" w:fill="auto"/>
          </w:tcPr>
          <w:p w:rsidR="005A04CD" w:rsidRPr="004736AB" w:rsidRDefault="004736AB" w:rsidP="00023208">
            <w:pPr>
              <w:spacing w:before="40" w:after="40"/>
              <w:rPr>
                <w:sz w:val="18"/>
                <w:szCs w:val="18"/>
              </w:rPr>
            </w:pPr>
            <w:r>
              <w:rPr>
                <w:sz w:val="18"/>
                <w:szCs w:val="18"/>
              </w:rPr>
              <w:t>Thematic</w:t>
            </w:r>
            <w:r w:rsidR="00AF55E9">
              <w:rPr>
                <w:sz w:val="18"/>
                <w:szCs w:val="18"/>
              </w:rPr>
              <w:t xml:space="preserve"> Evaluation on the Regional Carbon </w:t>
            </w:r>
            <w:r w:rsidR="00AF55E9">
              <w:rPr>
                <w:sz w:val="18"/>
                <w:szCs w:val="18"/>
              </w:rPr>
              <w:lastRenderedPageBreak/>
              <w:t>2012 Project</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334D3A" w:rsidP="00023208">
            <w:pPr>
              <w:rPr>
                <w:sz w:val="18"/>
                <w:szCs w:val="18"/>
              </w:rPr>
            </w:pPr>
            <w:r>
              <w:rPr>
                <w:sz w:val="18"/>
                <w:szCs w:val="18"/>
              </w:rPr>
              <w:lastRenderedPageBreak/>
              <w:t>N/A</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565F6" w:rsidP="00023208">
            <w:pPr>
              <w:rPr>
                <w:sz w:val="18"/>
                <w:szCs w:val="18"/>
              </w:rPr>
            </w:pPr>
            <w:r>
              <w:rPr>
                <w:sz w:val="18"/>
                <w:szCs w:val="18"/>
              </w:rPr>
              <w:t>-Managing Energy and Environment</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B00CCF" w:rsidP="005A04CD">
            <w:pPr>
              <w:jc w:val="center"/>
              <w:rPr>
                <w:sz w:val="18"/>
                <w:szCs w:val="18"/>
              </w:rPr>
            </w:pPr>
            <w:r>
              <w:rPr>
                <w:sz w:val="18"/>
                <w:szCs w:val="18"/>
              </w:rPr>
              <w:t>4</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AF55E9" w:rsidP="005A04CD">
            <w:pPr>
              <w:jc w:val="center"/>
              <w:rPr>
                <w:sz w:val="18"/>
                <w:szCs w:val="18"/>
              </w:rPr>
            </w:pPr>
            <w:r>
              <w:rPr>
                <w:sz w:val="18"/>
                <w:szCs w:val="18"/>
              </w:rPr>
              <w:t>March 2012</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5A04CD" w:rsidP="00023208">
            <w:pPr>
              <w:rPr>
                <w:sz w:val="18"/>
                <w:szCs w:val="18"/>
              </w:rPr>
            </w:pP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Pr="00B565F6" w:rsidRDefault="00B565F6" w:rsidP="00023208">
            <w:pPr>
              <w:rPr>
                <w:b/>
                <w:sz w:val="18"/>
                <w:szCs w:val="18"/>
              </w:rPr>
            </w:pPr>
            <w:proofErr w:type="spellStart"/>
            <w:r w:rsidRPr="00AF55E9">
              <w:rPr>
                <w:sz w:val="18"/>
                <w:szCs w:val="18"/>
              </w:rPr>
              <w:t>Fondos</w:t>
            </w:r>
            <w:proofErr w:type="spellEnd"/>
            <w:r w:rsidRPr="00AF55E9">
              <w:rPr>
                <w:sz w:val="18"/>
                <w:szCs w:val="18"/>
              </w:rPr>
              <w:t xml:space="preserve"> </w:t>
            </w:r>
            <w:proofErr w:type="spellStart"/>
            <w:r w:rsidRPr="00AF55E9">
              <w:rPr>
                <w:sz w:val="18"/>
                <w:szCs w:val="18"/>
              </w:rPr>
              <w:t>españoles</w:t>
            </w:r>
            <w:proofErr w:type="spellEnd"/>
            <w:r w:rsidRPr="00AF55E9">
              <w:rPr>
                <w:sz w:val="18"/>
                <w:szCs w:val="18"/>
              </w:rPr>
              <w:t xml:space="preserve"> del </w:t>
            </w:r>
            <w:proofErr w:type="spellStart"/>
            <w:r w:rsidRPr="00AF55E9">
              <w:rPr>
                <w:sz w:val="18"/>
                <w:szCs w:val="18"/>
              </w:rPr>
              <w:t>programa</w:t>
            </w:r>
            <w:proofErr w:type="spellEnd"/>
            <w:r w:rsidRPr="00AF55E9">
              <w:rPr>
                <w:sz w:val="18"/>
                <w:szCs w:val="18"/>
              </w:rPr>
              <w:t xml:space="preserve"> regional / PNUD</w:t>
            </w:r>
          </w:p>
        </w:tc>
        <w:tc>
          <w:tcPr>
            <w:tcW w:w="0" w:type="auto"/>
            <w:tcBorders>
              <w:top w:val="thinThickSmallGap" w:sz="24" w:space="0" w:color="auto"/>
              <w:left w:val="single" w:sz="4" w:space="0" w:color="auto"/>
              <w:bottom w:val="single" w:sz="4" w:space="0" w:color="auto"/>
              <w:right w:val="single" w:sz="4" w:space="0" w:color="auto"/>
            </w:tcBorders>
            <w:vAlign w:val="center"/>
          </w:tcPr>
          <w:p w:rsidR="005A04CD" w:rsidRDefault="005A04CD" w:rsidP="005A04CD">
            <w:pPr>
              <w:jc w:val="center"/>
              <w:rPr>
                <w:rStyle w:val="CommentReference"/>
                <w:sz w:val="18"/>
                <w:szCs w:val="18"/>
                <w:lang w:eastAsia="uk-UA"/>
              </w:rPr>
            </w:pPr>
          </w:p>
        </w:tc>
      </w:tr>
      <w:tr w:rsidR="008316A5" w:rsidRPr="00554043" w:rsidTr="00023208">
        <w:tc>
          <w:tcPr>
            <w:tcW w:w="0" w:type="auto"/>
            <w:tcBorders>
              <w:top w:val="single" w:sz="4" w:space="0" w:color="auto"/>
              <w:left w:val="single" w:sz="4" w:space="0" w:color="auto"/>
              <w:bottom w:val="single" w:sz="4" w:space="0" w:color="auto"/>
              <w:right w:val="single" w:sz="4" w:space="0" w:color="auto"/>
            </w:tcBorders>
            <w:shd w:val="clear" w:color="auto" w:fill="auto"/>
          </w:tcPr>
          <w:p w:rsidR="005A04CD" w:rsidRDefault="00AF55E9" w:rsidP="00023208">
            <w:pPr>
              <w:spacing w:before="40" w:after="40"/>
              <w:rPr>
                <w:sz w:val="18"/>
                <w:szCs w:val="18"/>
              </w:rPr>
            </w:pPr>
            <w:r>
              <w:rPr>
                <w:sz w:val="18"/>
                <w:szCs w:val="18"/>
              </w:rPr>
              <w:lastRenderedPageBreak/>
              <w:t>Thematic Evaluation on Climate Policies 2012 and LECRDS</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AF55E9" w:rsidRPr="00AF55E9" w:rsidRDefault="008316A5" w:rsidP="00023208">
            <w:pPr>
              <w:rPr>
                <w:rFonts w:eastAsia="Times New Roman"/>
                <w:sz w:val="18"/>
                <w:szCs w:val="18"/>
              </w:rPr>
            </w:pPr>
            <w:r>
              <w:rPr>
                <w:rFonts w:eastAsia="Times New Roman" w:hAnsi="Symbol"/>
                <w:sz w:val="18"/>
                <w:szCs w:val="18"/>
              </w:rPr>
              <w:t>-</w:t>
            </w:r>
            <w:r w:rsidR="00AF55E9" w:rsidRPr="00AF55E9">
              <w:rPr>
                <w:rFonts w:eastAsia="Times New Roman"/>
                <w:sz w:val="18"/>
                <w:szCs w:val="18"/>
              </w:rPr>
              <w:t xml:space="preserve">Managing Energy and Environment </w:t>
            </w:r>
          </w:p>
          <w:p w:rsidR="005A04CD" w:rsidRDefault="005A04CD" w:rsidP="00023208">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B00CCF" w:rsidP="005A04C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AF55E9" w:rsidP="005A04CD">
            <w:pPr>
              <w:jc w:val="center"/>
              <w:rPr>
                <w:sz w:val="18"/>
                <w:szCs w:val="18"/>
              </w:rPr>
            </w:pPr>
            <w:r>
              <w:rPr>
                <w:sz w:val="18"/>
                <w:szCs w:val="18"/>
              </w:rPr>
              <w:t>March 2012</w:t>
            </w: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5A04CD" w:rsidP="00023208">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A04CD" w:rsidRDefault="00AF55E9" w:rsidP="00023208">
            <w:pPr>
              <w:rPr>
                <w:sz w:val="18"/>
                <w:szCs w:val="18"/>
              </w:rPr>
            </w:pPr>
            <w:proofErr w:type="spellStart"/>
            <w:r w:rsidRPr="00AF55E9">
              <w:rPr>
                <w:sz w:val="18"/>
                <w:szCs w:val="18"/>
              </w:rPr>
              <w:t>Fondos</w:t>
            </w:r>
            <w:proofErr w:type="spellEnd"/>
            <w:r w:rsidRPr="00AF55E9">
              <w:rPr>
                <w:sz w:val="18"/>
                <w:szCs w:val="18"/>
              </w:rPr>
              <w:t xml:space="preserve"> </w:t>
            </w:r>
            <w:proofErr w:type="spellStart"/>
            <w:r w:rsidRPr="00AF55E9">
              <w:rPr>
                <w:sz w:val="18"/>
                <w:szCs w:val="18"/>
              </w:rPr>
              <w:t>españoles</w:t>
            </w:r>
            <w:proofErr w:type="spellEnd"/>
            <w:r w:rsidRPr="00AF55E9">
              <w:rPr>
                <w:sz w:val="18"/>
                <w:szCs w:val="18"/>
              </w:rPr>
              <w:t xml:space="preserve"> del </w:t>
            </w:r>
            <w:proofErr w:type="spellStart"/>
            <w:r w:rsidRPr="00AF55E9">
              <w:rPr>
                <w:sz w:val="18"/>
                <w:szCs w:val="18"/>
              </w:rPr>
              <w:t>programa</w:t>
            </w:r>
            <w:proofErr w:type="spellEnd"/>
            <w:r w:rsidRPr="00AF55E9">
              <w:rPr>
                <w:sz w:val="18"/>
                <w:szCs w:val="18"/>
              </w:rPr>
              <w:t xml:space="preserve"> regional / PNUD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04CD" w:rsidRDefault="005A04CD" w:rsidP="005A04CD">
            <w:pPr>
              <w:jc w:val="center"/>
              <w:rPr>
                <w:rStyle w:val="CommentReference"/>
                <w:sz w:val="18"/>
                <w:szCs w:val="18"/>
                <w:lang w:eastAsia="uk-UA"/>
              </w:rPr>
            </w:pPr>
          </w:p>
        </w:tc>
      </w:tr>
      <w:tr w:rsidR="008316A5" w:rsidRPr="00554043" w:rsidTr="00023208">
        <w:tc>
          <w:tcPr>
            <w:tcW w:w="0" w:type="auto"/>
            <w:tcBorders>
              <w:top w:val="single" w:sz="4" w:space="0" w:color="auto"/>
              <w:left w:val="single" w:sz="4" w:space="0" w:color="auto"/>
              <w:bottom w:val="single" w:sz="4" w:space="0" w:color="auto"/>
              <w:right w:val="single" w:sz="4" w:space="0" w:color="auto"/>
            </w:tcBorders>
            <w:shd w:val="clear" w:color="auto" w:fill="auto"/>
          </w:tcPr>
          <w:p w:rsidR="0090540E" w:rsidRDefault="0090540E" w:rsidP="00023208">
            <w:pPr>
              <w:spacing w:before="40" w:after="40"/>
              <w:rPr>
                <w:sz w:val="18"/>
                <w:szCs w:val="18"/>
              </w:rPr>
            </w:pPr>
            <w:proofErr w:type="spellStart"/>
            <w:r w:rsidRPr="0090540E">
              <w:rPr>
                <w:sz w:val="18"/>
                <w:szCs w:val="18"/>
              </w:rPr>
              <w:t>Diálogo</w:t>
            </w:r>
            <w:proofErr w:type="spellEnd"/>
            <w:r w:rsidRPr="0090540E">
              <w:rPr>
                <w:sz w:val="18"/>
                <w:szCs w:val="18"/>
              </w:rPr>
              <w:t xml:space="preserve"> </w:t>
            </w:r>
            <w:proofErr w:type="spellStart"/>
            <w:r w:rsidRPr="0090540E">
              <w:rPr>
                <w:sz w:val="18"/>
                <w:szCs w:val="18"/>
              </w:rPr>
              <w:t>Binacional</w:t>
            </w:r>
            <w:proofErr w:type="spellEnd"/>
            <w:r w:rsidRPr="0090540E">
              <w:rPr>
                <w:sz w:val="18"/>
                <w:szCs w:val="18"/>
              </w:rPr>
              <w:t xml:space="preserve"> Colombia Ecuador </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334D3A" w:rsidP="00023208">
            <w:pPr>
              <w:rPr>
                <w:sz w:val="18"/>
                <w:szCs w:val="18"/>
              </w:rPr>
            </w:pPr>
            <w:r>
              <w:rPr>
                <w:sz w:val="18"/>
                <w:szCs w:val="18"/>
              </w:rPr>
              <w:t>N/A</w:t>
            </w:r>
          </w:p>
        </w:tc>
        <w:tc>
          <w:tcPr>
            <w:tcW w:w="0" w:type="auto"/>
            <w:tcBorders>
              <w:top w:val="single" w:sz="4" w:space="0" w:color="auto"/>
              <w:left w:val="single" w:sz="4" w:space="0" w:color="auto"/>
              <w:bottom w:val="single" w:sz="4" w:space="0" w:color="auto"/>
              <w:right w:val="single" w:sz="4" w:space="0" w:color="auto"/>
            </w:tcBorders>
            <w:vAlign w:val="center"/>
          </w:tcPr>
          <w:p w:rsidR="00B00CCF" w:rsidRDefault="00B00CCF" w:rsidP="00C522A8">
            <w:pPr>
              <w:rPr>
                <w:rFonts w:eastAsia="Times New Roman" w:hAnsi="Symbol"/>
                <w:sz w:val="18"/>
                <w:szCs w:val="18"/>
              </w:rPr>
            </w:pPr>
            <w:r>
              <w:rPr>
                <w:rFonts w:eastAsia="Times New Roman" w:hAnsi="Symbol"/>
                <w:sz w:val="18"/>
                <w:szCs w:val="18"/>
              </w:rPr>
              <w:t>-</w:t>
            </w:r>
            <w:r w:rsidR="00C522A8" w:rsidRPr="00C522A8">
              <w:rPr>
                <w:rFonts w:eastAsia="Times New Roman" w:hAnsi="Symbol"/>
                <w:sz w:val="18"/>
                <w:szCs w:val="18"/>
              </w:rPr>
              <w:t>Solutions generated for natural disaster risk management and conflict prevention through common analysis and inclusive dialogue among government, relevant civil society actors and other partners (i.e., UN, other international organizations, bilateral pa</w:t>
            </w:r>
            <w:r>
              <w:rPr>
                <w:rFonts w:eastAsia="Times New Roman" w:hAnsi="Symbol"/>
                <w:sz w:val="18"/>
                <w:szCs w:val="18"/>
              </w:rPr>
              <w:t>rtners)</w:t>
            </w:r>
          </w:p>
          <w:p w:rsidR="00C522A8" w:rsidRPr="00C522A8" w:rsidRDefault="00B00CCF" w:rsidP="00C522A8">
            <w:pPr>
              <w:rPr>
                <w:rFonts w:eastAsia="Times New Roman" w:hAnsi="Symbol"/>
                <w:sz w:val="18"/>
                <w:szCs w:val="18"/>
              </w:rPr>
            </w:pPr>
            <w:r>
              <w:rPr>
                <w:rFonts w:eastAsia="Times New Roman" w:hAnsi="Symbol"/>
                <w:sz w:val="18"/>
                <w:szCs w:val="18"/>
              </w:rPr>
              <w:t>-</w:t>
            </w:r>
            <w:r w:rsidR="00C522A8" w:rsidRPr="00C522A8">
              <w:rPr>
                <w:rFonts w:eastAsia="Times New Roman" w:hAnsi="Symbol"/>
                <w:sz w:val="18"/>
                <w:szCs w:val="18"/>
              </w:rPr>
              <w:t xml:space="preserve"> Conflict: Post-conflict governance capacity strengthened, including measures to work towards prevention of resumption of conflict </w:t>
            </w:r>
          </w:p>
          <w:p w:rsidR="00C522A8" w:rsidRPr="00C522A8" w:rsidRDefault="00B00CCF" w:rsidP="00C522A8">
            <w:pPr>
              <w:rPr>
                <w:rFonts w:eastAsia="Times New Roman" w:hAnsi="Symbol"/>
                <w:sz w:val="18"/>
                <w:szCs w:val="18"/>
              </w:rPr>
            </w:pPr>
            <w:r>
              <w:rPr>
                <w:rFonts w:eastAsia="Times New Roman" w:hAnsi="Symbol"/>
                <w:sz w:val="18"/>
                <w:szCs w:val="18"/>
              </w:rPr>
              <w:t>-</w:t>
            </w:r>
            <w:r w:rsidR="00C522A8" w:rsidRPr="00C522A8">
              <w:rPr>
                <w:rFonts w:eastAsia="Times New Roman" w:hAnsi="Symbol"/>
                <w:sz w:val="18"/>
                <w:szCs w:val="18"/>
              </w:rPr>
              <w:t xml:space="preserve"> Conflict: Post-crisis community security and cohesion restored </w:t>
            </w:r>
          </w:p>
          <w:p w:rsidR="0090540E" w:rsidRPr="00AF55E9" w:rsidRDefault="0090540E" w:rsidP="00023208">
            <w:pPr>
              <w:rPr>
                <w:rFonts w:eastAsia="Times New Roman" w:hAnsi="Symbo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B00CCF" w:rsidP="005A04CD">
            <w:pPr>
              <w:jc w:val="center"/>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C522A8" w:rsidP="005A04CD">
            <w:pPr>
              <w:jc w:val="center"/>
              <w:rPr>
                <w:sz w:val="18"/>
                <w:szCs w:val="18"/>
              </w:rPr>
            </w:pPr>
            <w:r>
              <w:rPr>
                <w:sz w:val="18"/>
                <w:szCs w:val="18"/>
              </w:rPr>
              <w:t>December 2008</w:t>
            </w:r>
          </w:p>
        </w:tc>
        <w:tc>
          <w:tcPr>
            <w:tcW w:w="0" w:type="auto"/>
            <w:tcBorders>
              <w:top w:val="single" w:sz="4" w:space="0" w:color="auto"/>
              <w:left w:val="single" w:sz="4" w:space="0" w:color="auto"/>
              <w:bottom w:val="single" w:sz="4" w:space="0" w:color="auto"/>
              <w:right w:val="single" w:sz="4" w:space="0" w:color="auto"/>
            </w:tcBorders>
            <w:vAlign w:val="center"/>
          </w:tcPr>
          <w:p w:rsidR="0090540E" w:rsidRDefault="00C522A8" w:rsidP="00023208">
            <w:pPr>
              <w:rPr>
                <w:sz w:val="18"/>
                <w:szCs w:val="18"/>
              </w:rPr>
            </w:pPr>
            <w:r w:rsidRPr="00C522A8">
              <w:rPr>
                <w:sz w:val="18"/>
                <w:szCs w:val="18"/>
              </w:rPr>
              <w:t xml:space="preserve">PNUD, Centro Carter, </w:t>
            </w:r>
            <w:proofErr w:type="spellStart"/>
            <w:r w:rsidRPr="00C522A8">
              <w:rPr>
                <w:sz w:val="18"/>
                <w:szCs w:val="18"/>
              </w:rPr>
              <w:t>Diálogo</w:t>
            </w:r>
            <w:proofErr w:type="spellEnd"/>
            <w:r w:rsidRPr="00C522A8">
              <w:rPr>
                <w:sz w:val="18"/>
                <w:szCs w:val="18"/>
              </w:rPr>
              <w:t xml:space="preserve"> </w:t>
            </w:r>
            <w:proofErr w:type="spellStart"/>
            <w:r w:rsidRPr="00C522A8">
              <w:rPr>
                <w:sz w:val="18"/>
                <w:szCs w:val="18"/>
              </w:rPr>
              <w:t>Democrático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0540E" w:rsidRPr="00AF55E9" w:rsidRDefault="00C522A8" w:rsidP="00023208">
            <w:pPr>
              <w:rPr>
                <w:sz w:val="18"/>
                <w:szCs w:val="18"/>
              </w:rPr>
            </w:pPr>
            <w:r w:rsidRPr="00C522A8">
              <w:rPr>
                <w:sz w:val="18"/>
                <w:szCs w:val="18"/>
              </w:rPr>
              <w:t>AECID, Centro Carter, PNUD Colombia y Ecuador, DRALC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540E" w:rsidRDefault="00C522A8" w:rsidP="005A04CD">
            <w:pPr>
              <w:jc w:val="center"/>
              <w:rPr>
                <w:rStyle w:val="CommentReference"/>
                <w:sz w:val="18"/>
                <w:szCs w:val="18"/>
                <w:lang w:eastAsia="uk-UA"/>
              </w:rPr>
            </w:pPr>
            <w:r>
              <w:rPr>
                <w:rStyle w:val="CommentReference"/>
                <w:sz w:val="18"/>
                <w:szCs w:val="18"/>
                <w:lang w:eastAsia="uk-UA"/>
              </w:rPr>
              <w:t>No</w:t>
            </w:r>
          </w:p>
        </w:tc>
      </w:tr>
    </w:tbl>
    <w:p w:rsidR="005A04CD" w:rsidRDefault="005A04CD"/>
    <w:sectPr w:rsidR="005A04CD" w:rsidSect="005A04C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7F3C"/>
    <w:multiLevelType w:val="hybridMultilevel"/>
    <w:tmpl w:val="E7FC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3A564F"/>
    <w:multiLevelType w:val="multilevel"/>
    <w:tmpl w:val="B57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B7EBD"/>
    <w:multiLevelType w:val="multilevel"/>
    <w:tmpl w:val="D31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44D13"/>
    <w:multiLevelType w:val="multilevel"/>
    <w:tmpl w:val="38F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763DC"/>
    <w:multiLevelType w:val="hybridMultilevel"/>
    <w:tmpl w:val="409878D0"/>
    <w:lvl w:ilvl="0" w:tplc="88F0092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4E43EB"/>
    <w:multiLevelType w:val="multilevel"/>
    <w:tmpl w:val="81D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23AAE"/>
    <w:multiLevelType w:val="multilevel"/>
    <w:tmpl w:val="E810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55158"/>
    <w:multiLevelType w:val="hybridMultilevel"/>
    <w:tmpl w:val="EC52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3D75"/>
    <w:multiLevelType w:val="multilevel"/>
    <w:tmpl w:val="DFC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252FF"/>
    <w:multiLevelType w:val="multilevel"/>
    <w:tmpl w:val="7FD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16AC9"/>
    <w:multiLevelType w:val="multilevel"/>
    <w:tmpl w:val="D4E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8"/>
  </w:num>
  <w:num w:numId="5">
    <w:abstractNumId w:val="5"/>
  </w:num>
  <w:num w:numId="6">
    <w:abstractNumId w:val="6"/>
  </w:num>
  <w:num w:numId="7">
    <w:abstractNumId w:val="1"/>
  </w:num>
  <w:num w:numId="8">
    <w:abstractNumId w:val="10"/>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4CD"/>
    <w:rsid w:val="00023208"/>
    <w:rsid w:val="000741C8"/>
    <w:rsid w:val="00102375"/>
    <w:rsid w:val="00312835"/>
    <w:rsid w:val="00334D3A"/>
    <w:rsid w:val="003F0797"/>
    <w:rsid w:val="004736AB"/>
    <w:rsid w:val="005079D3"/>
    <w:rsid w:val="00516471"/>
    <w:rsid w:val="005227BB"/>
    <w:rsid w:val="005665B6"/>
    <w:rsid w:val="005A04CD"/>
    <w:rsid w:val="00777249"/>
    <w:rsid w:val="0079018B"/>
    <w:rsid w:val="007B3A71"/>
    <w:rsid w:val="008316A5"/>
    <w:rsid w:val="0090540E"/>
    <w:rsid w:val="0092614A"/>
    <w:rsid w:val="009C6AB2"/>
    <w:rsid w:val="00A02488"/>
    <w:rsid w:val="00A90F33"/>
    <w:rsid w:val="00AC66D9"/>
    <w:rsid w:val="00AE4AF4"/>
    <w:rsid w:val="00AF55E9"/>
    <w:rsid w:val="00B00CCF"/>
    <w:rsid w:val="00B565F6"/>
    <w:rsid w:val="00B74D76"/>
    <w:rsid w:val="00C522A8"/>
    <w:rsid w:val="00DB093C"/>
    <w:rsid w:val="00E20435"/>
    <w:rsid w:val="00E66CBD"/>
    <w:rsid w:val="00F74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CD"/>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A04CD"/>
    <w:rPr>
      <w:sz w:val="16"/>
      <w:szCs w:val="16"/>
    </w:rPr>
  </w:style>
  <w:style w:type="character" w:styleId="Hyperlink">
    <w:name w:val="Hyperlink"/>
    <w:basedOn w:val="DefaultParagraphFont"/>
    <w:uiPriority w:val="99"/>
    <w:unhideWhenUsed/>
    <w:rsid w:val="00B565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140390">
      <w:bodyDiv w:val="1"/>
      <w:marLeft w:val="0"/>
      <w:marRight w:val="0"/>
      <w:marTop w:val="0"/>
      <w:marBottom w:val="0"/>
      <w:divBdr>
        <w:top w:val="none" w:sz="0" w:space="0" w:color="auto"/>
        <w:left w:val="none" w:sz="0" w:space="0" w:color="auto"/>
        <w:bottom w:val="none" w:sz="0" w:space="0" w:color="auto"/>
        <w:right w:val="none" w:sz="0" w:space="0" w:color="auto"/>
      </w:divBdr>
    </w:div>
    <w:div w:id="444734017">
      <w:bodyDiv w:val="1"/>
      <w:marLeft w:val="0"/>
      <w:marRight w:val="0"/>
      <w:marTop w:val="0"/>
      <w:marBottom w:val="0"/>
      <w:divBdr>
        <w:top w:val="none" w:sz="0" w:space="0" w:color="auto"/>
        <w:left w:val="none" w:sz="0" w:space="0" w:color="auto"/>
        <w:bottom w:val="none" w:sz="0" w:space="0" w:color="auto"/>
        <w:right w:val="none" w:sz="0" w:space="0" w:color="auto"/>
      </w:divBdr>
    </w:div>
    <w:div w:id="545413287">
      <w:bodyDiv w:val="1"/>
      <w:marLeft w:val="0"/>
      <w:marRight w:val="0"/>
      <w:marTop w:val="0"/>
      <w:marBottom w:val="0"/>
      <w:divBdr>
        <w:top w:val="none" w:sz="0" w:space="0" w:color="auto"/>
        <w:left w:val="none" w:sz="0" w:space="0" w:color="auto"/>
        <w:bottom w:val="none" w:sz="0" w:space="0" w:color="auto"/>
        <w:right w:val="none" w:sz="0" w:space="0" w:color="auto"/>
      </w:divBdr>
    </w:div>
    <w:div w:id="558781829">
      <w:bodyDiv w:val="1"/>
      <w:marLeft w:val="0"/>
      <w:marRight w:val="0"/>
      <w:marTop w:val="0"/>
      <w:marBottom w:val="0"/>
      <w:divBdr>
        <w:top w:val="none" w:sz="0" w:space="0" w:color="auto"/>
        <w:left w:val="none" w:sz="0" w:space="0" w:color="auto"/>
        <w:bottom w:val="none" w:sz="0" w:space="0" w:color="auto"/>
        <w:right w:val="none" w:sz="0" w:space="0" w:color="auto"/>
      </w:divBdr>
    </w:div>
    <w:div w:id="624847607">
      <w:bodyDiv w:val="1"/>
      <w:marLeft w:val="0"/>
      <w:marRight w:val="0"/>
      <w:marTop w:val="0"/>
      <w:marBottom w:val="0"/>
      <w:divBdr>
        <w:top w:val="none" w:sz="0" w:space="0" w:color="auto"/>
        <w:left w:val="none" w:sz="0" w:space="0" w:color="auto"/>
        <w:bottom w:val="none" w:sz="0" w:space="0" w:color="auto"/>
        <w:right w:val="none" w:sz="0" w:space="0" w:color="auto"/>
      </w:divBdr>
    </w:div>
    <w:div w:id="660429610">
      <w:bodyDiv w:val="1"/>
      <w:marLeft w:val="0"/>
      <w:marRight w:val="0"/>
      <w:marTop w:val="0"/>
      <w:marBottom w:val="0"/>
      <w:divBdr>
        <w:top w:val="none" w:sz="0" w:space="0" w:color="auto"/>
        <w:left w:val="none" w:sz="0" w:space="0" w:color="auto"/>
        <w:bottom w:val="none" w:sz="0" w:space="0" w:color="auto"/>
        <w:right w:val="none" w:sz="0" w:space="0" w:color="auto"/>
      </w:divBdr>
    </w:div>
    <w:div w:id="666439980">
      <w:bodyDiv w:val="1"/>
      <w:marLeft w:val="0"/>
      <w:marRight w:val="0"/>
      <w:marTop w:val="0"/>
      <w:marBottom w:val="0"/>
      <w:divBdr>
        <w:top w:val="none" w:sz="0" w:space="0" w:color="auto"/>
        <w:left w:val="none" w:sz="0" w:space="0" w:color="auto"/>
        <w:bottom w:val="none" w:sz="0" w:space="0" w:color="auto"/>
        <w:right w:val="none" w:sz="0" w:space="0" w:color="auto"/>
      </w:divBdr>
    </w:div>
    <w:div w:id="859856118">
      <w:bodyDiv w:val="1"/>
      <w:marLeft w:val="0"/>
      <w:marRight w:val="0"/>
      <w:marTop w:val="0"/>
      <w:marBottom w:val="0"/>
      <w:divBdr>
        <w:top w:val="none" w:sz="0" w:space="0" w:color="auto"/>
        <w:left w:val="none" w:sz="0" w:space="0" w:color="auto"/>
        <w:bottom w:val="none" w:sz="0" w:space="0" w:color="auto"/>
        <w:right w:val="none" w:sz="0" w:space="0" w:color="auto"/>
      </w:divBdr>
    </w:div>
    <w:div w:id="1123621529">
      <w:bodyDiv w:val="1"/>
      <w:marLeft w:val="0"/>
      <w:marRight w:val="0"/>
      <w:marTop w:val="0"/>
      <w:marBottom w:val="0"/>
      <w:divBdr>
        <w:top w:val="none" w:sz="0" w:space="0" w:color="auto"/>
        <w:left w:val="none" w:sz="0" w:space="0" w:color="auto"/>
        <w:bottom w:val="none" w:sz="0" w:space="0" w:color="auto"/>
        <w:right w:val="none" w:sz="0" w:space="0" w:color="auto"/>
      </w:divBdr>
    </w:div>
    <w:div w:id="1133794659">
      <w:bodyDiv w:val="1"/>
      <w:marLeft w:val="0"/>
      <w:marRight w:val="0"/>
      <w:marTop w:val="0"/>
      <w:marBottom w:val="0"/>
      <w:divBdr>
        <w:top w:val="none" w:sz="0" w:space="0" w:color="auto"/>
        <w:left w:val="none" w:sz="0" w:space="0" w:color="auto"/>
        <w:bottom w:val="none" w:sz="0" w:space="0" w:color="auto"/>
        <w:right w:val="none" w:sz="0" w:space="0" w:color="auto"/>
      </w:divBdr>
    </w:div>
    <w:div w:id="1200825333">
      <w:bodyDiv w:val="1"/>
      <w:marLeft w:val="0"/>
      <w:marRight w:val="0"/>
      <w:marTop w:val="0"/>
      <w:marBottom w:val="0"/>
      <w:divBdr>
        <w:top w:val="none" w:sz="0" w:space="0" w:color="auto"/>
        <w:left w:val="none" w:sz="0" w:space="0" w:color="auto"/>
        <w:bottom w:val="none" w:sz="0" w:space="0" w:color="auto"/>
        <w:right w:val="none" w:sz="0" w:space="0" w:color="auto"/>
      </w:divBdr>
    </w:div>
    <w:div w:id="1204833529">
      <w:bodyDiv w:val="1"/>
      <w:marLeft w:val="0"/>
      <w:marRight w:val="0"/>
      <w:marTop w:val="0"/>
      <w:marBottom w:val="0"/>
      <w:divBdr>
        <w:top w:val="none" w:sz="0" w:space="0" w:color="auto"/>
        <w:left w:val="none" w:sz="0" w:space="0" w:color="auto"/>
        <w:bottom w:val="none" w:sz="0" w:space="0" w:color="auto"/>
        <w:right w:val="none" w:sz="0" w:space="0" w:color="auto"/>
      </w:divBdr>
    </w:div>
    <w:div w:id="1536188994">
      <w:bodyDiv w:val="1"/>
      <w:marLeft w:val="0"/>
      <w:marRight w:val="0"/>
      <w:marTop w:val="0"/>
      <w:marBottom w:val="0"/>
      <w:divBdr>
        <w:top w:val="none" w:sz="0" w:space="0" w:color="auto"/>
        <w:left w:val="none" w:sz="0" w:space="0" w:color="auto"/>
        <w:bottom w:val="none" w:sz="0" w:space="0" w:color="auto"/>
        <w:right w:val="none" w:sz="0" w:space="0" w:color="auto"/>
      </w:divBdr>
    </w:div>
    <w:div w:id="1943299389">
      <w:bodyDiv w:val="1"/>
      <w:marLeft w:val="0"/>
      <w:marRight w:val="0"/>
      <w:marTop w:val="0"/>
      <w:marBottom w:val="0"/>
      <w:divBdr>
        <w:top w:val="none" w:sz="0" w:space="0" w:color="auto"/>
        <w:left w:val="none" w:sz="0" w:space="0" w:color="auto"/>
        <w:bottom w:val="none" w:sz="0" w:space="0" w:color="auto"/>
        <w:right w:val="none" w:sz="0" w:space="0" w:color="auto"/>
      </w:divBdr>
    </w:div>
    <w:div w:id="1982424019">
      <w:bodyDiv w:val="1"/>
      <w:marLeft w:val="0"/>
      <w:marRight w:val="0"/>
      <w:marTop w:val="0"/>
      <w:marBottom w:val="0"/>
      <w:divBdr>
        <w:top w:val="none" w:sz="0" w:space="0" w:color="auto"/>
        <w:left w:val="none" w:sz="0" w:space="0" w:color="auto"/>
        <w:bottom w:val="none" w:sz="0" w:space="0" w:color="auto"/>
        <w:right w:val="none" w:sz="0" w:space="0" w:color="auto"/>
      </w:divBdr>
    </w:div>
    <w:div w:id="2043362447">
      <w:bodyDiv w:val="1"/>
      <w:marLeft w:val="0"/>
      <w:marRight w:val="0"/>
      <w:marTop w:val="0"/>
      <w:marBottom w:val="0"/>
      <w:divBdr>
        <w:top w:val="none" w:sz="0" w:space="0" w:color="auto"/>
        <w:left w:val="none" w:sz="0" w:space="0" w:color="auto"/>
        <w:bottom w:val="none" w:sz="0" w:space="0" w:color="auto"/>
        <w:right w:val="none" w:sz="0" w:space="0" w:color="auto"/>
      </w:divBdr>
    </w:div>
    <w:div w:id="20758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florencia.tateossian</dc:creator>
  <cp:lastModifiedBy>maaret.canedo</cp:lastModifiedBy>
  <cp:revision>2</cp:revision>
  <cp:lastPrinted>2012-01-30T15:36:00Z</cp:lastPrinted>
  <dcterms:created xsi:type="dcterms:W3CDTF">2012-04-30T14:34:00Z</dcterms:created>
  <dcterms:modified xsi:type="dcterms:W3CDTF">2012-04-30T14:34:00Z</dcterms:modified>
</cp:coreProperties>
</file>